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F" w:rsidRPr="00F47A45" w:rsidRDefault="00944295">
      <w:pPr>
        <w:pStyle w:val="H1G"/>
        <w:spacing w:before="240" w:after="120" w:line="223" w:lineRule="auto"/>
        <w:ind w:right="-6"/>
        <w:rPr>
          <w:sz w:val="28"/>
          <w:szCs w:val="28"/>
        </w:rPr>
      </w:pPr>
      <w:r w:rsidRPr="00F47A45">
        <w:rPr>
          <w:sz w:val="28"/>
          <w:szCs w:val="28"/>
        </w:rPr>
        <w:t>Economic Commission for Europe</w:t>
      </w:r>
    </w:p>
    <w:p w:rsidR="00DA493F" w:rsidRPr="00F47A45" w:rsidRDefault="00944295">
      <w:pPr>
        <w:pStyle w:val="H1G"/>
        <w:spacing w:before="240" w:after="120" w:line="223" w:lineRule="auto"/>
        <w:ind w:right="-6"/>
        <w:rPr>
          <w:b w:val="0"/>
          <w:sz w:val="28"/>
          <w:szCs w:val="28"/>
        </w:rPr>
      </w:pPr>
      <w:r w:rsidRPr="00F47A45">
        <w:rPr>
          <w:b w:val="0"/>
          <w:sz w:val="28"/>
          <w:szCs w:val="28"/>
        </w:rPr>
        <w:t>Inland Transport Committee</w:t>
      </w:r>
    </w:p>
    <w:p w:rsidR="00DA493F" w:rsidRPr="00F47A45" w:rsidRDefault="00944295">
      <w:pPr>
        <w:pStyle w:val="H1G"/>
        <w:tabs>
          <w:tab w:val="left" w:pos="7938"/>
        </w:tabs>
        <w:spacing w:before="120" w:after="0" w:line="223" w:lineRule="auto"/>
        <w:ind w:right="-6"/>
        <w:rPr>
          <w:sz w:val="20"/>
        </w:rPr>
      </w:pPr>
      <w:r w:rsidRPr="00F47A45">
        <w:rPr>
          <w:sz w:val="20"/>
        </w:rPr>
        <w:t>Working Party on the Transport of Dangerous Goods</w:t>
      </w:r>
      <w:r w:rsidRPr="00F47A45">
        <w:rPr>
          <w:sz w:val="20"/>
        </w:rPr>
        <w:tab/>
      </w:r>
      <w:r w:rsidR="00F47A45">
        <w:rPr>
          <w:sz w:val="20"/>
        </w:rPr>
        <w:t>1</w:t>
      </w:r>
      <w:r w:rsidR="006E0C76">
        <w:rPr>
          <w:sz w:val="20"/>
        </w:rPr>
        <w:t>8</w:t>
      </w:r>
      <w:r w:rsidRPr="00F47A45">
        <w:rPr>
          <w:sz w:val="20"/>
        </w:rPr>
        <w:t xml:space="preserve"> September 2015</w:t>
      </w:r>
    </w:p>
    <w:p w:rsidR="00DA493F" w:rsidRPr="00F47A45" w:rsidRDefault="00944295">
      <w:pPr>
        <w:pStyle w:val="H1G"/>
        <w:spacing w:before="120" w:after="120" w:line="223" w:lineRule="auto"/>
        <w:ind w:left="0" w:right="-6" w:firstLine="0"/>
        <w:rPr>
          <w:sz w:val="20"/>
        </w:rPr>
      </w:pPr>
      <w:r w:rsidRPr="00F47A45">
        <w:rPr>
          <w:sz w:val="20"/>
        </w:rPr>
        <w:t>Joint Meeting of the RID Committee of Experts and the</w:t>
      </w:r>
      <w:r w:rsidRPr="00F47A45">
        <w:rPr>
          <w:sz w:val="20"/>
        </w:rPr>
        <w:br/>
        <w:t>Working Party on the Transport of Dangerous Goods</w:t>
      </w:r>
    </w:p>
    <w:p w:rsidR="00DA493F" w:rsidRPr="00F47A45" w:rsidRDefault="00944295">
      <w:pPr>
        <w:spacing w:after="0"/>
      </w:pPr>
      <w:r w:rsidRPr="00F47A45">
        <w:t>Geneva, 15–25 September 2015</w:t>
      </w:r>
    </w:p>
    <w:p w:rsidR="00DA493F" w:rsidRDefault="00944295">
      <w:pPr>
        <w:spacing w:after="0"/>
      </w:pPr>
      <w:r w:rsidRPr="00F47A45">
        <w:t xml:space="preserve">Item </w:t>
      </w:r>
      <w:r w:rsidR="006E0C76">
        <w:t>3</w:t>
      </w:r>
      <w:r w:rsidR="00072774">
        <w:t>(</w:t>
      </w:r>
      <w:r w:rsidR="006E0C76">
        <w:t>a</w:t>
      </w:r>
      <w:r w:rsidR="00072774">
        <w:t>)</w:t>
      </w:r>
      <w:r w:rsidRPr="00F47A45">
        <w:t xml:space="preserve"> of the provisional agenda</w:t>
      </w:r>
    </w:p>
    <w:p w:rsidR="006E0C76" w:rsidRPr="006E0C76" w:rsidRDefault="006E0C76">
      <w:pPr>
        <w:spacing w:after="0"/>
        <w:rPr>
          <w:b/>
        </w:rPr>
      </w:pPr>
      <w:r w:rsidRPr="006E0C76">
        <w:rPr>
          <w:b/>
        </w:rPr>
        <w:t>Proposa</w:t>
      </w:r>
      <w:r w:rsidR="00072774">
        <w:rPr>
          <w:b/>
        </w:rPr>
        <w:t>ls for amendments to RID/ADR/ADN</w:t>
      </w:r>
      <w:r w:rsidRPr="006E0C76">
        <w:rPr>
          <w:b/>
        </w:rPr>
        <w:t>:</w:t>
      </w:r>
    </w:p>
    <w:p w:rsidR="006E0C76" w:rsidRDefault="00072774">
      <w:pPr>
        <w:spacing w:after="0"/>
        <w:rPr>
          <w:b/>
        </w:rPr>
      </w:pPr>
      <w:proofErr w:type="gramStart"/>
      <w:r>
        <w:rPr>
          <w:b/>
        </w:rPr>
        <w:t>p</w:t>
      </w:r>
      <w:r w:rsidR="006E0C76" w:rsidRPr="006E0C76">
        <w:rPr>
          <w:b/>
        </w:rPr>
        <w:t>ending</w:t>
      </w:r>
      <w:proofErr w:type="gramEnd"/>
      <w:r w:rsidR="006E0C76" w:rsidRPr="006E0C76">
        <w:rPr>
          <w:b/>
        </w:rPr>
        <w:t xml:space="preserve"> issues</w:t>
      </w:r>
    </w:p>
    <w:p w:rsidR="006E0C76" w:rsidRDefault="00072774" w:rsidP="0061522B">
      <w:pPr>
        <w:pStyle w:val="HChG"/>
        <w:rPr>
          <w:lang w:eastAsia="fr-FR"/>
        </w:rPr>
      </w:pPr>
      <w:r>
        <w:tab/>
      </w:r>
      <w:r>
        <w:tab/>
      </w:r>
      <w:r w:rsidR="0061522B">
        <w:t>C</w:t>
      </w:r>
      <w:r w:rsidR="0061522B">
        <w:rPr>
          <w:lang w:eastAsia="fr-FR"/>
        </w:rPr>
        <w:t>omment on ECE/TRANS/WP.15/2015/26/Rev.1</w:t>
      </w:r>
    </w:p>
    <w:p w:rsidR="0061522B" w:rsidRPr="0061522B" w:rsidRDefault="0061522B" w:rsidP="0061522B">
      <w:pPr>
        <w:pStyle w:val="H1G"/>
        <w:rPr>
          <w:lang w:eastAsia="fr-FR"/>
        </w:rPr>
      </w:pPr>
      <w:r>
        <w:tab/>
      </w:r>
      <w:r>
        <w:tab/>
      </w:r>
      <w:r>
        <w:t>Transmitted by the Government of France</w:t>
      </w:r>
    </w:p>
    <w:p w:rsidR="0061522B" w:rsidRDefault="006E0C76" w:rsidP="0061522B">
      <w:pPr>
        <w:pStyle w:val="HChG"/>
      </w:pPr>
      <w:r>
        <w:tab/>
      </w:r>
      <w:r>
        <w:tab/>
      </w:r>
      <w:r w:rsidR="0061522B">
        <w:t>Proposals for amendments</w:t>
      </w:r>
    </w:p>
    <w:p w:rsidR="0061522B" w:rsidRPr="00074BA1" w:rsidRDefault="0061522B" w:rsidP="0061522B">
      <w:pPr>
        <w:pStyle w:val="SingleTxtG"/>
      </w:pPr>
      <w:r w:rsidRPr="00074BA1">
        <w:t>11.</w:t>
      </w:r>
      <w:r w:rsidRPr="00074BA1">
        <w:tab/>
        <w:t xml:space="preserve">RID/ADR/ADN 1.8.3.10 could be amended as follows (new text </w:t>
      </w:r>
      <w:r w:rsidRPr="00074BA1">
        <w:rPr>
          <w:u w:val="single"/>
        </w:rPr>
        <w:t>underlined</w:t>
      </w:r>
      <w:r w:rsidRPr="00074BA1">
        <w:t xml:space="preserve">; </w:t>
      </w:r>
      <w:r w:rsidRPr="007462B3">
        <w:rPr>
          <w:i/>
          <w:u w:val="single"/>
        </w:rPr>
        <w:t xml:space="preserve">amendments to document 2015/21 in </w:t>
      </w:r>
      <w:r>
        <w:rPr>
          <w:i/>
          <w:u w:val="single"/>
        </w:rPr>
        <w:t>italics</w:t>
      </w:r>
      <w:r w:rsidRPr="00074BA1">
        <w:t>):</w:t>
      </w:r>
    </w:p>
    <w:p w:rsidR="0061522B" w:rsidRPr="00074BA1" w:rsidRDefault="0061522B" w:rsidP="0061522B">
      <w:pPr>
        <w:pStyle w:val="SingleTxtG"/>
        <w:ind w:left="2268" w:hanging="1134"/>
      </w:pPr>
      <w:r w:rsidRPr="00074BA1">
        <w:t>"1.8.3.10</w:t>
      </w:r>
      <w:r w:rsidRPr="00074BA1">
        <w:tab/>
      </w:r>
      <w:proofErr w:type="gramStart"/>
      <w:r w:rsidRPr="00074BA1">
        <w:t>The</w:t>
      </w:r>
      <w:proofErr w:type="gramEnd"/>
      <w:r w:rsidRPr="00074BA1">
        <w:t xml:space="preserve"> examination shall be organized by the competent authority or by an examining body designated by the competent authority. The examining body shall not be a training provider.</w:t>
      </w:r>
    </w:p>
    <w:p w:rsidR="0061522B" w:rsidRPr="00074BA1" w:rsidRDefault="0061522B" w:rsidP="0061522B">
      <w:pPr>
        <w:pStyle w:val="SingleTxtG"/>
        <w:ind w:left="2268"/>
      </w:pPr>
      <w:r w:rsidRPr="00074BA1">
        <w:t>The examining body shall be designated in writing. This approval may be of limited duration and shall be based on the following criteria:</w:t>
      </w:r>
    </w:p>
    <w:p w:rsidR="0061522B" w:rsidRPr="00074BA1" w:rsidRDefault="0061522B" w:rsidP="0061522B">
      <w:pPr>
        <w:pStyle w:val="SingleTxtG"/>
        <w:ind w:left="2268"/>
      </w:pPr>
      <w:r w:rsidRPr="00074BA1">
        <w:t>–</w:t>
      </w:r>
      <w:r w:rsidRPr="00074BA1">
        <w:tab/>
      </w:r>
      <w:proofErr w:type="gramStart"/>
      <w:r w:rsidRPr="00074BA1">
        <w:t>competence</w:t>
      </w:r>
      <w:proofErr w:type="gramEnd"/>
      <w:r w:rsidRPr="00074BA1">
        <w:t xml:space="preserve"> of the examining body;</w:t>
      </w:r>
    </w:p>
    <w:p w:rsidR="0061522B" w:rsidRPr="00074BA1" w:rsidRDefault="0061522B" w:rsidP="0061522B">
      <w:pPr>
        <w:pStyle w:val="SingleTxtG"/>
        <w:ind w:left="2835" w:hanging="567"/>
        <w:rPr>
          <w:u w:val="single"/>
        </w:rPr>
      </w:pPr>
      <w:r w:rsidRPr="00074BA1">
        <w:t>–</w:t>
      </w:r>
      <w:r w:rsidRPr="00074BA1">
        <w:tab/>
        <w:t xml:space="preserve">specifications of the form of the examinations the examining body is proposing, </w:t>
      </w:r>
      <w:r w:rsidRPr="00074BA1">
        <w:rPr>
          <w:u w:val="single"/>
        </w:rPr>
        <w:t xml:space="preserve">including, </w:t>
      </w:r>
      <w:r w:rsidRPr="007462B3">
        <w:rPr>
          <w:i/>
          <w:u w:val="single"/>
        </w:rPr>
        <w:t>if necessary,</w:t>
      </w:r>
      <w:r w:rsidRPr="00074BA1">
        <w:rPr>
          <w:u w:val="single"/>
        </w:rPr>
        <w:t xml:space="preserve"> the infrastructure and organisation of electronic examinations in accordance with 1.8.3.12.5, </w:t>
      </w:r>
      <w:r w:rsidRPr="007462B3">
        <w:rPr>
          <w:i/>
          <w:u w:val="single"/>
        </w:rPr>
        <w:t>if these are to be carried out</w:t>
      </w:r>
      <w:r w:rsidRPr="00074BA1">
        <w:rPr>
          <w:u w:val="single"/>
        </w:rPr>
        <w:t>;</w:t>
      </w:r>
    </w:p>
    <w:p w:rsidR="0061522B" w:rsidRPr="00074BA1" w:rsidRDefault="0061522B" w:rsidP="0061522B">
      <w:pPr>
        <w:pStyle w:val="SingleTxtG"/>
        <w:ind w:left="2268"/>
      </w:pPr>
      <w:r w:rsidRPr="00074BA1">
        <w:t>–</w:t>
      </w:r>
      <w:r w:rsidRPr="00074BA1">
        <w:tab/>
      </w:r>
      <w:proofErr w:type="gramStart"/>
      <w:r w:rsidRPr="00074BA1">
        <w:t>measures</w:t>
      </w:r>
      <w:proofErr w:type="gramEnd"/>
      <w:r w:rsidRPr="00074BA1">
        <w:t xml:space="preserve"> intended to ensure that examinations are impartial;</w:t>
      </w:r>
    </w:p>
    <w:p w:rsidR="0061522B" w:rsidRPr="00074BA1" w:rsidRDefault="0061522B" w:rsidP="0061522B">
      <w:pPr>
        <w:pStyle w:val="SingleTxtG"/>
        <w:ind w:left="2835" w:hanging="567"/>
      </w:pPr>
      <w:proofErr w:type="gramStart"/>
      <w:r w:rsidRPr="00074BA1">
        <w:t>–</w:t>
      </w:r>
      <w:r w:rsidRPr="00074BA1">
        <w:tab/>
        <w:t>independence of the body from all natural or legal persons employing safety advisers."</w:t>
      </w:r>
      <w:proofErr w:type="gramEnd"/>
    </w:p>
    <w:p w:rsidR="0061522B" w:rsidRDefault="0061522B" w:rsidP="0061522B">
      <w:pPr>
        <w:pStyle w:val="SingleTxtG"/>
      </w:pPr>
      <w:r>
        <w:t>12.</w:t>
      </w:r>
      <w:r>
        <w:tab/>
        <w:t xml:space="preserve">RID/ADR/ADN 1.8.3.12 2 could be amended as follows (new text </w:t>
      </w:r>
      <w:r>
        <w:rPr>
          <w:u w:val="single"/>
        </w:rPr>
        <w:t>underlined</w:t>
      </w:r>
      <w:r>
        <w:t xml:space="preserve">; </w:t>
      </w:r>
      <w:r w:rsidRPr="007462B3">
        <w:rPr>
          <w:i/>
          <w:u w:val="single"/>
        </w:rPr>
        <w:t xml:space="preserve">amendments to document 2015/21 in </w:t>
      </w:r>
      <w:r>
        <w:rPr>
          <w:i/>
          <w:u w:val="single"/>
        </w:rPr>
        <w:t>italics</w:t>
      </w:r>
      <w:r>
        <w:t>):</w:t>
      </w:r>
    </w:p>
    <w:p w:rsidR="0061522B" w:rsidRDefault="0061522B" w:rsidP="0061522B">
      <w:pPr>
        <w:pStyle w:val="SingleTxtG"/>
        <w:ind w:left="2268" w:hanging="1134"/>
      </w:pPr>
      <w:r>
        <w:t>"</w:t>
      </w:r>
      <w:r>
        <w:rPr>
          <w:b/>
        </w:rPr>
        <w:t>1.8.3.12.2</w:t>
      </w:r>
      <w:r>
        <w:tab/>
      </w:r>
      <w:r w:rsidRPr="007462B3">
        <w:rPr>
          <w:i/>
          <w:u w:val="single"/>
        </w:rPr>
        <w:t>The competent authority or an examining body designated by the com</w:t>
      </w:r>
      <w:r>
        <w:rPr>
          <w:i/>
          <w:u w:val="single"/>
        </w:rPr>
        <w:t xml:space="preserve">petent authority shall </w:t>
      </w:r>
      <w:r w:rsidRPr="008846F7">
        <w:rPr>
          <w:b/>
          <w:i/>
          <w:u w:val="single"/>
        </w:rPr>
        <w:t>invigilate</w:t>
      </w:r>
      <w:r w:rsidRPr="007462B3">
        <w:rPr>
          <w:i/>
          <w:u w:val="single"/>
        </w:rPr>
        <w:t xml:space="preserve"> every examination. Any manipulation and deception </w:t>
      </w:r>
      <w:r w:rsidRPr="008846F7">
        <w:rPr>
          <w:b/>
          <w:i/>
          <w:u w:val="single"/>
        </w:rPr>
        <w:t>shall</w:t>
      </w:r>
      <w:r w:rsidRPr="007462B3">
        <w:rPr>
          <w:i/>
          <w:u w:val="single"/>
        </w:rPr>
        <w:t xml:space="preserve"> be ruled out as far as possible. Authentication of the candidate shall be ensured. </w:t>
      </w:r>
      <w:r>
        <w:t xml:space="preserve">The use in the written test of documentation other than international or national regulations is not permitted. </w:t>
      </w:r>
      <w:r w:rsidRPr="007462B3">
        <w:rPr>
          <w:i/>
          <w:u w:val="single"/>
        </w:rPr>
        <w:t xml:space="preserve">All examination documents shall be </w:t>
      </w:r>
      <w:r w:rsidRPr="008846F7">
        <w:rPr>
          <w:b/>
          <w:i/>
          <w:u w:val="single"/>
        </w:rPr>
        <w:t>recorded</w:t>
      </w:r>
      <w:r w:rsidRPr="007462B3">
        <w:rPr>
          <w:i/>
          <w:u w:val="single"/>
        </w:rPr>
        <w:t xml:space="preserve"> and kept as a print-out or electronically as a file."</w:t>
      </w:r>
    </w:p>
    <w:p w:rsidR="0061522B" w:rsidRDefault="0061522B" w:rsidP="0061522B">
      <w:pPr>
        <w:pStyle w:val="SingleTxtG"/>
      </w:pPr>
      <w:r>
        <w:t>13.</w:t>
      </w:r>
      <w:r>
        <w:tab/>
        <w:t>The following new 1.8.3.12.5 could be included in RID/ADR/ADN (</w:t>
      </w:r>
      <w:r w:rsidRPr="007462B3">
        <w:rPr>
          <w:i/>
          <w:u w:val="single"/>
        </w:rPr>
        <w:t xml:space="preserve">amendments to document 2015/21 in </w:t>
      </w:r>
      <w:r>
        <w:rPr>
          <w:i/>
          <w:u w:val="single"/>
        </w:rPr>
        <w:t>italics</w:t>
      </w:r>
      <w:r>
        <w:t>):</w:t>
      </w:r>
    </w:p>
    <w:p w:rsidR="0061522B" w:rsidRPr="00893517" w:rsidRDefault="0061522B" w:rsidP="0061522B">
      <w:pPr>
        <w:pStyle w:val="SingleTxtG"/>
        <w:ind w:left="2268" w:hanging="1134"/>
      </w:pPr>
      <w:r>
        <w:t>"</w:t>
      </w:r>
      <w:r>
        <w:rPr>
          <w:b/>
        </w:rPr>
        <w:t>1.8.3.12.5</w:t>
      </w:r>
      <w:r>
        <w:t xml:space="preserve"> </w:t>
      </w:r>
      <w:r>
        <w:tab/>
        <w:t>Written examinations may be performed, in whole or in part, as electronic examinations, where the answers are recorded and evaluated using electronic data processing (EDP) processes, provided the following conditions are met:</w:t>
      </w:r>
    </w:p>
    <w:p w:rsidR="0061522B" w:rsidRPr="00536641" w:rsidRDefault="0061522B" w:rsidP="0061522B">
      <w:pPr>
        <w:pStyle w:val="SingleTxtG"/>
        <w:ind w:left="2835" w:hanging="567"/>
      </w:pPr>
      <w:r w:rsidRPr="00536641">
        <w:rPr>
          <w:i/>
          <w:strike/>
          <w:u w:val="single"/>
        </w:rPr>
        <w:lastRenderedPageBreak/>
        <w:t>(a)</w:t>
      </w:r>
      <w:r w:rsidRPr="00536641">
        <w:rPr>
          <w:i/>
          <w:strike/>
          <w:u w:val="single"/>
        </w:rPr>
        <w:tab/>
        <w:t>The competent authority or an examining body designated by the competent authority shall supervise every examination. [</w:t>
      </w:r>
      <w:proofErr w:type="gramStart"/>
      <w:r w:rsidRPr="00536641">
        <w:rPr>
          <w:i/>
          <w:strike/>
          <w:u w:val="single"/>
        </w:rPr>
        <w:t>see</w:t>
      </w:r>
      <w:proofErr w:type="gramEnd"/>
      <w:r w:rsidRPr="00536641">
        <w:rPr>
          <w:i/>
          <w:strike/>
          <w:u w:val="single"/>
        </w:rPr>
        <w:t xml:space="preserve"> new 1.8.3.12.2].</w:t>
      </w:r>
    </w:p>
    <w:p w:rsidR="0061522B" w:rsidRPr="00536641" w:rsidRDefault="0061522B" w:rsidP="0061522B">
      <w:pPr>
        <w:pStyle w:val="SingleTxtG"/>
        <w:ind w:left="2835" w:hanging="567"/>
        <w:rPr>
          <w:i/>
          <w:u w:val="single"/>
        </w:rPr>
      </w:pPr>
      <w:r w:rsidRPr="00536641">
        <w:rPr>
          <w:i/>
          <w:strike/>
          <w:u w:val="single"/>
        </w:rPr>
        <w:t>(b)</w:t>
      </w:r>
      <w:r w:rsidRPr="00536641">
        <w:rPr>
          <w:i/>
          <w:u w:val="single"/>
        </w:rPr>
        <w:t>(a)</w:t>
      </w:r>
      <w:r w:rsidRPr="00536641">
        <w:t xml:space="preserve"> The hardware and software shall be checked and </w:t>
      </w:r>
      <w:r w:rsidRPr="00536641">
        <w:rPr>
          <w:i/>
          <w:strike/>
          <w:u w:val="single"/>
        </w:rPr>
        <w:t>approved</w:t>
      </w:r>
      <w:r w:rsidRPr="00536641">
        <w:rPr>
          <w:i/>
          <w:u w:val="single"/>
        </w:rPr>
        <w:t xml:space="preserve"> accepted</w:t>
      </w:r>
      <w:r w:rsidRPr="00536641">
        <w:rPr>
          <w:color w:val="FF0000"/>
          <w:u w:val="single"/>
        </w:rPr>
        <w:t xml:space="preserve"> </w:t>
      </w:r>
      <w:r w:rsidRPr="00536641">
        <w:t xml:space="preserve">by the competent authority </w:t>
      </w:r>
      <w:r w:rsidRPr="00536641">
        <w:rPr>
          <w:i/>
          <w:u w:val="single"/>
        </w:rPr>
        <w:t xml:space="preserve">or by an examining body designated by the competent authority. </w:t>
      </w:r>
      <w:r w:rsidRPr="00536641">
        <w:rPr>
          <w:i/>
          <w:strike/>
          <w:u w:val="single"/>
        </w:rPr>
        <w:t>The functioning of the application and the technical components shall be subjected to regular quality controls [too detailed for RID/ADR/ADN]. The possibility of any manipulation and deception shall be ruled out. [</w:t>
      </w:r>
      <w:proofErr w:type="gramStart"/>
      <w:r w:rsidRPr="00536641">
        <w:rPr>
          <w:i/>
          <w:strike/>
          <w:u w:val="single"/>
        </w:rPr>
        <w:t>see</w:t>
      </w:r>
      <w:proofErr w:type="gramEnd"/>
      <w:r w:rsidRPr="00536641">
        <w:rPr>
          <w:i/>
          <w:strike/>
          <w:u w:val="single"/>
        </w:rPr>
        <w:t xml:space="preserve"> new 1.8.3.12.2].</w:t>
      </w:r>
    </w:p>
    <w:p w:rsidR="0061522B" w:rsidRPr="00536641" w:rsidRDefault="0061522B" w:rsidP="0061522B">
      <w:pPr>
        <w:pStyle w:val="SingleTxtG"/>
        <w:ind w:left="2835" w:hanging="567"/>
      </w:pPr>
      <w:r w:rsidRPr="00536641">
        <w:rPr>
          <w:i/>
          <w:u w:val="single"/>
        </w:rPr>
        <w:t>(b)</w:t>
      </w:r>
      <w:r w:rsidRPr="00536641">
        <w:tab/>
        <w:t xml:space="preserve">Proper technical functioning shall be ensured. Arrangements as to whether and how the examination can be continued shall be made for a failure of the devices and applications. No aids shall be available on the input devices </w:t>
      </w:r>
      <w:r w:rsidRPr="00536641">
        <w:rPr>
          <w:i/>
          <w:u w:val="single"/>
        </w:rPr>
        <w:t>(e.g. electronic search function)</w:t>
      </w:r>
      <w:r w:rsidRPr="00536641">
        <w:t xml:space="preserve">; </w:t>
      </w:r>
      <w:r w:rsidRPr="00E8250F">
        <w:rPr>
          <w:b/>
        </w:rPr>
        <w:t>the equipment provided according to 1.8.3.12.3 shall not allow the candidates to communicate with any other device during the examination.</w:t>
      </w:r>
    </w:p>
    <w:p w:rsidR="0061522B" w:rsidRPr="00536641" w:rsidRDefault="0061522B" w:rsidP="0061522B">
      <w:pPr>
        <w:pStyle w:val="SingleTxtG"/>
        <w:ind w:left="2835" w:hanging="567"/>
        <w:rPr>
          <w:i/>
          <w:u w:val="single"/>
        </w:rPr>
      </w:pPr>
      <w:r w:rsidRPr="00536641">
        <w:rPr>
          <w:i/>
          <w:strike/>
          <w:u w:val="single"/>
        </w:rPr>
        <w:t>(c)</w:t>
      </w:r>
      <w:r w:rsidRPr="00536641">
        <w:rPr>
          <w:i/>
          <w:strike/>
          <w:u w:val="single"/>
        </w:rPr>
        <w:tab/>
        <w:t>All candidates taking the examination shall use the same input devices and applications. It shall be ensured that the candidates are instructed in the use of the input devices prior to the examination.</w:t>
      </w:r>
      <w:r w:rsidRPr="00536641">
        <w:rPr>
          <w:i/>
          <w:u w:val="single"/>
        </w:rPr>
        <w:t xml:space="preserve"> [Too detailed for RID/ADR/ADN]</w:t>
      </w:r>
    </w:p>
    <w:p w:rsidR="0061522B" w:rsidRPr="00536641" w:rsidRDefault="0061522B" w:rsidP="0061522B">
      <w:pPr>
        <w:pStyle w:val="SingleTxtG"/>
        <w:ind w:left="2835" w:hanging="567"/>
        <w:rPr>
          <w:i/>
          <w:u w:val="single"/>
        </w:rPr>
      </w:pPr>
      <w:r w:rsidRPr="00536641">
        <w:rPr>
          <w:i/>
          <w:strike/>
          <w:u w:val="single"/>
        </w:rPr>
        <w:t>(d)</w:t>
      </w:r>
      <w:r w:rsidRPr="00536641">
        <w:rPr>
          <w:i/>
          <w:strike/>
          <w:u w:val="single"/>
        </w:rPr>
        <w:tab/>
        <w:t>Authentication of the candidate on the input device used and the unambiguous and permanent assignment of tasks and answers shall be ensured.</w:t>
      </w:r>
      <w:r w:rsidRPr="00536641">
        <w:rPr>
          <w:i/>
          <w:u w:val="single"/>
        </w:rPr>
        <w:t xml:space="preserve"> [</w:t>
      </w:r>
      <w:proofErr w:type="gramStart"/>
      <w:r w:rsidRPr="00536641">
        <w:rPr>
          <w:i/>
          <w:u w:val="single"/>
        </w:rPr>
        <w:t>see</w:t>
      </w:r>
      <w:proofErr w:type="gramEnd"/>
      <w:r w:rsidRPr="00536641">
        <w:rPr>
          <w:i/>
          <w:u w:val="single"/>
        </w:rPr>
        <w:t xml:space="preserve"> new 1.8.3.12.2].</w:t>
      </w:r>
    </w:p>
    <w:p w:rsidR="0061522B" w:rsidRPr="00893517" w:rsidRDefault="0061522B" w:rsidP="0061522B">
      <w:pPr>
        <w:pStyle w:val="SingleTxtG"/>
        <w:ind w:left="2835" w:hanging="567"/>
      </w:pPr>
      <w:r w:rsidRPr="00536641">
        <w:rPr>
          <w:i/>
          <w:strike/>
          <w:u w:val="single"/>
        </w:rPr>
        <w:t>(e)</w:t>
      </w:r>
      <w:r w:rsidRPr="00536641">
        <w:rPr>
          <w:i/>
          <w:u w:val="single"/>
        </w:rPr>
        <w:t>(c)</w:t>
      </w:r>
      <w:r w:rsidRPr="00536641">
        <w:rPr>
          <w:color w:val="FF0000"/>
          <w:u w:val="single"/>
        </w:rPr>
        <w:t xml:space="preserve"> </w:t>
      </w:r>
      <w:r>
        <w:rPr>
          <w:b/>
        </w:rPr>
        <w:t>Final in</w:t>
      </w:r>
      <w:r w:rsidRPr="00E03323">
        <w:rPr>
          <w:b/>
        </w:rPr>
        <w:t>puts</w:t>
      </w:r>
      <w:r>
        <w:t xml:space="preserve"> of </w:t>
      </w:r>
      <w:r w:rsidRPr="00536641">
        <w:t xml:space="preserve">each candidate shall be </w:t>
      </w:r>
      <w:r w:rsidRPr="005863D5">
        <w:rPr>
          <w:b/>
        </w:rPr>
        <w:t>recorded</w:t>
      </w:r>
      <w:r w:rsidRPr="00536641">
        <w:t xml:space="preserve">. The determination of the results shall be transparent. </w:t>
      </w:r>
      <w:r w:rsidRPr="00536641">
        <w:rPr>
          <w:i/>
          <w:strike/>
          <w:u w:val="single"/>
        </w:rPr>
        <w:t>All examination documents shall be documented and kept as a print-out or electronically as a file.</w:t>
      </w:r>
      <w:r w:rsidRPr="00536641">
        <w:rPr>
          <w:i/>
          <w:u w:val="single"/>
        </w:rPr>
        <w:t xml:space="preserve"> [</w:t>
      </w:r>
      <w:proofErr w:type="gramStart"/>
      <w:r w:rsidRPr="00536641">
        <w:rPr>
          <w:i/>
          <w:u w:val="single"/>
        </w:rPr>
        <w:t>see</w:t>
      </w:r>
      <w:proofErr w:type="gramEnd"/>
      <w:r w:rsidRPr="00536641">
        <w:rPr>
          <w:i/>
          <w:u w:val="single"/>
        </w:rPr>
        <w:t xml:space="preserve"> new 1.8.3.12.2]</w:t>
      </w:r>
      <w:r w:rsidRPr="00536641">
        <w:t>.</w:t>
      </w:r>
    </w:p>
    <w:p w:rsidR="00DA493F" w:rsidRPr="00E44DA2" w:rsidRDefault="00944295">
      <w:pPr>
        <w:jc w:val="center"/>
        <w:rPr>
          <w:u w:val="single"/>
        </w:rPr>
      </w:pPr>
      <w:bookmarkStart w:id="0" w:name="_GoBack"/>
      <w:bookmarkEnd w:id="0"/>
      <w:r w:rsidRPr="00E44DA2">
        <w:rPr>
          <w:u w:val="single"/>
        </w:rPr>
        <w:tab/>
      </w:r>
      <w:r w:rsidRPr="00E44DA2">
        <w:rPr>
          <w:u w:val="single"/>
        </w:rPr>
        <w:tab/>
      </w:r>
      <w:r w:rsidRPr="00E44DA2">
        <w:rPr>
          <w:u w:val="single"/>
        </w:rPr>
        <w:tab/>
      </w:r>
      <w:r w:rsidRPr="00E44DA2">
        <w:rPr>
          <w:u w:val="single"/>
        </w:rPr>
        <w:tab/>
      </w:r>
    </w:p>
    <w:sectPr w:rsidR="00DA493F" w:rsidRPr="00E44D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35" w:rsidRDefault="00333235"/>
  </w:endnote>
  <w:endnote w:type="continuationSeparator" w:id="0">
    <w:p w:rsidR="00333235" w:rsidRDefault="00333235"/>
  </w:endnote>
  <w:endnote w:type="continuationNotice" w:id="1">
    <w:p w:rsidR="00333235" w:rsidRDefault="00333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jc w:val="right"/>
    </w:pPr>
    <w:r>
      <w:rPr>
        <w:rStyle w:val="PageNumber"/>
      </w:rPr>
      <w:fldChar w:fldCharType="begin"/>
    </w:r>
    <w:r>
      <w:rPr>
        <w:rStyle w:val="PageNumber"/>
      </w:rPr>
      <w:instrText xml:space="preserve"> PAGE </w:instrText>
    </w:r>
    <w:r>
      <w:rPr>
        <w:rStyle w:val="PageNumber"/>
      </w:rPr>
      <w:fldChar w:fldCharType="separate"/>
    </w:r>
    <w:r w:rsidR="00240A3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35" w:rsidRDefault="00333235">
      <w:pPr>
        <w:tabs>
          <w:tab w:val="right" w:pos="2155"/>
        </w:tabs>
        <w:spacing w:after="80"/>
        <w:ind w:left="680"/>
        <w:rPr>
          <w:u w:val="single"/>
        </w:rPr>
      </w:pPr>
      <w:r>
        <w:rPr>
          <w:u w:val="single"/>
        </w:rPr>
        <w:tab/>
      </w:r>
    </w:p>
  </w:footnote>
  <w:footnote w:type="continuationSeparator" w:id="0">
    <w:p w:rsidR="00333235" w:rsidRDefault="00333235">
      <w:pPr>
        <w:tabs>
          <w:tab w:val="left" w:pos="2155"/>
        </w:tabs>
        <w:spacing w:after="80"/>
        <w:ind w:left="680"/>
        <w:rPr>
          <w:u w:val="single"/>
        </w:rPr>
      </w:pPr>
      <w:r>
        <w:rPr>
          <w:u w:val="single"/>
        </w:rPr>
        <w:tab/>
      </w:r>
    </w:p>
  </w:footnote>
  <w:footnote w:type="continuationNotice" w:id="1">
    <w:p w:rsidR="00333235" w:rsidRDefault="00333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rPr>
        <w:lang w:val="fr-CH"/>
      </w:rPr>
    </w:pPr>
    <w:proofErr w:type="spellStart"/>
    <w:r>
      <w:rPr>
        <w:lang w:val="fr-CH"/>
      </w:rPr>
      <w:t>INF.xx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240A34">
    <w:pPr>
      <w:pStyle w:val="Header"/>
      <w:jc w:val="right"/>
    </w:pPr>
    <w:r>
      <w:t>INF.41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pBdr>
        <w:bottom w:val="single" w:sz="4" w:space="1" w:color="auto"/>
      </w:pBdr>
      <w:jc w:val="right"/>
      <w:rPr>
        <w:sz w:val="28"/>
        <w:szCs w:val="28"/>
      </w:rPr>
    </w:pPr>
    <w:r>
      <w:rPr>
        <w:sz w:val="28"/>
        <w:szCs w:val="28"/>
      </w:rPr>
      <w:t>INF.</w:t>
    </w:r>
    <w:r w:rsidR="00072774">
      <w:rPr>
        <w:sz w:val="28"/>
        <w:szCs w:val="28"/>
      </w:rPr>
      <w:t>4</w:t>
    </w:r>
    <w:r w:rsidR="0061522B">
      <w:rPr>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3F9862F3"/>
    <w:multiLevelType w:val="hybridMultilevel"/>
    <w:tmpl w:val="C3EA6170"/>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4F9C5039"/>
    <w:multiLevelType w:val="hybridMultilevel"/>
    <w:tmpl w:val="07D86112"/>
    <w:lvl w:ilvl="0" w:tplc="D51067D6">
      <w:numFmt w:val="bullet"/>
      <w:lvlText w:val="•"/>
      <w:lvlJc w:val="left"/>
      <w:pPr>
        <w:ind w:left="1689" w:hanging="555"/>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6"/>
  </w:num>
  <w:num w:numId="18">
    <w:abstractNumId w:val="28"/>
  </w:num>
  <w:num w:numId="19">
    <w:abstractNumId w:val="25"/>
  </w:num>
  <w:num w:numId="20">
    <w:abstractNumId w:val="14"/>
  </w:num>
  <w:num w:numId="21">
    <w:abstractNumId w:val="20"/>
  </w:num>
  <w:num w:numId="22">
    <w:abstractNumId w:val="29"/>
  </w:num>
  <w:num w:numId="23">
    <w:abstractNumId w:val="19"/>
  </w:num>
  <w:num w:numId="24">
    <w:abstractNumId w:val="23"/>
  </w:num>
  <w:num w:numId="25">
    <w:abstractNumId w:val="27"/>
  </w:num>
  <w:num w:numId="26">
    <w:abstractNumId w:val="21"/>
  </w:num>
  <w:num w:numId="27">
    <w:abstractNumId w:val="0"/>
  </w:num>
  <w:num w:numId="28">
    <w:abstractNumId w:val="12"/>
  </w:num>
  <w:num w:numId="29">
    <w:abstractNumId w:val="22"/>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F"/>
    <w:rsid w:val="00072774"/>
    <w:rsid w:val="00240A34"/>
    <w:rsid w:val="002F517F"/>
    <w:rsid w:val="00333235"/>
    <w:rsid w:val="00383C13"/>
    <w:rsid w:val="00466D96"/>
    <w:rsid w:val="00533591"/>
    <w:rsid w:val="0061522B"/>
    <w:rsid w:val="006A6F95"/>
    <w:rsid w:val="006E0C76"/>
    <w:rsid w:val="008E34D2"/>
    <w:rsid w:val="008E7BD0"/>
    <w:rsid w:val="00944295"/>
    <w:rsid w:val="00CF2B8B"/>
    <w:rsid w:val="00DA493F"/>
    <w:rsid w:val="00E44DA2"/>
    <w:rsid w:val="00E53D9E"/>
    <w:rsid w:val="00F230C1"/>
    <w:rsid w:val="00F4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CommentReference">
    <w:name w:val="annotation reference"/>
    <w:rPr>
      <w:sz w:val="6"/>
    </w:rPr>
  </w:style>
  <w:style w:type="paragraph" w:styleId="CommentText">
    <w:name w:val="annotation text"/>
    <w:basedOn w:val="Normal"/>
    <w:link w:val="CommentTextChar"/>
    <w:pPr>
      <w:suppressAutoHyphens/>
      <w:spacing w:after="0" w:line="240" w:lineRule="atLeast"/>
    </w:pPr>
  </w:style>
  <w:style w:type="character" w:customStyle="1" w:styleId="CommentTextChar">
    <w:name w:val="Comment Text Char"/>
    <w:basedOn w:val="DefaultParagraphFont"/>
    <w:link w:val="CommentTex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CommentSubject">
    <w:name w:val="annotation subject"/>
    <w:basedOn w:val="CommentText"/>
    <w:next w:val="CommentText"/>
    <w:link w:val="CommentSubjectChar"/>
    <w:semiHidden/>
    <w:unhideWhenUsed/>
    <w:pPr>
      <w:suppressAutoHyphens w:val="0"/>
      <w:spacing w:after="240" w:line="240" w:lineRule="auto"/>
    </w:pPr>
    <w:rPr>
      <w:b/>
      <w:bCs/>
    </w:rPr>
  </w:style>
  <w:style w:type="character" w:customStyle="1" w:styleId="CommentSubjectChar">
    <w:name w:val="Comment Subject Char"/>
    <w:basedOn w:val="CommentTextChar"/>
    <w:link w:val="CommentSubject"/>
    <w:semiHidden/>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CommentReference">
    <w:name w:val="annotation reference"/>
    <w:rPr>
      <w:sz w:val="6"/>
    </w:rPr>
  </w:style>
  <w:style w:type="paragraph" w:styleId="CommentText">
    <w:name w:val="annotation text"/>
    <w:basedOn w:val="Normal"/>
    <w:link w:val="CommentTextChar"/>
    <w:pPr>
      <w:suppressAutoHyphens/>
      <w:spacing w:after="0" w:line="240" w:lineRule="atLeast"/>
    </w:pPr>
  </w:style>
  <w:style w:type="character" w:customStyle="1" w:styleId="CommentTextChar">
    <w:name w:val="Comment Text Char"/>
    <w:basedOn w:val="DefaultParagraphFont"/>
    <w:link w:val="CommentTex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CommentSubject">
    <w:name w:val="annotation subject"/>
    <w:basedOn w:val="CommentText"/>
    <w:next w:val="CommentText"/>
    <w:link w:val="CommentSubjectChar"/>
    <w:semiHidden/>
    <w:unhideWhenUsed/>
    <w:pPr>
      <w:suppressAutoHyphens w:val="0"/>
      <w:spacing w:after="240" w:line="240" w:lineRule="auto"/>
    </w:pPr>
    <w:rPr>
      <w:b/>
      <w:bCs/>
    </w:rPr>
  </w:style>
  <w:style w:type="character" w:customStyle="1" w:styleId="CommentSubjectChar">
    <w:name w:val="Comment Subject Char"/>
    <w:basedOn w:val="CommentTextChar"/>
    <w:link w:val="CommentSubject"/>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2111899556">
      <w:bodyDiv w:val="1"/>
      <w:marLeft w:val="0"/>
      <w:marRight w:val="0"/>
      <w:marTop w:val="0"/>
      <w:marBottom w:val="0"/>
      <w:divBdr>
        <w:top w:val="none" w:sz="0" w:space="0" w:color="auto"/>
        <w:left w:val="none" w:sz="0" w:space="0" w:color="auto"/>
        <w:bottom w:val="none" w:sz="0" w:space="0" w:color="auto"/>
        <w:right w:val="none" w:sz="0" w:space="0" w:color="auto"/>
      </w:divBdr>
      <w:divsChild>
        <w:div w:id="26365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453679">
              <w:marLeft w:val="0"/>
              <w:marRight w:val="0"/>
              <w:marTop w:val="0"/>
              <w:marBottom w:val="0"/>
              <w:divBdr>
                <w:top w:val="none" w:sz="0" w:space="0" w:color="auto"/>
                <w:left w:val="none" w:sz="0" w:space="0" w:color="auto"/>
                <w:bottom w:val="none" w:sz="0" w:space="0" w:color="auto"/>
                <w:right w:val="none" w:sz="0" w:space="0" w:color="auto"/>
              </w:divBdr>
              <w:divsChild>
                <w:div w:id="10207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BFF5-B559-4B1C-953C-AB6A9663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2015-09-18T12:35:00Z</cp:lastPrinted>
  <dcterms:created xsi:type="dcterms:W3CDTF">2015-09-18T12:30:00Z</dcterms:created>
  <dcterms:modified xsi:type="dcterms:W3CDTF">2015-09-18T12:36:00Z</dcterms:modified>
</cp:coreProperties>
</file>