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A71BCC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2A202C" w:rsidRDefault="003D1DF3" w:rsidP="00F0151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2A202C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2A202C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C9728B" w:rsidRDefault="00B4677B" w:rsidP="00C504B2">
            <w:pPr>
              <w:jc w:val="right"/>
              <w:rPr>
                <w:lang w:val="en-GB"/>
              </w:rPr>
            </w:pPr>
            <w:r w:rsidRPr="00C9728B">
              <w:rPr>
                <w:sz w:val="40"/>
                <w:lang w:val="en-GB"/>
              </w:rPr>
              <w:t>ECE</w:t>
            </w:r>
            <w:r w:rsidRPr="00C9728B">
              <w:rPr>
                <w:lang w:val="en-GB"/>
              </w:rPr>
              <w:t>/TRANS/WP.15/AC.1/13</w:t>
            </w:r>
            <w:r w:rsidR="00C504B2" w:rsidRPr="00C9728B">
              <w:rPr>
                <w:lang w:val="en-GB"/>
              </w:rPr>
              <w:t>9</w:t>
            </w:r>
            <w:r w:rsidRPr="00C9728B">
              <w:rPr>
                <w:lang w:val="en-GB"/>
              </w:rPr>
              <w:t>/Add.1</w:t>
            </w:r>
          </w:p>
        </w:tc>
      </w:tr>
      <w:tr w:rsidR="003D1DF3" w:rsidRPr="002A202C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2A202C" w:rsidRDefault="00A71BCC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5.9pt;height:46.75pt;visibility:visible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2A202C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2A202C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2A202C" w:rsidRDefault="00B4677B" w:rsidP="00B4677B">
            <w:pPr>
              <w:spacing w:before="240" w:line="240" w:lineRule="exact"/>
              <w:rPr>
                <w:lang w:val="fr-FR"/>
              </w:rPr>
            </w:pPr>
            <w:proofErr w:type="spellStart"/>
            <w:r w:rsidRPr="002A202C">
              <w:rPr>
                <w:lang w:val="fr-FR"/>
              </w:rPr>
              <w:t>Distr</w:t>
            </w:r>
            <w:proofErr w:type="spellEnd"/>
            <w:r w:rsidRPr="002A202C">
              <w:rPr>
                <w:lang w:val="fr-FR"/>
              </w:rPr>
              <w:t>. générale</w:t>
            </w:r>
          </w:p>
          <w:p w:rsidR="00B4677B" w:rsidRPr="002A202C" w:rsidRDefault="00522363" w:rsidP="00B4677B">
            <w:pPr>
              <w:spacing w:line="240" w:lineRule="exact"/>
              <w:rPr>
                <w:lang w:val="fr-FR"/>
              </w:rPr>
            </w:pPr>
            <w:r w:rsidRPr="002A202C">
              <w:rPr>
                <w:lang w:val="fr-FR"/>
              </w:rPr>
              <w:t>6</w:t>
            </w:r>
            <w:r w:rsidR="00B4677B" w:rsidRPr="002A202C">
              <w:rPr>
                <w:lang w:val="fr-FR"/>
              </w:rPr>
              <w:t xml:space="preserve"> juillet 201</w:t>
            </w:r>
            <w:r w:rsidR="00C504B2" w:rsidRPr="002A202C">
              <w:rPr>
                <w:lang w:val="fr-FR"/>
              </w:rPr>
              <w:t>5</w:t>
            </w:r>
          </w:p>
          <w:p w:rsidR="00B4677B" w:rsidRPr="002A202C" w:rsidRDefault="007806B9" w:rsidP="00B4677B">
            <w:pPr>
              <w:spacing w:line="240" w:lineRule="exact"/>
              <w:rPr>
                <w:lang w:val="fr-FR"/>
              </w:rPr>
            </w:pPr>
            <w:r w:rsidRPr="002A202C">
              <w:rPr>
                <w:lang w:val="fr-FR"/>
              </w:rPr>
              <w:t>Français</w:t>
            </w:r>
          </w:p>
          <w:p w:rsidR="00B4677B" w:rsidRPr="002A202C" w:rsidRDefault="00B4677B" w:rsidP="00B4677B">
            <w:pPr>
              <w:spacing w:line="240" w:lineRule="exact"/>
              <w:rPr>
                <w:lang w:val="fr-FR"/>
              </w:rPr>
            </w:pPr>
            <w:r w:rsidRPr="002A202C">
              <w:rPr>
                <w:lang w:val="fr-FR"/>
              </w:rPr>
              <w:t xml:space="preserve">Original: français </w:t>
            </w:r>
            <w:r w:rsidR="007806B9" w:rsidRPr="002A202C">
              <w:rPr>
                <w:lang w:val="fr-FR"/>
              </w:rPr>
              <w:t>et anglais</w:t>
            </w:r>
          </w:p>
        </w:tc>
      </w:tr>
    </w:tbl>
    <w:p w:rsidR="00FF1DBD" w:rsidRPr="002A202C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2A202C">
        <w:rPr>
          <w:b/>
          <w:sz w:val="28"/>
          <w:szCs w:val="28"/>
          <w:lang w:val="fr-FR"/>
        </w:rPr>
        <w:t>Commission économique pour l’Europe</w:t>
      </w:r>
    </w:p>
    <w:p w:rsidR="00B93E72" w:rsidRPr="002A202C" w:rsidRDefault="00B93E72" w:rsidP="00B93E72">
      <w:pPr>
        <w:spacing w:before="120"/>
        <w:rPr>
          <w:sz w:val="28"/>
          <w:szCs w:val="28"/>
          <w:lang w:val="fr-FR"/>
        </w:rPr>
      </w:pPr>
      <w:r w:rsidRPr="002A202C">
        <w:rPr>
          <w:sz w:val="28"/>
          <w:szCs w:val="28"/>
          <w:lang w:val="fr-FR"/>
        </w:rPr>
        <w:t>Comité des transports intérieurs</w:t>
      </w:r>
    </w:p>
    <w:p w:rsidR="00B93E72" w:rsidRPr="002A202C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2A202C">
        <w:rPr>
          <w:b/>
          <w:sz w:val="24"/>
          <w:szCs w:val="24"/>
          <w:lang w:val="fr-FR"/>
        </w:rPr>
        <w:t>Groupe de travail des transports</w:t>
      </w:r>
      <w:r w:rsidR="00FA6422" w:rsidRPr="002A202C">
        <w:rPr>
          <w:b/>
          <w:sz w:val="24"/>
          <w:szCs w:val="24"/>
          <w:lang w:val="fr-FR"/>
        </w:rPr>
        <w:t xml:space="preserve"> </w:t>
      </w:r>
      <w:r w:rsidRPr="002A202C">
        <w:rPr>
          <w:b/>
          <w:sz w:val="24"/>
          <w:szCs w:val="24"/>
          <w:lang w:val="fr-FR"/>
        </w:rPr>
        <w:t>de marchandises dangereuses</w:t>
      </w:r>
    </w:p>
    <w:p w:rsidR="00B93E72" w:rsidRPr="002A202C" w:rsidRDefault="00B93E72" w:rsidP="00B93E72">
      <w:pPr>
        <w:spacing w:before="120"/>
        <w:rPr>
          <w:b/>
          <w:lang w:val="fr-FR"/>
        </w:rPr>
      </w:pPr>
      <w:r w:rsidRPr="002A202C">
        <w:rPr>
          <w:b/>
          <w:lang w:val="fr-FR"/>
        </w:rPr>
        <w:t>Réunion commune de la Commission d’experts</w:t>
      </w:r>
      <w:r w:rsidR="006049FD" w:rsidRPr="002A202C">
        <w:rPr>
          <w:b/>
          <w:lang w:val="fr-FR"/>
        </w:rPr>
        <w:br/>
      </w:r>
      <w:r w:rsidRPr="002A202C">
        <w:rPr>
          <w:b/>
          <w:lang w:val="fr-FR"/>
        </w:rPr>
        <w:t>du RID</w:t>
      </w:r>
      <w:r w:rsidR="00926E87" w:rsidRPr="002A202C">
        <w:rPr>
          <w:b/>
          <w:lang w:val="fr-FR"/>
        </w:rPr>
        <w:t xml:space="preserve"> </w:t>
      </w:r>
      <w:r w:rsidRPr="002A202C">
        <w:rPr>
          <w:b/>
          <w:lang w:val="fr-FR"/>
        </w:rPr>
        <w:t>et</w:t>
      </w:r>
      <w:r w:rsidR="006049FD" w:rsidRPr="002A202C">
        <w:rPr>
          <w:b/>
          <w:lang w:val="fr-FR"/>
        </w:rPr>
        <w:t xml:space="preserve"> </w:t>
      </w:r>
      <w:r w:rsidRPr="002A202C">
        <w:rPr>
          <w:b/>
          <w:lang w:val="fr-FR"/>
        </w:rPr>
        <w:t>du Groupe de travail</w:t>
      </w:r>
      <w:r w:rsidR="003D76E4" w:rsidRPr="002A202C">
        <w:rPr>
          <w:b/>
          <w:lang w:val="fr-FR"/>
        </w:rPr>
        <w:t xml:space="preserve"> </w:t>
      </w:r>
      <w:r w:rsidRPr="002A202C">
        <w:rPr>
          <w:b/>
          <w:lang w:val="fr-FR"/>
        </w:rPr>
        <w:t>des transports</w:t>
      </w:r>
      <w:r w:rsidR="006049FD" w:rsidRPr="002A202C">
        <w:rPr>
          <w:b/>
          <w:lang w:val="fr-FR"/>
        </w:rPr>
        <w:br/>
      </w:r>
      <w:r w:rsidRPr="002A202C">
        <w:rPr>
          <w:b/>
          <w:lang w:val="fr-FR"/>
        </w:rPr>
        <w:t>de marchandises dangereuses</w:t>
      </w:r>
    </w:p>
    <w:p w:rsidR="00B93E72" w:rsidRPr="002A202C" w:rsidRDefault="00414425" w:rsidP="00BF06B0">
      <w:pPr>
        <w:rPr>
          <w:lang w:val="fr-FR"/>
        </w:rPr>
      </w:pPr>
      <w:r w:rsidRPr="002A202C">
        <w:rPr>
          <w:lang w:val="fr-FR"/>
        </w:rPr>
        <w:t xml:space="preserve">Genève, </w:t>
      </w:r>
      <w:r w:rsidR="00B4677B" w:rsidRPr="002A202C">
        <w:rPr>
          <w:lang w:val="fr-FR"/>
        </w:rPr>
        <w:t>15-</w:t>
      </w:r>
      <w:r w:rsidR="00C504B2" w:rsidRPr="002A202C">
        <w:rPr>
          <w:lang w:val="fr-FR"/>
        </w:rPr>
        <w:t>25</w:t>
      </w:r>
      <w:r w:rsidR="00B4677B" w:rsidRPr="002A202C">
        <w:rPr>
          <w:lang w:val="fr-FR"/>
        </w:rPr>
        <w:t xml:space="preserve"> septembre 201</w:t>
      </w:r>
      <w:r w:rsidR="00C504B2" w:rsidRPr="002A202C">
        <w:rPr>
          <w:lang w:val="fr-FR"/>
        </w:rPr>
        <w:t>5</w:t>
      </w:r>
    </w:p>
    <w:p w:rsidR="000312C0" w:rsidRPr="002A202C" w:rsidRDefault="00B93E72" w:rsidP="00B93E72">
      <w:pPr>
        <w:rPr>
          <w:lang w:val="fr-FR"/>
        </w:rPr>
      </w:pPr>
      <w:r w:rsidRPr="002A202C">
        <w:rPr>
          <w:lang w:val="fr-FR"/>
        </w:rPr>
        <w:t xml:space="preserve">Point </w:t>
      </w:r>
      <w:r w:rsidR="00B4677B" w:rsidRPr="002A202C">
        <w:rPr>
          <w:lang w:val="fr-FR"/>
        </w:rPr>
        <w:t>1</w:t>
      </w:r>
      <w:r w:rsidRPr="002A202C">
        <w:rPr>
          <w:lang w:val="fr-FR"/>
        </w:rPr>
        <w:t xml:space="preserve"> de l’ordre du jour provisoire</w:t>
      </w:r>
    </w:p>
    <w:p w:rsidR="007806B9" w:rsidRPr="002A202C" w:rsidRDefault="007806B9" w:rsidP="007806B9">
      <w:pPr>
        <w:rPr>
          <w:b/>
          <w:lang w:val="fr-FR"/>
        </w:rPr>
      </w:pPr>
      <w:r w:rsidRPr="002A202C">
        <w:rPr>
          <w:b/>
          <w:lang w:val="fr-FR"/>
        </w:rPr>
        <w:t>Adoption de l'ordre du jour</w:t>
      </w:r>
    </w:p>
    <w:p w:rsidR="007806B9" w:rsidRPr="002A202C" w:rsidRDefault="007806B9" w:rsidP="007806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tab/>
      </w:r>
      <w:r w:rsidRPr="002A202C">
        <w:rPr>
          <w:b/>
          <w:sz w:val="28"/>
          <w:lang w:val="fr-FR"/>
        </w:rPr>
        <w:tab/>
        <w:t xml:space="preserve">Ordre du jour provisoire de la session </w:t>
      </w:r>
      <w:r w:rsidR="00803E8C" w:rsidRPr="002A202C">
        <w:rPr>
          <w:b/>
          <w:sz w:val="28"/>
          <w:lang w:val="fr-FR"/>
        </w:rPr>
        <w:t>d’automne</w:t>
      </w:r>
      <w:r w:rsidRPr="002A202C">
        <w:rPr>
          <w:b/>
          <w:sz w:val="28"/>
          <w:lang w:val="fr-FR"/>
        </w:rPr>
        <w:t xml:space="preserve"> 201</w:t>
      </w:r>
      <w:r w:rsidR="00A8788F" w:rsidRPr="002A202C">
        <w:rPr>
          <w:b/>
          <w:sz w:val="28"/>
          <w:lang w:val="fr-FR"/>
        </w:rPr>
        <w:t>5</w:t>
      </w:r>
    </w:p>
    <w:p w:rsidR="007806B9" w:rsidRPr="002A202C" w:rsidRDefault="007806B9" w:rsidP="007806B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2A202C">
        <w:rPr>
          <w:b/>
          <w:lang w:val="fr-FR"/>
        </w:rPr>
        <w:tab/>
      </w:r>
      <w:r w:rsidRPr="002A202C">
        <w:rPr>
          <w:b/>
          <w:lang w:val="fr-FR"/>
        </w:rPr>
        <w:tab/>
        <w:t>Additif</w:t>
      </w:r>
    </w:p>
    <w:p w:rsidR="007806B9" w:rsidRPr="002A202C" w:rsidRDefault="007806B9" w:rsidP="007806B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2A202C">
        <w:rPr>
          <w:b/>
          <w:sz w:val="24"/>
          <w:lang w:val="fr-FR"/>
        </w:rPr>
        <w:tab/>
      </w:r>
      <w:r w:rsidRPr="002A202C">
        <w:rPr>
          <w:b/>
          <w:sz w:val="24"/>
          <w:lang w:val="fr-FR"/>
        </w:rPr>
        <w:tab/>
        <w:t>Annotations et liste des documents</w:t>
      </w:r>
    </w:p>
    <w:p w:rsidR="007806B9" w:rsidRPr="002A202C" w:rsidRDefault="007806B9" w:rsidP="007806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tab/>
        <w:t>1.</w:t>
      </w:r>
      <w:r w:rsidRPr="002A202C">
        <w:rPr>
          <w:b/>
          <w:sz w:val="28"/>
          <w:lang w:val="fr-FR"/>
        </w:rPr>
        <w:tab/>
        <w:t>Adoption de l’ordre du jour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 xml:space="preserve">Le premier point de l’ordre du jour provisoire concerne son adoption. La Réunion commune disposera également du rapport sur sa session </w:t>
      </w:r>
      <w:r w:rsidR="00802D6A" w:rsidRPr="002A202C">
        <w:rPr>
          <w:lang w:val="fr-FR"/>
        </w:rPr>
        <w:t>de printemps</w:t>
      </w:r>
      <w:r w:rsidRPr="002A202C">
        <w:rPr>
          <w:lang w:val="fr-FR"/>
        </w:rPr>
        <w:t xml:space="preserve"> </w:t>
      </w:r>
      <w:r w:rsidR="00802D6A" w:rsidRPr="002A202C">
        <w:rPr>
          <w:lang w:val="fr-FR"/>
        </w:rPr>
        <w:t>201</w:t>
      </w:r>
      <w:r w:rsidR="00A8788F" w:rsidRPr="002A202C">
        <w:rPr>
          <w:lang w:val="fr-FR"/>
        </w:rPr>
        <w:t>5</w:t>
      </w:r>
      <w:r w:rsidRPr="002A202C">
        <w:rPr>
          <w:lang w:val="fr-FR"/>
        </w:rPr>
        <w:t xml:space="preserve"> tenue à </w:t>
      </w:r>
      <w:r w:rsidR="00802D6A" w:rsidRPr="002A202C">
        <w:rPr>
          <w:lang w:val="fr-FR"/>
        </w:rPr>
        <w:t>Berne</w:t>
      </w:r>
      <w:r w:rsidRPr="002A202C">
        <w:rPr>
          <w:lang w:val="fr-FR"/>
        </w:rPr>
        <w:t xml:space="preserve"> du </w:t>
      </w:r>
      <w:r w:rsidR="00A8788F" w:rsidRPr="002A202C">
        <w:rPr>
          <w:lang w:val="fr-FR"/>
        </w:rPr>
        <w:t>23</w:t>
      </w:r>
      <w:r w:rsidRPr="002A202C">
        <w:rPr>
          <w:lang w:val="fr-FR"/>
        </w:rPr>
        <w:t xml:space="preserve"> au </w:t>
      </w:r>
      <w:r w:rsidR="00802D6A" w:rsidRPr="002A202C">
        <w:rPr>
          <w:lang w:val="fr-FR"/>
        </w:rPr>
        <w:t>2</w:t>
      </w:r>
      <w:r w:rsidR="00A8788F" w:rsidRPr="002A202C">
        <w:rPr>
          <w:lang w:val="fr-FR"/>
        </w:rPr>
        <w:t>7</w:t>
      </w:r>
      <w:r w:rsidR="00802D6A" w:rsidRPr="002A202C">
        <w:rPr>
          <w:lang w:val="fr-FR"/>
        </w:rPr>
        <w:t xml:space="preserve"> mars 201</w:t>
      </w:r>
      <w:r w:rsidR="00A8788F" w:rsidRPr="002A202C">
        <w:rPr>
          <w:lang w:val="fr-FR"/>
        </w:rPr>
        <w:t>5</w:t>
      </w:r>
      <w:r w:rsidRPr="002A202C">
        <w:rPr>
          <w:lang w:val="fr-FR"/>
        </w:rPr>
        <w:t xml:space="preserve"> (ECE/TRANS/WP.15/AC.1/</w:t>
      </w:r>
      <w:r w:rsidR="00522363" w:rsidRPr="002A202C">
        <w:rPr>
          <w:lang w:val="fr-FR"/>
        </w:rPr>
        <w:t>138</w:t>
      </w:r>
      <w:r w:rsidRPr="002A202C">
        <w:rPr>
          <w:lang w:val="fr-FR"/>
        </w:rPr>
        <w:t xml:space="preserve"> - </w:t>
      </w:r>
      <w:r w:rsidRPr="00A751BF">
        <w:rPr>
          <w:lang w:val="fr-FR"/>
        </w:rPr>
        <w:t>OTIF/RID/RC/</w:t>
      </w:r>
      <w:r w:rsidR="00522363" w:rsidRPr="00A751BF">
        <w:rPr>
          <w:lang w:val="fr-FR"/>
        </w:rPr>
        <w:t>2015</w:t>
      </w:r>
      <w:r w:rsidR="00802D6A" w:rsidRPr="00A751BF">
        <w:rPr>
          <w:lang w:val="fr-FR"/>
        </w:rPr>
        <w:t>-A</w:t>
      </w:r>
      <w:r w:rsidR="00802D6A" w:rsidRPr="002A202C">
        <w:rPr>
          <w:lang w:val="fr-FR"/>
        </w:rPr>
        <w:t xml:space="preserve"> et </w:t>
      </w:r>
      <w:r w:rsidR="00813CC6" w:rsidRPr="002A202C">
        <w:rPr>
          <w:lang w:val="fr-FR"/>
        </w:rPr>
        <w:br/>
      </w:r>
      <w:proofErr w:type="spellStart"/>
      <w:r w:rsidR="00522363" w:rsidRPr="002A202C">
        <w:rPr>
          <w:lang w:val="fr-FR"/>
        </w:rPr>
        <w:t>Add</w:t>
      </w:r>
      <w:proofErr w:type="spellEnd"/>
      <w:r w:rsidR="00522363" w:rsidRPr="002A202C">
        <w:rPr>
          <w:lang w:val="fr-FR"/>
        </w:rPr>
        <w:t xml:space="preserve"> 1</w:t>
      </w:r>
      <w:r w:rsidRPr="002A202C">
        <w:rPr>
          <w:lang w:val="fr-FR"/>
        </w:rPr>
        <w:t>).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Il convient de rappeler les points suivants: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a)</w:t>
      </w:r>
      <w:r w:rsidRPr="002A202C">
        <w:rPr>
          <w:lang w:val="fr-FR"/>
        </w:rPr>
        <w:tab/>
        <w:t>À sa session d'automne 201</w:t>
      </w:r>
      <w:r w:rsidR="00C74CDD" w:rsidRPr="002A202C">
        <w:rPr>
          <w:lang w:val="fr-FR"/>
        </w:rPr>
        <w:t>4</w:t>
      </w:r>
      <w:r w:rsidRPr="002A202C">
        <w:rPr>
          <w:lang w:val="fr-FR"/>
        </w:rPr>
        <w:t>, la Réunion commune a élu M. C. </w:t>
      </w:r>
      <w:proofErr w:type="spellStart"/>
      <w:r w:rsidRPr="002A202C">
        <w:rPr>
          <w:lang w:val="fr-FR"/>
        </w:rPr>
        <w:t>Pfauvadel</w:t>
      </w:r>
      <w:proofErr w:type="spellEnd"/>
      <w:r w:rsidRPr="002A202C">
        <w:rPr>
          <w:lang w:val="fr-FR"/>
        </w:rPr>
        <w:t xml:space="preserve"> (France) et M. H. Rein (Allemagne) respectivement Président et Vice-Président pour 201</w:t>
      </w:r>
      <w:r w:rsidR="00C74CDD" w:rsidRPr="002A202C">
        <w:rPr>
          <w:lang w:val="fr-FR"/>
        </w:rPr>
        <w:t>5</w:t>
      </w:r>
      <w:r w:rsidRPr="002A202C">
        <w:rPr>
          <w:lang w:val="fr-FR"/>
        </w:rPr>
        <w:t>;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b)</w:t>
      </w:r>
      <w:r w:rsidRPr="002A202C">
        <w:rPr>
          <w:lang w:val="fr-FR"/>
        </w:rPr>
        <w:tab/>
        <w:t>Les documents de la CEE-ONU (autres que les ordres du jour ou les rapports) portant la cote ECE/TRANS/WP.15/AC.1/ sont diffusés par l’Organisation intergouvernementale pour les transports internationaux ferroviaires (OTIF) en langue allemande sous la cote OTIF/RID/RC/ suivis du même numéro de document.  Par souci d’économie, les documents ne seront pas disponibles en salle.  Les délégués sont priés de se rendre à la réunion munis de leur exemplaire des documents;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c)</w:t>
      </w:r>
      <w:r w:rsidRPr="002A202C">
        <w:rPr>
          <w:lang w:val="fr-FR"/>
        </w:rPr>
        <w:tab/>
        <w:t>La documentation sera disponible sur le site web de la CEE-ONU (</w:t>
      </w:r>
      <w:hyperlink r:id="rId9" w:history="1">
        <w:r w:rsidRPr="002A202C">
          <w:rPr>
            <w:lang w:val="fr-FR"/>
          </w:rPr>
          <w:t>www.unece.org/trans/danger/danger.htm</w:t>
        </w:r>
      </w:hyperlink>
      <w:r w:rsidRPr="002A202C">
        <w:rPr>
          <w:lang w:val="fr-FR"/>
        </w:rPr>
        <w:t>) en anglais, français et russe;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d)</w:t>
      </w:r>
      <w:r w:rsidRPr="002A202C">
        <w:rPr>
          <w:lang w:val="fr-FR"/>
        </w:rPr>
        <w:tab/>
        <w:t xml:space="preserve">La Réunion commune souhaitera éventuellement, si nécessaire, qu’un groupe de travail spécial se réunisse en dehors des heures de session plénière pour examiner les </w:t>
      </w:r>
      <w:r w:rsidRPr="002A202C">
        <w:rPr>
          <w:lang w:val="fr-FR"/>
        </w:rPr>
        <w:lastRenderedPageBreak/>
        <w:t xml:space="preserve">documents relatifs aux normes (point </w:t>
      </w:r>
      <w:r w:rsidR="00522363" w:rsidRPr="002A202C">
        <w:rPr>
          <w:lang w:val="fr-FR"/>
        </w:rPr>
        <w:t>5</w:t>
      </w:r>
      <w:r w:rsidRPr="002A202C">
        <w:rPr>
          <w:lang w:val="fr-FR"/>
        </w:rPr>
        <w:t>), conformément au mandat que la Réunion commune décidera;</w:t>
      </w:r>
    </w:p>
    <w:p w:rsidR="007806B9" w:rsidRPr="002A202C" w:rsidRDefault="007806B9" w:rsidP="007806B9">
      <w:pPr>
        <w:spacing w:after="120"/>
        <w:ind w:left="1134" w:right="1134"/>
        <w:jc w:val="both"/>
        <w:rPr>
          <w:szCs w:val="24"/>
          <w:lang w:val="fr-FR"/>
        </w:rPr>
      </w:pPr>
      <w:r w:rsidRPr="002A202C">
        <w:rPr>
          <w:szCs w:val="24"/>
          <w:lang w:val="fr-FR"/>
        </w:rPr>
        <w:tab/>
        <w:t>e)</w:t>
      </w:r>
      <w:r w:rsidRPr="002A202C">
        <w:rPr>
          <w:szCs w:val="24"/>
          <w:lang w:val="fr-FR"/>
        </w:rPr>
        <w:tab/>
        <w:t xml:space="preserve">La Réunion commune souhaitera éventuellement, si nécessaire, qu'un groupe de travail spécial se réunisse en parallèle pour examiner les documents relatifs aux citernes (point </w:t>
      </w:r>
      <w:r w:rsidR="002A202C" w:rsidRPr="002A202C">
        <w:rPr>
          <w:szCs w:val="24"/>
          <w:lang w:val="fr-FR"/>
        </w:rPr>
        <w:t>6</w:t>
      </w:r>
      <w:r w:rsidRPr="002A202C">
        <w:rPr>
          <w:szCs w:val="24"/>
          <w:lang w:val="fr-FR"/>
        </w:rPr>
        <w:t>) après examen de ce point en session plénière;</w:t>
      </w:r>
    </w:p>
    <w:p w:rsidR="007806B9" w:rsidRPr="002A202C" w:rsidRDefault="007806B9" w:rsidP="007806B9">
      <w:pPr>
        <w:spacing w:after="120"/>
        <w:ind w:left="1134" w:right="1134"/>
        <w:jc w:val="both"/>
        <w:rPr>
          <w:szCs w:val="24"/>
          <w:lang w:val="fr-FR"/>
        </w:rPr>
      </w:pPr>
      <w:r w:rsidRPr="002A202C">
        <w:rPr>
          <w:szCs w:val="24"/>
          <w:lang w:val="fr-FR"/>
        </w:rPr>
        <w:tab/>
        <w:t>f)</w:t>
      </w:r>
      <w:r w:rsidRPr="002A202C">
        <w:rPr>
          <w:szCs w:val="24"/>
          <w:lang w:val="fr-FR"/>
        </w:rPr>
        <w:tab/>
      </w:r>
      <w:r w:rsidR="00513891" w:rsidRPr="002A202C">
        <w:rPr>
          <w:rFonts w:ascii="TimesNewRomanPSMT" w:hAnsi="TimesNewRomanPSMT" w:cs="TimesNewRomanPSMT"/>
          <w:lang w:val="fr-FR" w:eastAsia="fr-FR"/>
        </w:rPr>
        <w:t xml:space="preserve">Comme le mercredi 23 septembre 2015 est un jour férié à l’ONU, il n’y aura pas d’interprétation ce jour-là qui sera réservé aux travaux de groupes de travail et éventuellement à la lecture des projets de rapport déjà disponibles. Les groupes de travail sur les citernes et sur les normes se réuniront durant la deuxième semaine. </w:t>
      </w:r>
      <w:r w:rsidR="00513891" w:rsidRPr="00A751BF">
        <w:rPr>
          <w:rFonts w:ascii="TimesNewRomanPSMT" w:hAnsi="TimesNewRomanPSMT" w:cs="TimesNewRomanPSMT"/>
          <w:lang w:val="fr-FR" w:eastAsia="fr-FR"/>
        </w:rPr>
        <w:t>La lecture du rapport, ou de la fin du rapport, aura lieu le vendredi 25 septembre,</w:t>
      </w:r>
      <w:r w:rsidRPr="00A751BF">
        <w:rPr>
          <w:szCs w:val="24"/>
          <w:lang w:val="fr-FR"/>
        </w:rPr>
        <w:t xml:space="preserve"> sans interprétation.</w:t>
      </w:r>
    </w:p>
    <w:p w:rsidR="00E90F1E" w:rsidRPr="002A202C" w:rsidRDefault="007806B9" w:rsidP="007806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tab/>
        <w:t>2.</w:t>
      </w:r>
      <w:r w:rsidRPr="002A202C">
        <w:rPr>
          <w:b/>
          <w:sz w:val="28"/>
          <w:lang w:val="fr-FR"/>
        </w:rPr>
        <w:tab/>
      </w:r>
      <w:r w:rsidR="00E90F1E" w:rsidRPr="002A202C">
        <w:rPr>
          <w:b/>
          <w:sz w:val="28"/>
          <w:lang w:val="fr-FR"/>
        </w:rPr>
        <w:t>Harmonisation avec les Recommandations relatives au transport des marchandises dangereuses de l’Organisation des Nations Unies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1"/>
        <w:gridCol w:w="4853"/>
      </w:tblGrid>
      <w:tr w:rsidR="005F2CE2" w:rsidRPr="002A202C" w:rsidTr="00C74CDD">
        <w:tc>
          <w:tcPr>
            <w:tcW w:w="3652" w:type="dxa"/>
            <w:gridSpan w:val="2"/>
          </w:tcPr>
          <w:p w:rsidR="005F2CE2" w:rsidRPr="002A202C" w:rsidRDefault="005F2CE2" w:rsidP="005F2CE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2A202C">
              <w:rPr>
                <w:lang w:val="fr-FR"/>
              </w:rPr>
              <w:t xml:space="preserve">ECE/TRANS/WP.15/AC.1/2015/23 </w:t>
            </w:r>
            <w:r w:rsidR="002A202C" w:rsidRPr="002A202C">
              <w:rPr>
                <w:lang w:val="fr-FR"/>
              </w:rPr>
              <w:t xml:space="preserve">et -/Add.1 </w:t>
            </w:r>
            <w:r w:rsidRPr="002A202C">
              <w:rPr>
                <w:lang w:val="fr-FR"/>
              </w:rPr>
              <w:t>(Secrétariat)</w:t>
            </w:r>
          </w:p>
        </w:tc>
        <w:tc>
          <w:tcPr>
            <w:tcW w:w="4853" w:type="dxa"/>
          </w:tcPr>
          <w:p w:rsidR="005F2CE2" w:rsidRPr="002A202C" w:rsidRDefault="002A202C" w:rsidP="005F2CE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2A202C">
              <w:rPr>
                <w:lang w:val="fr-FR"/>
              </w:rPr>
              <w:t>Rapport du groupe de travail ad hoc sur l’harmonisation du RID/ADR/ADN avec les Recommandations relatives au transport des marchandises dangereuses de l'Organisation des Nations Unies</w:t>
            </w:r>
          </w:p>
        </w:tc>
      </w:tr>
      <w:tr w:rsidR="005F2CE2" w:rsidRPr="002A202C" w:rsidTr="005F2CE2">
        <w:tc>
          <w:tcPr>
            <w:tcW w:w="3641" w:type="dxa"/>
          </w:tcPr>
          <w:p w:rsidR="005F2CE2" w:rsidRPr="002A202C" w:rsidRDefault="005F2CE2" w:rsidP="005F2CE2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2A202C">
              <w:rPr>
                <w:lang w:val="fr-FR"/>
              </w:rPr>
              <w:t>ECE/TRANS/WP.15/AC.1/2015/29</w:t>
            </w:r>
            <w:r w:rsidR="00C9728B">
              <w:rPr>
                <w:lang w:val="fr-FR"/>
              </w:rPr>
              <w:t xml:space="preserve"> (Secrétariat)</w:t>
            </w:r>
          </w:p>
        </w:tc>
        <w:tc>
          <w:tcPr>
            <w:tcW w:w="4864" w:type="dxa"/>
            <w:gridSpan w:val="2"/>
          </w:tcPr>
          <w:p w:rsidR="005F2CE2" w:rsidRPr="002A202C" w:rsidRDefault="002A202C" w:rsidP="005F2CE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2A202C">
              <w:rPr>
                <w:lang w:val="fr-FR"/>
              </w:rPr>
              <w:t>Amendements en relation avec les termes marque/marquage et engin de transport pour le RID, l’ADR et l’ADN</w:t>
            </w:r>
          </w:p>
        </w:tc>
      </w:tr>
    </w:tbl>
    <w:p w:rsidR="00E90F1E" w:rsidRPr="002A202C" w:rsidRDefault="007806B9" w:rsidP="00E90F1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tab/>
      </w:r>
      <w:r w:rsidR="00E90F1E" w:rsidRPr="002A202C">
        <w:rPr>
          <w:b/>
          <w:sz w:val="28"/>
          <w:lang w:val="fr-FR"/>
        </w:rPr>
        <w:t>3.</w:t>
      </w:r>
      <w:r w:rsidR="00E90F1E" w:rsidRPr="002A202C">
        <w:rPr>
          <w:b/>
          <w:sz w:val="28"/>
          <w:lang w:val="fr-FR"/>
        </w:rPr>
        <w:tab/>
        <w:t>Propositions d’amendements au RID/ADR/ADN</w:t>
      </w:r>
    </w:p>
    <w:p w:rsidR="00E90F1E" w:rsidRPr="002A202C" w:rsidRDefault="00E90F1E" w:rsidP="00E90F1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2A202C">
        <w:rPr>
          <w:b/>
          <w:sz w:val="24"/>
          <w:lang w:val="fr-FR"/>
        </w:rPr>
        <w:tab/>
        <w:t>a)</w:t>
      </w:r>
      <w:r w:rsidRPr="002A202C">
        <w:rPr>
          <w:b/>
          <w:sz w:val="24"/>
          <w:lang w:val="fr-FR"/>
        </w:rPr>
        <w:tab/>
        <w:t>Questions en suspens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5F2CE2" w:rsidRPr="007F2090" w:rsidTr="00C74CDD">
        <w:trPr>
          <w:cantSplit/>
        </w:trPr>
        <w:tc>
          <w:tcPr>
            <w:tcW w:w="3655" w:type="dxa"/>
          </w:tcPr>
          <w:p w:rsidR="005F2CE2" w:rsidRPr="007F2090" w:rsidRDefault="005F2CE2" w:rsidP="005F2CE2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</w:t>
            </w:r>
            <w:r w:rsidR="00A5076A" w:rsidRPr="007F2090">
              <w:rPr>
                <w:lang w:val="fr-FR"/>
              </w:rPr>
              <w:t>/WP.15/AC.1/2015/24 (Belgique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7F2090" w:rsidRDefault="007F2090" w:rsidP="005F2CE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Document de transport pour les emballages vides non nettoyés</w:t>
            </w:r>
          </w:p>
        </w:tc>
      </w:tr>
      <w:tr w:rsidR="005F2CE2" w:rsidRPr="007F2090" w:rsidTr="00C74CDD">
        <w:trPr>
          <w:cantSplit/>
        </w:trPr>
        <w:tc>
          <w:tcPr>
            <w:tcW w:w="3655" w:type="dxa"/>
          </w:tcPr>
          <w:p w:rsidR="005F2CE2" w:rsidRPr="007F2090" w:rsidRDefault="005F2CE2" w:rsidP="00A5076A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ECE/TRANS/WP.15/AC.1/2015/25 (</w:t>
            </w:r>
            <w:r w:rsidR="00A5076A" w:rsidRPr="007F2090">
              <w:rPr>
                <w:lang w:val="fr-FR"/>
              </w:rPr>
              <w:t>Espagne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7F2090" w:rsidRDefault="003923E9" w:rsidP="005F2CE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Transport en vrac</w:t>
            </w:r>
          </w:p>
        </w:tc>
      </w:tr>
      <w:tr w:rsidR="005F2CE2" w:rsidRPr="007F2090" w:rsidTr="00C74CDD">
        <w:trPr>
          <w:cantSplit/>
        </w:trPr>
        <w:tc>
          <w:tcPr>
            <w:tcW w:w="3655" w:type="dxa"/>
          </w:tcPr>
          <w:p w:rsidR="005F2CE2" w:rsidRPr="007F2090" w:rsidRDefault="005F2CE2" w:rsidP="00A5076A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ECE/TRANS/WP.15/AC.1/2015/26/Rev.1 (</w:t>
            </w:r>
            <w:r w:rsidR="00A5076A" w:rsidRPr="007F2090">
              <w:rPr>
                <w:lang w:val="fr-FR"/>
              </w:rPr>
              <w:t>Allemagne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7F2090" w:rsidRDefault="003923E9" w:rsidP="003923E9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bookmarkStart w:id="1" w:name="OLE_LINK3"/>
            <w:bookmarkStart w:id="2" w:name="OLE_LINK4"/>
            <w:r>
              <w:rPr>
                <w:lang w:val="fr-FR"/>
              </w:rPr>
              <w:t xml:space="preserve">Possibilité d’utiliser des moyens électroniques lors des examens des conseillers à la sécurité, des conducteurs de véhicules ADR et des experts ADN </w:t>
            </w:r>
            <w:bookmarkEnd w:id="1"/>
            <w:bookmarkEnd w:id="2"/>
          </w:p>
        </w:tc>
      </w:tr>
      <w:tr w:rsidR="005F2CE2" w:rsidRPr="007F2090" w:rsidTr="00C74CDD">
        <w:trPr>
          <w:cantSplit/>
        </w:trPr>
        <w:tc>
          <w:tcPr>
            <w:tcW w:w="3655" w:type="dxa"/>
          </w:tcPr>
          <w:p w:rsidR="005F2CE2" w:rsidRPr="007F2090" w:rsidRDefault="005F2CE2" w:rsidP="00A5076A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 xml:space="preserve">ECE/TRANS/WP.15/AC.1/2015/37 </w:t>
            </w:r>
            <w:r w:rsidR="00A41CDA">
              <w:t xml:space="preserve">et document informel INF.5 </w:t>
            </w:r>
            <w:r w:rsidRPr="007F2090">
              <w:rPr>
                <w:lang w:val="fr-FR"/>
              </w:rPr>
              <w:t>(</w:t>
            </w:r>
            <w:r w:rsidR="00A5076A" w:rsidRPr="007F2090">
              <w:rPr>
                <w:lang w:val="fr-FR"/>
              </w:rPr>
              <w:t>Suède/Espagne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7F2090" w:rsidRDefault="003923E9" w:rsidP="005F2CE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Chargeur et déchargeur</w:t>
            </w:r>
          </w:p>
        </w:tc>
      </w:tr>
    </w:tbl>
    <w:p w:rsidR="00E90F1E" w:rsidRPr="002A202C" w:rsidRDefault="00E90F1E" w:rsidP="00E90F1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2A202C">
        <w:rPr>
          <w:b/>
          <w:sz w:val="24"/>
          <w:lang w:val="fr-FR"/>
        </w:rPr>
        <w:tab/>
        <w:t>b)</w:t>
      </w:r>
      <w:r w:rsidRPr="002A202C">
        <w:rPr>
          <w:b/>
          <w:sz w:val="24"/>
          <w:lang w:val="fr-FR"/>
        </w:rPr>
        <w:tab/>
        <w:t>Nouvelles propositions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14"/>
        <w:gridCol w:w="4851"/>
      </w:tblGrid>
      <w:tr w:rsidR="003923E9" w:rsidRPr="003923E9" w:rsidTr="003923E9">
        <w:trPr>
          <w:cantSplit/>
        </w:trPr>
        <w:tc>
          <w:tcPr>
            <w:tcW w:w="3655" w:type="dxa"/>
            <w:gridSpan w:val="2"/>
          </w:tcPr>
          <w:p w:rsidR="005F2CE2" w:rsidRPr="003923E9" w:rsidRDefault="005F2CE2" w:rsidP="005F2CE2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ECE/TRANS/WP.15/AC.1/2015/28 (</w:t>
            </w:r>
            <w:r w:rsidR="00A5076A" w:rsidRPr="003923E9">
              <w:rPr>
                <w:lang w:val="fr-FR"/>
              </w:rPr>
              <w:t>Allemagne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3923E9" w:rsidRDefault="003923E9" w:rsidP="00AE4B1B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Autorité compétente </w:t>
            </w:r>
            <w:r w:rsidR="00AE4B1B">
              <w:rPr>
                <w:lang w:val="fr-FR"/>
              </w:rPr>
              <w:t>selon</w:t>
            </w:r>
            <w:r>
              <w:rPr>
                <w:lang w:val="fr-FR"/>
              </w:rPr>
              <w:t xml:space="preserve"> la disposition spéciale</w:t>
            </w:r>
            <w:r w:rsidR="005F2CE2" w:rsidRPr="003923E9">
              <w:rPr>
                <w:lang w:val="fr-FR"/>
              </w:rPr>
              <w:t xml:space="preserve"> 376</w:t>
            </w:r>
          </w:p>
        </w:tc>
      </w:tr>
      <w:tr w:rsidR="003923E9" w:rsidRPr="003923E9" w:rsidTr="003923E9">
        <w:trPr>
          <w:cantSplit/>
        </w:trPr>
        <w:tc>
          <w:tcPr>
            <w:tcW w:w="3655" w:type="dxa"/>
            <w:gridSpan w:val="2"/>
          </w:tcPr>
          <w:p w:rsidR="005F2CE2" w:rsidRPr="003923E9" w:rsidRDefault="005F2CE2" w:rsidP="00A5076A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ECE/TRANS/WP.15/AC.1/2015/30 (</w:t>
            </w:r>
            <w:r w:rsidR="003905BA">
              <w:rPr>
                <w:lang w:val="fr-FR"/>
              </w:rPr>
              <w:t>Secrétariat de l'</w:t>
            </w:r>
            <w:r w:rsidRPr="003923E9">
              <w:rPr>
                <w:lang w:val="fr-FR"/>
              </w:rPr>
              <w:t>OTIF/Secr</w:t>
            </w:r>
            <w:r w:rsidR="00A5076A" w:rsidRPr="003923E9">
              <w:rPr>
                <w:lang w:val="fr-FR"/>
              </w:rPr>
              <w:t>é</w:t>
            </w:r>
            <w:r w:rsidRPr="003923E9">
              <w:rPr>
                <w:lang w:val="fr-FR"/>
              </w:rPr>
              <w:t>tariat</w:t>
            </w:r>
            <w:r w:rsidR="003905BA">
              <w:rPr>
                <w:lang w:val="fr-FR"/>
              </w:rPr>
              <w:t xml:space="preserve"> de la CEE/ONU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3923E9" w:rsidRDefault="003923E9" w:rsidP="005F2CE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Mesures transitoires</w:t>
            </w:r>
          </w:p>
        </w:tc>
      </w:tr>
      <w:tr w:rsidR="003923E9" w:rsidRPr="003923E9" w:rsidTr="003923E9">
        <w:trPr>
          <w:cantSplit/>
        </w:trPr>
        <w:tc>
          <w:tcPr>
            <w:tcW w:w="3655" w:type="dxa"/>
            <w:gridSpan w:val="2"/>
          </w:tcPr>
          <w:p w:rsidR="003923E9" w:rsidRPr="003923E9" w:rsidRDefault="003923E9" w:rsidP="00A5076A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lastRenderedPageBreak/>
              <w:t>ECE/TRANS/WP.15/AC.1/2015/32 (Royaume-Uni)</w:t>
            </w:r>
          </w:p>
        </w:tc>
        <w:tc>
          <w:tcPr>
            <w:tcW w:w="4850" w:type="dxa"/>
          </w:tcPr>
          <w:p w:rsidR="003923E9" w:rsidRPr="003923E9" w:rsidRDefault="003923E9" w:rsidP="00557276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Amend</w:t>
            </w:r>
            <w:r>
              <w:rPr>
                <w:lang w:val="fr-FR"/>
              </w:rPr>
              <w:t>e</w:t>
            </w:r>
            <w:r w:rsidRPr="003923E9">
              <w:rPr>
                <w:lang w:val="fr-FR"/>
              </w:rPr>
              <w:t xml:space="preserve">ments </w:t>
            </w:r>
            <w:r>
              <w:rPr>
                <w:lang w:val="fr-FR"/>
              </w:rPr>
              <w:t>aux textes du</w:t>
            </w:r>
            <w:r w:rsidRPr="003923E9">
              <w:rPr>
                <w:lang w:val="fr-FR"/>
              </w:rPr>
              <w:t xml:space="preserve"> RID/</w:t>
            </w:r>
            <w:r>
              <w:rPr>
                <w:lang w:val="fr-FR"/>
              </w:rPr>
              <w:t>de l’</w:t>
            </w:r>
            <w:r w:rsidRPr="003923E9">
              <w:rPr>
                <w:lang w:val="fr-FR"/>
              </w:rPr>
              <w:t xml:space="preserve">ADR </w:t>
            </w:r>
            <w:r>
              <w:rPr>
                <w:lang w:val="fr-FR"/>
              </w:rPr>
              <w:t xml:space="preserve">pour les prescriptions relatives au placardage </w:t>
            </w:r>
            <w:r w:rsidR="00557276">
              <w:rPr>
                <w:lang w:val="fr-FR"/>
              </w:rPr>
              <w:t>et au marquage dans le chapitre</w:t>
            </w:r>
            <w:r w:rsidRPr="003923E9">
              <w:rPr>
                <w:lang w:val="fr-FR"/>
              </w:rPr>
              <w:t xml:space="preserve"> 1.4</w:t>
            </w:r>
          </w:p>
        </w:tc>
      </w:tr>
      <w:tr w:rsidR="003923E9" w:rsidRPr="003923E9" w:rsidTr="003923E9">
        <w:trPr>
          <w:cantSplit/>
        </w:trPr>
        <w:tc>
          <w:tcPr>
            <w:tcW w:w="3655" w:type="dxa"/>
            <w:gridSpan w:val="2"/>
          </w:tcPr>
          <w:p w:rsidR="005F2CE2" w:rsidRPr="003923E9" w:rsidRDefault="005F2CE2" w:rsidP="00A5076A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ECE/TRANS/WP.15/AC.1/2015/33 (</w:t>
            </w:r>
            <w:r w:rsidR="00A5076A" w:rsidRPr="003923E9">
              <w:rPr>
                <w:lang w:val="fr-FR"/>
              </w:rPr>
              <w:t>Roumanie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3923E9" w:rsidRDefault="003923E9" w:rsidP="003923E9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Utilisation uniforme du terme «code» dans le chapitre 7.3</w:t>
            </w:r>
          </w:p>
        </w:tc>
      </w:tr>
      <w:tr w:rsidR="003923E9" w:rsidRPr="003923E9" w:rsidTr="003923E9">
        <w:trPr>
          <w:cantSplit/>
        </w:trPr>
        <w:tc>
          <w:tcPr>
            <w:tcW w:w="3655" w:type="dxa"/>
            <w:gridSpan w:val="2"/>
          </w:tcPr>
          <w:p w:rsidR="005F2CE2" w:rsidRPr="003923E9" w:rsidRDefault="005F2CE2" w:rsidP="005F2CE2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 xml:space="preserve">ECE/TRANS/WP.15/AC.1/2015/34 </w:t>
            </w:r>
            <w:r w:rsidR="004548A2">
              <w:rPr>
                <w:lang w:val="fr-FR"/>
              </w:rPr>
              <w:t xml:space="preserve">et document informel INF.3 </w:t>
            </w:r>
            <w:r w:rsidRPr="003923E9">
              <w:rPr>
                <w:lang w:val="fr-FR"/>
              </w:rPr>
              <w:t>(</w:t>
            </w:r>
            <w:r w:rsidR="00A5076A" w:rsidRPr="003923E9">
              <w:rPr>
                <w:lang w:val="fr-FR"/>
              </w:rPr>
              <w:t>Roumanie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3923E9" w:rsidRDefault="005F2CE2" w:rsidP="00390AE6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Amend</w:t>
            </w:r>
            <w:r w:rsidR="00390AE6">
              <w:rPr>
                <w:lang w:val="fr-FR"/>
              </w:rPr>
              <w:t>e</w:t>
            </w:r>
            <w:r w:rsidRPr="003923E9">
              <w:rPr>
                <w:lang w:val="fr-FR"/>
              </w:rPr>
              <w:t xml:space="preserve">ments </w:t>
            </w:r>
            <w:r w:rsidR="00390AE6">
              <w:rPr>
                <w:lang w:val="fr-FR"/>
              </w:rPr>
              <w:t>relatifs aux obligations du transporteur</w:t>
            </w:r>
            <w:r w:rsidRPr="003923E9">
              <w:rPr>
                <w:lang w:val="fr-FR"/>
              </w:rPr>
              <w:t xml:space="preserve"> - </w:t>
            </w:r>
            <w:r w:rsidR="00390AE6">
              <w:rPr>
                <w:lang w:val="fr-FR"/>
              </w:rPr>
              <w:t xml:space="preserve">sous-section 1.4.2.2 du </w:t>
            </w:r>
            <w:r w:rsidRPr="003923E9">
              <w:rPr>
                <w:lang w:val="fr-FR"/>
              </w:rPr>
              <w:t>RID/</w:t>
            </w:r>
            <w:r w:rsidR="00390AE6">
              <w:rPr>
                <w:lang w:val="fr-FR"/>
              </w:rPr>
              <w:t>de l’</w:t>
            </w:r>
            <w:r w:rsidRPr="003923E9">
              <w:rPr>
                <w:lang w:val="fr-FR"/>
              </w:rPr>
              <w:t>ADR/</w:t>
            </w:r>
            <w:r w:rsidR="00390AE6">
              <w:rPr>
                <w:lang w:val="fr-FR"/>
              </w:rPr>
              <w:t>de l’</w:t>
            </w:r>
            <w:r w:rsidRPr="003923E9">
              <w:rPr>
                <w:lang w:val="fr-FR"/>
              </w:rPr>
              <w:t>ADN</w:t>
            </w:r>
          </w:p>
        </w:tc>
      </w:tr>
      <w:tr w:rsidR="003923E9" w:rsidRPr="003923E9" w:rsidTr="003923E9">
        <w:trPr>
          <w:cantSplit/>
        </w:trPr>
        <w:tc>
          <w:tcPr>
            <w:tcW w:w="3655" w:type="dxa"/>
            <w:gridSpan w:val="2"/>
          </w:tcPr>
          <w:p w:rsidR="005F2CE2" w:rsidRPr="003923E9" w:rsidRDefault="005F2CE2" w:rsidP="005F2CE2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ECE/TRANS/WP.15/AC.1/2015/35 (</w:t>
            </w:r>
            <w:r w:rsidR="00A5076A" w:rsidRPr="003923E9">
              <w:rPr>
                <w:lang w:val="fr-FR"/>
              </w:rPr>
              <w:t>Roumanie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3923E9" w:rsidRDefault="005F2CE2" w:rsidP="00AE4B1B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Amend</w:t>
            </w:r>
            <w:r w:rsidR="00AE4B1B">
              <w:rPr>
                <w:lang w:val="fr-FR"/>
              </w:rPr>
              <w:t>e</w:t>
            </w:r>
            <w:r w:rsidRPr="003923E9">
              <w:rPr>
                <w:lang w:val="fr-FR"/>
              </w:rPr>
              <w:t xml:space="preserve">ments </w:t>
            </w:r>
            <w:r w:rsidR="00AE4B1B">
              <w:rPr>
                <w:lang w:val="fr-FR"/>
              </w:rPr>
              <w:t>à la</w:t>
            </w:r>
            <w:r w:rsidRPr="003923E9">
              <w:rPr>
                <w:lang w:val="fr-FR"/>
              </w:rPr>
              <w:t xml:space="preserve"> section 5.4.3 </w:t>
            </w:r>
            <w:r w:rsidR="00AE4B1B">
              <w:rPr>
                <w:lang w:val="fr-FR"/>
              </w:rPr>
              <w:t>Consignes écrites</w:t>
            </w:r>
            <w:r w:rsidRPr="003923E9">
              <w:rPr>
                <w:lang w:val="fr-FR"/>
              </w:rPr>
              <w:t xml:space="preserve"> </w:t>
            </w:r>
            <w:r w:rsidR="00AE4B1B">
              <w:rPr>
                <w:lang w:val="fr-FR"/>
              </w:rPr>
              <w:t xml:space="preserve">du </w:t>
            </w:r>
            <w:r w:rsidR="00AE4B1B" w:rsidRPr="003923E9">
              <w:rPr>
                <w:lang w:val="fr-FR"/>
              </w:rPr>
              <w:t>RID/</w:t>
            </w:r>
            <w:r w:rsidR="00AE4B1B">
              <w:rPr>
                <w:lang w:val="fr-FR"/>
              </w:rPr>
              <w:t>de l’</w:t>
            </w:r>
            <w:r w:rsidR="00AE4B1B" w:rsidRPr="003923E9">
              <w:rPr>
                <w:lang w:val="fr-FR"/>
              </w:rPr>
              <w:t>ADR/</w:t>
            </w:r>
            <w:r w:rsidR="00AE4B1B">
              <w:rPr>
                <w:lang w:val="fr-FR"/>
              </w:rPr>
              <w:t>de l’</w:t>
            </w:r>
            <w:r w:rsidR="00AE4B1B" w:rsidRPr="003923E9">
              <w:rPr>
                <w:lang w:val="fr-FR"/>
              </w:rPr>
              <w:t>ADN</w:t>
            </w:r>
          </w:p>
        </w:tc>
      </w:tr>
      <w:tr w:rsidR="003923E9" w:rsidRPr="003923E9" w:rsidTr="003923E9">
        <w:trPr>
          <w:cantSplit/>
        </w:trPr>
        <w:tc>
          <w:tcPr>
            <w:tcW w:w="3655" w:type="dxa"/>
            <w:gridSpan w:val="2"/>
          </w:tcPr>
          <w:p w:rsidR="005F2CE2" w:rsidRPr="003923E9" w:rsidRDefault="005F2CE2" w:rsidP="005F2CE2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ECE/TRANS/WP.15/AC.1/2015/36 (Portugal)</w:t>
            </w:r>
          </w:p>
        </w:tc>
        <w:tc>
          <w:tcPr>
            <w:tcW w:w="4850" w:type="dxa"/>
          </w:tcPr>
          <w:p w:rsidR="005F2CE2" w:rsidRPr="003923E9" w:rsidRDefault="005F2CE2" w:rsidP="00AE4B1B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 xml:space="preserve">Clarification </w:t>
            </w:r>
            <w:r w:rsidR="00AE4B1B">
              <w:rPr>
                <w:lang w:val="fr-FR"/>
              </w:rPr>
              <w:t>de la Liste des Marchandises Dangereuses (tableau A)</w:t>
            </w:r>
          </w:p>
        </w:tc>
      </w:tr>
      <w:tr w:rsidR="003923E9" w:rsidRPr="003923E9" w:rsidTr="003923E9">
        <w:trPr>
          <w:cantSplit/>
        </w:trPr>
        <w:tc>
          <w:tcPr>
            <w:tcW w:w="3641" w:type="dxa"/>
          </w:tcPr>
          <w:p w:rsidR="00E90F1E" w:rsidRPr="003923E9" w:rsidRDefault="00AE4B1B" w:rsidP="00AE4B1B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40</w:t>
            </w:r>
            <w:r w:rsidRPr="003923E9">
              <w:rPr>
                <w:lang w:val="fr-FR"/>
              </w:rPr>
              <w:t xml:space="preserve"> (</w:t>
            </w:r>
            <w:r>
              <w:rPr>
                <w:lang w:val="fr-FR"/>
              </w:rPr>
              <w:t>Suisse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64" w:type="dxa"/>
            <w:gridSpan w:val="2"/>
          </w:tcPr>
          <w:p w:rsidR="00E90F1E" w:rsidRPr="003923E9" w:rsidRDefault="00AE4B1B" w:rsidP="00C74CDD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Exemption selon 1.1.3.3</w:t>
            </w:r>
          </w:p>
        </w:tc>
      </w:tr>
      <w:tr w:rsidR="003923E9" w:rsidRPr="003923E9" w:rsidTr="003923E9">
        <w:trPr>
          <w:cantSplit/>
        </w:trPr>
        <w:tc>
          <w:tcPr>
            <w:tcW w:w="3652" w:type="dxa"/>
            <w:gridSpan w:val="2"/>
          </w:tcPr>
          <w:p w:rsidR="00E90F1E" w:rsidRPr="003923E9" w:rsidRDefault="005353C2" w:rsidP="005353C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41</w:t>
            </w:r>
            <w:r w:rsidRPr="003923E9">
              <w:rPr>
                <w:lang w:val="fr-FR"/>
              </w:rPr>
              <w:t xml:space="preserve"> (</w:t>
            </w:r>
            <w:r>
              <w:rPr>
                <w:lang w:val="fr-FR"/>
              </w:rPr>
              <w:t>Suisse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3" w:type="dxa"/>
          </w:tcPr>
          <w:p w:rsidR="00E90F1E" w:rsidRPr="003923E9" w:rsidRDefault="005353C2" w:rsidP="00C74CDD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Marquage des engins de transport</w:t>
            </w:r>
          </w:p>
        </w:tc>
      </w:tr>
      <w:tr w:rsidR="003923E9" w:rsidRPr="003923E9" w:rsidTr="003923E9">
        <w:trPr>
          <w:cantSplit/>
        </w:trPr>
        <w:tc>
          <w:tcPr>
            <w:tcW w:w="3652" w:type="dxa"/>
            <w:gridSpan w:val="2"/>
          </w:tcPr>
          <w:p w:rsidR="00E90F1E" w:rsidRPr="003923E9" w:rsidRDefault="005353C2" w:rsidP="005353C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42</w:t>
            </w:r>
            <w:r w:rsidRPr="003923E9">
              <w:rPr>
                <w:lang w:val="fr-FR"/>
              </w:rPr>
              <w:t xml:space="preserve"> (</w:t>
            </w:r>
            <w:r>
              <w:rPr>
                <w:lang w:val="fr-FR"/>
              </w:rPr>
              <w:t>Suisse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3" w:type="dxa"/>
          </w:tcPr>
          <w:p w:rsidR="00E90F1E" w:rsidRPr="003923E9" w:rsidRDefault="005353C2" w:rsidP="00C74CDD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Suppression des groupes d’emballage pour les objets: amendements de conséquence </w:t>
            </w:r>
          </w:p>
        </w:tc>
      </w:tr>
      <w:tr w:rsidR="005353C2" w:rsidRPr="003923E9" w:rsidTr="003923E9">
        <w:trPr>
          <w:cantSplit/>
        </w:trPr>
        <w:tc>
          <w:tcPr>
            <w:tcW w:w="3652" w:type="dxa"/>
            <w:gridSpan w:val="2"/>
          </w:tcPr>
          <w:p w:rsidR="005353C2" w:rsidRPr="003923E9" w:rsidRDefault="005353C2" w:rsidP="005353C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43</w:t>
            </w:r>
            <w:r w:rsidRPr="003923E9">
              <w:rPr>
                <w:lang w:val="fr-FR"/>
              </w:rPr>
              <w:t xml:space="preserve"> (</w:t>
            </w:r>
            <w:r>
              <w:rPr>
                <w:lang w:val="fr-FR"/>
              </w:rPr>
              <w:t>Suisse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3" w:type="dxa"/>
          </w:tcPr>
          <w:p w:rsidR="005353C2" w:rsidRDefault="005353C2" w:rsidP="00C74CDD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Etiquettes et marques</w:t>
            </w:r>
          </w:p>
        </w:tc>
      </w:tr>
      <w:tr w:rsidR="005353C2" w:rsidRPr="003923E9" w:rsidTr="003923E9">
        <w:trPr>
          <w:cantSplit/>
        </w:trPr>
        <w:tc>
          <w:tcPr>
            <w:tcW w:w="3652" w:type="dxa"/>
            <w:gridSpan w:val="2"/>
          </w:tcPr>
          <w:p w:rsidR="005353C2" w:rsidRPr="003923E9" w:rsidRDefault="005353C2" w:rsidP="005353C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44</w:t>
            </w:r>
            <w:r w:rsidRPr="003923E9">
              <w:rPr>
                <w:lang w:val="fr-FR"/>
              </w:rPr>
              <w:t xml:space="preserve"> (</w:t>
            </w:r>
            <w:r>
              <w:rPr>
                <w:lang w:val="fr-FR"/>
              </w:rPr>
              <w:t>Suisse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3" w:type="dxa"/>
          </w:tcPr>
          <w:p w:rsidR="005353C2" w:rsidRDefault="005353C2" w:rsidP="00C74CDD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Amendement à la disposition spéciale 655 en raison d’un changement dans la législation européenne</w:t>
            </w:r>
          </w:p>
        </w:tc>
      </w:tr>
      <w:tr w:rsidR="005353C2" w:rsidRPr="003923E9" w:rsidTr="003923E9">
        <w:trPr>
          <w:cantSplit/>
        </w:trPr>
        <w:tc>
          <w:tcPr>
            <w:tcW w:w="3652" w:type="dxa"/>
            <w:gridSpan w:val="2"/>
          </w:tcPr>
          <w:p w:rsidR="005353C2" w:rsidRPr="003923E9" w:rsidRDefault="005353C2" w:rsidP="005353C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45</w:t>
            </w:r>
            <w:r w:rsidRPr="003923E9">
              <w:rPr>
                <w:lang w:val="fr-FR"/>
              </w:rPr>
              <w:t xml:space="preserve"> (Royaume-Uni)</w:t>
            </w:r>
          </w:p>
        </w:tc>
        <w:tc>
          <w:tcPr>
            <w:tcW w:w="4853" w:type="dxa"/>
          </w:tcPr>
          <w:p w:rsidR="005353C2" w:rsidRDefault="005353C2" w:rsidP="00C74CDD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Prescription pour l’agrément des colis pour les matières radioactives: validation du modèle de colis</w:t>
            </w:r>
          </w:p>
        </w:tc>
      </w:tr>
      <w:tr w:rsidR="005353C2" w:rsidRPr="003923E9" w:rsidTr="003923E9">
        <w:trPr>
          <w:cantSplit/>
        </w:trPr>
        <w:tc>
          <w:tcPr>
            <w:tcW w:w="3652" w:type="dxa"/>
            <w:gridSpan w:val="2"/>
          </w:tcPr>
          <w:p w:rsidR="005353C2" w:rsidRPr="003923E9" w:rsidRDefault="005353C2" w:rsidP="005353C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46</w:t>
            </w:r>
            <w:r w:rsidRPr="003923E9">
              <w:rPr>
                <w:lang w:val="fr-FR"/>
              </w:rPr>
              <w:t xml:space="preserve"> (</w:t>
            </w:r>
            <w:r>
              <w:rPr>
                <w:lang w:val="fr-FR"/>
              </w:rPr>
              <w:t>Autriche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3" w:type="dxa"/>
          </w:tcPr>
          <w:p w:rsidR="005353C2" w:rsidRDefault="005353C2" w:rsidP="005353C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5353C2">
              <w:rPr>
                <w:lang w:val="fr-FR"/>
              </w:rPr>
              <w:t>Certificat de formation pour les conseillers à la sécurité</w:t>
            </w:r>
            <w:r>
              <w:rPr>
                <w:lang w:val="fr-FR"/>
              </w:rPr>
              <w:t xml:space="preserve"> </w:t>
            </w:r>
            <w:r w:rsidRPr="005353C2">
              <w:rPr>
                <w:lang w:val="fr-FR"/>
              </w:rPr>
              <w:t>pour le transport de marchandises dangereuses</w:t>
            </w:r>
          </w:p>
        </w:tc>
      </w:tr>
      <w:tr w:rsidR="005353C2" w:rsidRPr="003923E9" w:rsidTr="003923E9">
        <w:trPr>
          <w:cantSplit/>
        </w:trPr>
        <w:tc>
          <w:tcPr>
            <w:tcW w:w="3652" w:type="dxa"/>
            <w:gridSpan w:val="2"/>
          </w:tcPr>
          <w:p w:rsidR="005353C2" w:rsidRPr="003923E9" w:rsidRDefault="005353C2" w:rsidP="005353C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47</w:t>
            </w:r>
            <w:r w:rsidRPr="003923E9">
              <w:rPr>
                <w:lang w:val="fr-FR"/>
              </w:rPr>
              <w:t xml:space="preserve"> (</w:t>
            </w:r>
            <w:r>
              <w:rPr>
                <w:lang w:val="fr-FR"/>
              </w:rPr>
              <w:t>Autriche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3" w:type="dxa"/>
          </w:tcPr>
          <w:p w:rsidR="005353C2" w:rsidRPr="005353C2" w:rsidRDefault="007D562A" w:rsidP="005353C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Marques</w:t>
            </w:r>
            <w:r w:rsidR="005353C2">
              <w:rPr>
                <w:lang w:val="fr-FR"/>
              </w:rPr>
              <w:t xml:space="preserve"> selon le 3.4.13 du RID/de l’ADR/de l’ADN</w:t>
            </w:r>
          </w:p>
        </w:tc>
      </w:tr>
      <w:tr w:rsidR="00A62763" w:rsidRPr="003923E9" w:rsidTr="003923E9">
        <w:trPr>
          <w:cantSplit/>
        </w:trPr>
        <w:tc>
          <w:tcPr>
            <w:tcW w:w="3652" w:type="dxa"/>
            <w:gridSpan w:val="2"/>
          </w:tcPr>
          <w:p w:rsidR="00A62763" w:rsidRPr="00A71BCC" w:rsidRDefault="006C3A1B" w:rsidP="00A751BF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en-GB"/>
              </w:rPr>
            </w:pPr>
            <w:r w:rsidRPr="00A71BCC">
              <w:rPr>
                <w:lang w:val="en-GB"/>
              </w:rPr>
              <w:t>ECE/TRANS/WP.15/AC.1/2015/49 (ECMA)</w:t>
            </w:r>
          </w:p>
        </w:tc>
        <w:tc>
          <w:tcPr>
            <w:tcW w:w="4853" w:type="dxa"/>
          </w:tcPr>
          <w:p w:rsidR="00A62763" w:rsidRDefault="00A62763" w:rsidP="005353C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Amendement des dispositions relatives aux cartouches à gaz au 6.2.6.4</w:t>
            </w:r>
          </w:p>
        </w:tc>
      </w:tr>
      <w:tr w:rsidR="00061FC8" w:rsidRPr="003923E9" w:rsidTr="003923E9">
        <w:trPr>
          <w:cantSplit/>
        </w:trPr>
        <w:tc>
          <w:tcPr>
            <w:tcW w:w="3652" w:type="dxa"/>
            <w:gridSpan w:val="2"/>
          </w:tcPr>
          <w:p w:rsidR="00061FC8" w:rsidRPr="00A71BCC" w:rsidRDefault="006C3A1B" w:rsidP="00A751BF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en-GB"/>
              </w:rPr>
            </w:pPr>
            <w:r w:rsidRPr="00A71BCC">
              <w:rPr>
                <w:lang w:val="en-GB"/>
              </w:rPr>
              <w:t>ECE/TRANS/WP.15/AC.1/2015/50 (ECMA)</w:t>
            </w:r>
          </w:p>
        </w:tc>
        <w:tc>
          <w:tcPr>
            <w:tcW w:w="4853" w:type="dxa"/>
          </w:tcPr>
          <w:p w:rsidR="00061FC8" w:rsidRDefault="00061FC8" w:rsidP="005353C2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Amendement au 6.2.6.1.5</w:t>
            </w:r>
          </w:p>
        </w:tc>
      </w:tr>
      <w:tr w:rsidR="006E3779" w:rsidRPr="003923E9" w:rsidTr="003923E9">
        <w:trPr>
          <w:cantSplit/>
        </w:trPr>
        <w:tc>
          <w:tcPr>
            <w:tcW w:w="3652" w:type="dxa"/>
            <w:gridSpan w:val="2"/>
          </w:tcPr>
          <w:p w:rsidR="006E3779" w:rsidRPr="003923E9" w:rsidRDefault="006E3779" w:rsidP="006E3779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52</w:t>
            </w:r>
            <w:r w:rsidRPr="003923E9">
              <w:rPr>
                <w:lang w:val="fr-FR"/>
              </w:rPr>
              <w:t xml:space="preserve"> (</w:t>
            </w:r>
            <w:r>
              <w:rPr>
                <w:lang w:val="fr-FR"/>
              </w:rPr>
              <w:t>Fédération de Russie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3" w:type="dxa"/>
          </w:tcPr>
          <w:p w:rsidR="006E3779" w:rsidRDefault="003453AA" w:rsidP="006E3779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6E3779">
              <w:rPr>
                <w:lang w:val="fr-FR"/>
              </w:rPr>
              <w:t xml:space="preserve">pplication de </w:t>
            </w:r>
            <w:r>
              <w:rPr>
                <w:lang w:val="fr-FR"/>
              </w:rPr>
              <w:t>la disposition CV/CW</w:t>
            </w:r>
            <w:r w:rsidR="006E3779">
              <w:rPr>
                <w:lang w:val="fr-FR"/>
              </w:rPr>
              <w:t>36 relative</w:t>
            </w:r>
            <w:r w:rsidR="006E3779" w:rsidRPr="006E3779">
              <w:rPr>
                <w:lang w:val="fr-FR"/>
              </w:rPr>
              <w:t xml:space="preserve"> au chargement, au déchargement</w:t>
            </w:r>
            <w:r w:rsidR="006E3779">
              <w:rPr>
                <w:lang w:val="fr-FR"/>
              </w:rPr>
              <w:t xml:space="preserve"> </w:t>
            </w:r>
            <w:r w:rsidR="006E3779" w:rsidRPr="006E3779">
              <w:rPr>
                <w:lang w:val="fr-FR"/>
              </w:rPr>
              <w:t>et à la manutention</w:t>
            </w:r>
            <w:r w:rsidR="006E3779">
              <w:rPr>
                <w:lang w:val="fr-FR"/>
              </w:rPr>
              <w:t xml:space="preserve"> au No ONU 2211</w:t>
            </w:r>
          </w:p>
        </w:tc>
      </w:tr>
      <w:tr w:rsidR="003453AA" w:rsidRPr="003923E9" w:rsidTr="003923E9">
        <w:trPr>
          <w:cantSplit/>
        </w:trPr>
        <w:tc>
          <w:tcPr>
            <w:tcW w:w="3652" w:type="dxa"/>
            <w:gridSpan w:val="2"/>
          </w:tcPr>
          <w:p w:rsidR="003453AA" w:rsidRPr="003923E9" w:rsidRDefault="003453AA" w:rsidP="003453AA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3923E9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53</w:t>
            </w:r>
            <w:r w:rsidRPr="003923E9">
              <w:rPr>
                <w:lang w:val="fr-FR"/>
              </w:rPr>
              <w:t xml:space="preserve"> (</w:t>
            </w:r>
            <w:r>
              <w:rPr>
                <w:lang w:val="fr-FR"/>
              </w:rPr>
              <w:t>Pays-Bas</w:t>
            </w:r>
            <w:r w:rsidRPr="003923E9">
              <w:rPr>
                <w:lang w:val="fr-FR"/>
              </w:rPr>
              <w:t>)</w:t>
            </w:r>
          </w:p>
        </w:tc>
        <w:tc>
          <w:tcPr>
            <w:tcW w:w="4853" w:type="dxa"/>
          </w:tcPr>
          <w:p w:rsidR="003453AA" w:rsidRDefault="003453AA" w:rsidP="006E3779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Extension du champ d’application de la disposition spéciale 643</w:t>
            </w:r>
          </w:p>
        </w:tc>
      </w:tr>
    </w:tbl>
    <w:p w:rsidR="00E90F1E" w:rsidRPr="002A202C" w:rsidRDefault="00E90F1E" w:rsidP="00E90F1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lastRenderedPageBreak/>
        <w:tab/>
        <w:t>4.</w:t>
      </w:r>
      <w:r w:rsidRPr="002A202C">
        <w:rPr>
          <w:b/>
          <w:sz w:val="28"/>
          <w:lang w:val="fr-FR"/>
        </w:rPr>
        <w:tab/>
        <w:t>Rapports des groupes de travail informels</w:t>
      </w:r>
    </w:p>
    <w:tbl>
      <w:tblPr>
        <w:tblW w:w="846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19"/>
      </w:tblGrid>
      <w:tr w:rsidR="0081450F" w:rsidRPr="005E0D2E" w:rsidTr="0026040D">
        <w:trPr>
          <w:cantSplit/>
        </w:trPr>
        <w:tc>
          <w:tcPr>
            <w:tcW w:w="3641" w:type="dxa"/>
          </w:tcPr>
          <w:p w:rsidR="0081450F" w:rsidRPr="008510E1" w:rsidRDefault="0081450F" w:rsidP="0026040D">
            <w:pPr>
              <w:pStyle w:val="SingleTxtG"/>
              <w:spacing w:after="60"/>
              <w:ind w:left="0" w:right="175"/>
              <w:jc w:val="left"/>
              <w:rPr>
                <w:lang w:val="en-GB"/>
              </w:rPr>
            </w:pPr>
            <w:r w:rsidRPr="008510E1">
              <w:rPr>
                <w:lang w:val="en-GB"/>
              </w:rPr>
              <w:t>ECE/TRANS/WP.15/AC.1/2015/</w:t>
            </w:r>
            <w:r w:rsidR="006C3A1B" w:rsidRPr="00A71BCC">
              <w:rPr>
                <w:lang w:val="en-GB"/>
              </w:rPr>
              <w:t>38 (EIGA)</w:t>
            </w:r>
          </w:p>
        </w:tc>
        <w:tc>
          <w:tcPr>
            <w:tcW w:w="4819" w:type="dxa"/>
          </w:tcPr>
          <w:p w:rsidR="0081450F" w:rsidRDefault="0081450F" w:rsidP="0081450F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Rapport du groupe de travail informel </w:t>
            </w:r>
            <w:r w:rsidRPr="0081450F">
              <w:rPr>
                <w:lang w:val="fr-FR"/>
              </w:rPr>
              <w:t>sur les «Dispositions relatives à</w:t>
            </w:r>
            <w:r>
              <w:rPr>
                <w:lang w:val="fr-FR"/>
              </w:rPr>
              <w:t xml:space="preserve"> </w:t>
            </w:r>
            <w:r w:rsidRPr="0081450F">
              <w:rPr>
                <w:lang w:val="fr-FR"/>
              </w:rPr>
              <w:t>l’équipement des citernes et récipients à pression»</w:t>
            </w:r>
            <w:r>
              <w:rPr>
                <w:lang w:val="fr-FR"/>
              </w:rPr>
              <w:t xml:space="preserve"> incluant des propositions de révision des textes du RID/de l’ADR/de l’ADN concernant les </w:t>
            </w:r>
            <w:r w:rsidRPr="0081450F">
              <w:rPr>
                <w:lang w:val="fr-FR"/>
              </w:rPr>
              <w:t>récipients à pression</w:t>
            </w:r>
          </w:p>
        </w:tc>
      </w:tr>
      <w:tr w:rsidR="00265AA7" w:rsidRPr="005E0D2E" w:rsidTr="0026040D">
        <w:trPr>
          <w:cantSplit/>
        </w:trPr>
        <w:tc>
          <w:tcPr>
            <w:tcW w:w="3641" w:type="dxa"/>
          </w:tcPr>
          <w:p w:rsidR="00265AA7" w:rsidRPr="005E0D2E" w:rsidRDefault="00265AA7" w:rsidP="0026040D">
            <w:pPr>
              <w:pStyle w:val="SingleTxtG"/>
              <w:spacing w:after="60"/>
              <w:ind w:left="0" w:right="175"/>
              <w:jc w:val="left"/>
              <w:rPr>
                <w:lang w:val="en-GB"/>
              </w:rPr>
            </w:pPr>
            <w:r w:rsidRPr="008510E1">
              <w:rPr>
                <w:lang w:val="en-GB"/>
              </w:rPr>
              <w:t>ECE/TRANS/WP.15/AC.1/2015/</w:t>
            </w:r>
            <w:r w:rsidR="006C3A1B" w:rsidRPr="00A71BCC">
              <w:rPr>
                <w:lang w:val="en-GB"/>
              </w:rPr>
              <w:t>48 (AEGPL)</w:t>
            </w:r>
          </w:p>
        </w:tc>
        <w:tc>
          <w:tcPr>
            <w:tcW w:w="4819" w:type="dxa"/>
          </w:tcPr>
          <w:p w:rsidR="00265AA7" w:rsidRPr="00265AA7" w:rsidRDefault="00265AA7" w:rsidP="00265AA7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Pr="00265AA7">
              <w:rPr>
                <w:lang w:val="fr-FR"/>
              </w:rPr>
              <w:t xml:space="preserve">nspection périodique </w:t>
            </w:r>
            <w:r>
              <w:rPr>
                <w:lang w:val="fr-FR"/>
              </w:rPr>
              <w:t xml:space="preserve">et épreuves de certaines </w:t>
            </w:r>
            <w:r w:rsidRPr="00265AA7">
              <w:rPr>
                <w:lang w:val="fr-FR"/>
              </w:rPr>
              <w:t>bouteilles</w:t>
            </w:r>
            <w:r>
              <w:rPr>
                <w:lang w:val="fr-FR"/>
              </w:rPr>
              <w:t xml:space="preserve"> </w:t>
            </w:r>
            <w:r w:rsidRPr="00265AA7">
              <w:rPr>
                <w:lang w:val="fr-FR"/>
              </w:rPr>
              <w:t>transportables</w:t>
            </w:r>
            <w:r>
              <w:rPr>
                <w:lang w:val="fr-FR"/>
              </w:rPr>
              <w:t xml:space="preserve"> de GPL </w:t>
            </w:r>
            <w:r w:rsidRPr="00265AA7">
              <w:rPr>
                <w:lang w:val="fr-FR"/>
              </w:rPr>
              <w:t xml:space="preserve">rechargeables </w:t>
            </w:r>
            <w:r>
              <w:rPr>
                <w:lang w:val="fr-FR"/>
              </w:rPr>
              <w:t>en acier</w:t>
            </w:r>
          </w:p>
        </w:tc>
      </w:tr>
    </w:tbl>
    <w:p w:rsidR="007806B9" w:rsidRDefault="00E90F1E" w:rsidP="007806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tab/>
        <w:t>5</w:t>
      </w:r>
      <w:r w:rsidR="007806B9" w:rsidRPr="002A202C">
        <w:rPr>
          <w:b/>
          <w:sz w:val="28"/>
          <w:lang w:val="fr-FR"/>
        </w:rPr>
        <w:t>.</w:t>
      </w:r>
      <w:r w:rsidR="007806B9" w:rsidRPr="002A202C">
        <w:rPr>
          <w:b/>
          <w:sz w:val="28"/>
          <w:lang w:val="fr-FR"/>
        </w:rPr>
        <w:tab/>
        <w:t>Normes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8C126A" w:rsidRPr="001B796A" w:rsidTr="0026040D">
        <w:tc>
          <w:tcPr>
            <w:tcW w:w="3655" w:type="dxa"/>
          </w:tcPr>
          <w:p w:rsidR="008C126A" w:rsidRPr="001D1E8E" w:rsidRDefault="008C126A" w:rsidP="008C126A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1D1E8E">
              <w:t xml:space="preserve">ECE/TRANS/WP.15/AC.1/2015/15 </w:t>
            </w:r>
            <w:r>
              <w:t>et document informel INF.36 de la session de printemps 2015</w:t>
            </w:r>
            <w:r w:rsidRPr="001D1E8E">
              <w:t xml:space="preserve"> (Royaume-Uni)</w:t>
            </w:r>
            <w:r>
              <w:t xml:space="preserve"> </w:t>
            </w:r>
          </w:p>
        </w:tc>
        <w:tc>
          <w:tcPr>
            <w:tcW w:w="4850" w:type="dxa"/>
          </w:tcPr>
          <w:p w:rsidR="008C126A" w:rsidRPr="001B796A" w:rsidRDefault="008C126A" w:rsidP="0026040D">
            <w:pPr>
              <w:pStyle w:val="SingleTxtG"/>
              <w:spacing w:after="60"/>
              <w:ind w:left="0"/>
              <w:jc w:val="left"/>
            </w:pPr>
            <w:r w:rsidRPr="001B796A">
              <w:t>Citernes et norm</w:t>
            </w:r>
            <w:r>
              <w:t>e</w:t>
            </w:r>
            <w:r w:rsidRPr="001B796A">
              <w:t>s: norme EN 12972:2014 C</w:t>
            </w:r>
            <w:r>
              <w:t>iternes destinées au transport des matières dangereuses. Epreuve, contrôle et marquage des citernes métalliques</w:t>
            </w:r>
          </w:p>
        </w:tc>
      </w:tr>
    </w:tbl>
    <w:p w:rsidR="007806B9" w:rsidRPr="002A202C" w:rsidRDefault="007806B9" w:rsidP="007806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tab/>
      </w:r>
      <w:r w:rsidR="00E90F1E" w:rsidRPr="002A202C">
        <w:rPr>
          <w:b/>
          <w:sz w:val="28"/>
          <w:lang w:val="fr-FR"/>
        </w:rPr>
        <w:t>6</w:t>
      </w:r>
      <w:r w:rsidRPr="002A202C">
        <w:rPr>
          <w:b/>
          <w:sz w:val="28"/>
          <w:lang w:val="fr-FR"/>
        </w:rPr>
        <w:t>.</w:t>
      </w:r>
      <w:r w:rsidRPr="002A202C">
        <w:rPr>
          <w:b/>
          <w:sz w:val="28"/>
          <w:lang w:val="fr-FR"/>
        </w:rPr>
        <w:tab/>
      </w:r>
      <w:r w:rsidR="00E90F1E" w:rsidRPr="002A202C">
        <w:rPr>
          <w:b/>
          <w:sz w:val="28"/>
          <w:lang w:val="fr-FR"/>
        </w:rPr>
        <w:t>Citernes</w:t>
      </w:r>
    </w:p>
    <w:tbl>
      <w:tblPr>
        <w:tblW w:w="846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19"/>
      </w:tblGrid>
      <w:tr w:rsidR="005F2CE2" w:rsidRPr="002A202C" w:rsidTr="00F42D22">
        <w:trPr>
          <w:cantSplit/>
        </w:trPr>
        <w:tc>
          <w:tcPr>
            <w:tcW w:w="3641" w:type="dxa"/>
          </w:tcPr>
          <w:p w:rsidR="005F2CE2" w:rsidRPr="00A71BCC" w:rsidRDefault="006C3A1B" w:rsidP="005F2CE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en-GB"/>
              </w:rPr>
            </w:pPr>
            <w:r w:rsidRPr="00A71BCC">
              <w:rPr>
                <w:lang w:val="en-GB"/>
              </w:rPr>
              <w:t>ECE/TRANS/WP.15/AC.1/2015/27 (UIC)</w:t>
            </w:r>
          </w:p>
        </w:tc>
        <w:tc>
          <w:tcPr>
            <w:tcW w:w="4819" w:type="dxa"/>
          </w:tcPr>
          <w:p w:rsidR="0023377E" w:rsidRPr="0023377E" w:rsidRDefault="0023377E" w:rsidP="0023377E">
            <w:pPr>
              <w:pStyle w:val="SingleTxtG"/>
              <w:spacing w:after="60"/>
              <w:ind w:left="0"/>
              <w:jc w:val="left"/>
            </w:pPr>
            <w:r w:rsidRPr="0023377E">
              <w:t>Transport de</w:t>
            </w:r>
            <w:r>
              <w:t xml:space="preserve"> </w:t>
            </w:r>
            <w:r w:rsidRPr="0023377E">
              <w:t>citernes, de véhicules, batteries/wagons-batteries et de CGEM</w:t>
            </w:r>
            <w:r>
              <w:t xml:space="preserve"> </w:t>
            </w:r>
            <w:r w:rsidRPr="0023377E">
              <w:t>après expiration des délais de contrôles périodiques</w:t>
            </w:r>
            <w:r>
              <w:t xml:space="preserve"> </w:t>
            </w:r>
            <w:r w:rsidRPr="0023377E">
              <w:t>intermédiaires</w:t>
            </w:r>
          </w:p>
        </w:tc>
      </w:tr>
      <w:tr w:rsidR="00A95EC0" w:rsidRPr="00A95EC0" w:rsidTr="00F42D22">
        <w:trPr>
          <w:cantSplit/>
        </w:trPr>
        <w:tc>
          <w:tcPr>
            <w:tcW w:w="3641" w:type="dxa"/>
          </w:tcPr>
          <w:p w:rsidR="005F2CE2" w:rsidRPr="00A95EC0" w:rsidRDefault="005F2CE2" w:rsidP="00A5076A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A95EC0">
              <w:rPr>
                <w:lang w:val="fr-FR"/>
              </w:rPr>
              <w:t>ECE/TRANS/WP.15/AC.1/2015/31 (</w:t>
            </w:r>
            <w:r w:rsidR="00A5076A" w:rsidRPr="00A95EC0">
              <w:rPr>
                <w:lang w:val="fr-FR"/>
              </w:rPr>
              <w:t>Lettonie</w:t>
            </w:r>
            <w:r w:rsidRPr="00A95EC0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5F2CE2" w:rsidRPr="00A95EC0" w:rsidRDefault="0023377E" w:rsidP="0023377E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A95EC0">
              <w:rPr>
                <w:lang w:val="fr-FR"/>
              </w:rPr>
              <w:t>Proposition d’amendement à la disposition spéciale</w:t>
            </w:r>
            <w:r w:rsidR="005F2CE2" w:rsidRPr="00A95EC0">
              <w:rPr>
                <w:lang w:val="fr-FR"/>
              </w:rPr>
              <w:t xml:space="preserve"> TU21 </w:t>
            </w:r>
            <w:r w:rsidRPr="00A95EC0">
              <w:rPr>
                <w:lang w:val="fr-FR"/>
              </w:rPr>
              <w:t xml:space="preserve">du chapitre 4.3 du </w:t>
            </w:r>
            <w:r w:rsidR="005F2CE2" w:rsidRPr="00A95EC0">
              <w:rPr>
                <w:lang w:val="fr-FR"/>
              </w:rPr>
              <w:t>RID/</w:t>
            </w:r>
            <w:r w:rsidRPr="00A95EC0">
              <w:rPr>
                <w:lang w:val="fr-FR"/>
              </w:rPr>
              <w:t>de l’</w:t>
            </w:r>
            <w:r w:rsidR="005F2CE2" w:rsidRPr="00A95EC0">
              <w:rPr>
                <w:lang w:val="fr-FR"/>
              </w:rPr>
              <w:t>ADR</w:t>
            </w:r>
          </w:p>
        </w:tc>
      </w:tr>
      <w:tr w:rsidR="000C28A8" w:rsidRPr="002A202C" w:rsidTr="00F42D22">
        <w:trPr>
          <w:cantSplit/>
        </w:trPr>
        <w:tc>
          <w:tcPr>
            <w:tcW w:w="3641" w:type="dxa"/>
          </w:tcPr>
          <w:p w:rsidR="000C28A8" w:rsidRPr="002A202C" w:rsidRDefault="00EE4D2E" w:rsidP="00EE4D2E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8B08AE">
              <w:rPr>
                <w:lang w:val="en-GB"/>
              </w:rPr>
              <w:t>ECE/TRANS/WP.15/AC.1/2015/</w:t>
            </w:r>
            <w:r>
              <w:t>39</w:t>
            </w:r>
            <w:r w:rsidRPr="008B08AE">
              <w:rPr>
                <w:lang w:val="en-GB"/>
              </w:rPr>
              <w:t xml:space="preserve"> (</w:t>
            </w:r>
            <w:r>
              <w:t>Norvège</w:t>
            </w:r>
            <w:r w:rsidRPr="008B08AE">
              <w:rPr>
                <w:lang w:val="en-GB"/>
              </w:rPr>
              <w:t>)</w:t>
            </w:r>
          </w:p>
        </w:tc>
        <w:tc>
          <w:tcPr>
            <w:tcW w:w="4819" w:type="dxa"/>
          </w:tcPr>
          <w:p w:rsidR="000C28A8" w:rsidRPr="002A202C" w:rsidRDefault="00EE4D2E" w:rsidP="00EE4D2E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Transport de marchandises dangereuses en CGEM chargés sur des véhicules équipés de bras de levage</w:t>
            </w:r>
          </w:p>
        </w:tc>
      </w:tr>
      <w:tr w:rsidR="000C28A8" w:rsidRPr="002A202C" w:rsidTr="00F42D22">
        <w:trPr>
          <w:cantSplit/>
        </w:trPr>
        <w:tc>
          <w:tcPr>
            <w:tcW w:w="3641" w:type="dxa"/>
          </w:tcPr>
          <w:p w:rsidR="000C28A8" w:rsidRPr="002A202C" w:rsidRDefault="000C28A8" w:rsidP="000C28A8">
            <w:pPr>
              <w:pStyle w:val="SingleTxtG"/>
              <w:tabs>
                <w:tab w:val="left" w:pos="1118"/>
              </w:tabs>
              <w:ind w:left="0" w:right="176"/>
              <w:jc w:val="left"/>
              <w:rPr>
                <w:lang w:val="fr-FR"/>
              </w:rPr>
            </w:pPr>
            <w:r w:rsidRPr="000C28A8">
              <w:rPr>
                <w:lang w:val="fr-FR"/>
              </w:rPr>
              <w:t xml:space="preserve">ECE/TRANS/WP.15/AC.1/2015/51 </w:t>
            </w:r>
            <w:r>
              <w:rPr>
                <w:lang w:val="fr-FR"/>
              </w:rPr>
              <w:br/>
            </w:r>
            <w:r w:rsidRPr="000C28A8">
              <w:rPr>
                <w:lang w:val="fr-FR"/>
              </w:rPr>
              <w:t>(</w:t>
            </w:r>
            <w:r>
              <w:rPr>
                <w:lang w:val="fr-FR"/>
              </w:rPr>
              <w:t>Pays-Bas</w:t>
            </w:r>
            <w:r w:rsidRPr="000C28A8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0C28A8" w:rsidRPr="002A202C" w:rsidRDefault="000C28A8" w:rsidP="000C28A8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0C28A8">
              <w:rPr>
                <w:lang w:val="fr-FR"/>
              </w:rPr>
              <w:t>Réservoirs avec revêtement protecteur</w:t>
            </w:r>
          </w:p>
        </w:tc>
      </w:tr>
      <w:tr w:rsidR="00A85024" w:rsidRPr="002A202C" w:rsidTr="00F42D22">
        <w:trPr>
          <w:cantSplit/>
        </w:trPr>
        <w:tc>
          <w:tcPr>
            <w:tcW w:w="3641" w:type="dxa"/>
          </w:tcPr>
          <w:p w:rsidR="00A85024" w:rsidRPr="000C28A8" w:rsidRDefault="00A85024" w:rsidP="00A85024">
            <w:pPr>
              <w:pStyle w:val="SingleTxtG"/>
              <w:tabs>
                <w:tab w:val="left" w:pos="1118"/>
              </w:tabs>
              <w:ind w:left="0" w:right="176"/>
              <w:jc w:val="left"/>
              <w:rPr>
                <w:lang w:val="fr-FR"/>
              </w:rPr>
            </w:pPr>
            <w:r w:rsidRPr="000C28A8">
              <w:rPr>
                <w:lang w:val="fr-FR"/>
              </w:rPr>
              <w:t>ECE/TRANS/WP.15/AC.1/2015/</w:t>
            </w:r>
            <w:r>
              <w:rPr>
                <w:lang w:val="fr-FR"/>
              </w:rPr>
              <w:t>54</w:t>
            </w:r>
            <w:r w:rsidRPr="000C28A8"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0C28A8">
              <w:rPr>
                <w:lang w:val="fr-FR"/>
              </w:rPr>
              <w:t>(</w:t>
            </w:r>
            <w:r>
              <w:rPr>
                <w:lang w:val="fr-FR"/>
              </w:rPr>
              <w:t>Pays-Bas</w:t>
            </w:r>
            <w:r w:rsidRPr="000C28A8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A85024" w:rsidRPr="000C28A8" w:rsidRDefault="00A85024" w:rsidP="00A8502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Limitations de l’agrément des citernes isolées sous vide pour le transport du GNL du fait de normes référencées de manière indirecte</w:t>
            </w:r>
          </w:p>
        </w:tc>
      </w:tr>
      <w:tr w:rsidR="00D145F4" w:rsidRPr="0023377E" w:rsidTr="00D145F4">
        <w:trPr>
          <w:cantSplit/>
        </w:trPr>
        <w:tc>
          <w:tcPr>
            <w:tcW w:w="3641" w:type="dxa"/>
          </w:tcPr>
          <w:p w:rsidR="00D145F4" w:rsidRPr="0023377E" w:rsidRDefault="00D145F4" w:rsidP="00D145F4">
            <w:pPr>
              <w:pStyle w:val="SingleTxtG"/>
              <w:tabs>
                <w:tab w:val="left" w:pos="1118"/>
              </w:tabs>
              <w:ind w:left="0" w:right="176"/>
              <w:jc w:val="left"/>
              <w:rPr>
                <w:lang w:val="fr-FR"/>
              </w:rPr>
            </w:pPr>
            <w:r w:rsidRPr="00D145F4">
              <w:rPr>
                <w:lang w:val="fr-FR"/>
              </w:rPr>
              <w:t xml:space="preserve">Document informel </w:t>
            </w:r>
            <w:r>
              <w:rPr>
                <w:lang w:val="fr-FR"/>
              </w:rPr>
              <w:t>INF.4</w:t>
            </w:r>
            <w:r w:rsidRPr="00D145F4">
              <w:rPr>
                <w:lang w:val="fr-FR"/>
              </w:rPr>
              <w:t xml:space="preserve"> (CEN)</w:t>
            </w:r>
          </w:p>
        </w:tc>
        <w:tc>
          <w:tcPr>
            <w:tcW w:w="4819" w:type="dxa"/>
          </w:tcPr>
          <w:p w:rsidR="00D145F4" w:rsidRPr="0023377E" w:rsidRDefault="00D145F4" w:rsidP="00D43378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Demande d’avis au groupe de travail sur les citernes</w:t>
            </w:r>
          </w:p>
        </w:tc>
      </w:tr>
    </w:tbl>
    <w:p w:rsidR="00C36867" w:rsidRPr="002A202C" w:rsidRDefault="007806B9" w:rsidP="00C36867">
      <w:pPr>
        <w:pStyle w:val="HChG"/>
        <w:rPr>
          <w:lang w:val="fr-FR"/>
        </w:rPr>
      </w:pPr>
      <w:r w:rsidRPr="002A202C">
        <w:rPr>
          <w:b w:val="0"/>
          <w:lang w:val="fr-FR"/>
        </w:rPr>
        <w:tab/>
      </w:r>
      <w:r w:rsidR="00E90F1E" w:rsidRPr="002A202C">
        <w:rPr>
          <w:lang w:val="fr-FR"/>
        </w:rPr>
        <w:t>7</w:t>
      </w:r>
      <w:r w:rsidR="00C36867" w:rsidRPr="002A202C">
        <w:rPr>
          <w:lang w:val="fr-FR"/>
        </w:rPr>
        <w:t>.</w:t>
      </w:r>
      <w:r w:rsidR="00C36867" w:rsidRPr="002A202C">
        <w:rPr>
          <w:lang w:val="fr-FR"/>
        </w:rPr>
        <w:tab/>
        <w:t>Interprétation du RID/ADR/ADN</w:t>
      </w:r>
    </w:p>
    <w:p w:rsidR="00A41CDA" w:rsidRPr="004A5B6F" w:rsidRDefault="00A41CDA" w:rsidP="00A41CDA">
      <w:pPr>
        <w:spacing w:after="120"/>
        <w:ind w:left="1134" w:right="1134" w:firstLine="567"/>
        <w:jc w:val="both"/>
      </w:pPr>
      <w:r w:rsidRPr="004A5B6F">
        <w:t xml:space="preserve">Aucun document n’a été soumis au titre de ce point de l’ordre du jour. </w:t>
      </w:r>
    </w:p>
    <w:p w:rsidR="00FA2F1E" w:rsidRPr="002A202C" w:rsidRDefault="00C354D4" w:rsidP="00FA2F1E">
      <w:pPr>
        <w:pStyle w:val="HChG"/>
        <w:rPr>
          <w:lang w:val="fr-FR"/>
        </w:rPr>
      </w:pPr>
      <w:r w:rsidRPr="002A202C">
        <w:rPr>
          <w:lang w:val="fr-FR"/>
        </w:rPr>
        <w:tab/>
      </w:r>
      <w:r w:rsidR="00FA2F1E" w:rsidRPr="002A202C">
        <w:rPr>
          <w:lang w:val="fr-FR"/>
        </w:rPr>
        <w:t>8.</w:t>
      </w:r>
      <w:r w:rsidR="00FA2F1E" w:rsidRPr="002A202C">
        <w:rPr>
          <w:lang w:val="fr-FR"/>
        </w:rPr>
        <w:tab/>
        <w:t>Ac</w:t>
      </w:r>
      <w:r w:rsidR="00C74CDD" w:rsidRPr="002A202C">
        <w:rPr>
          <w:lang w:val="fr-FR"/>
        </w:rPr>
        <w:t>cidents et management de risque</w:t>
      </w:r>
    </w:p>
    <w:p w:rsidR="00A41CDA" w:rsidRPr="004A5B6F" w:rsidRDefault="00A41CDA" w:rsidP="00A41CDA">
      <w:pPr>
        <w:spacing w:after="120"/>
        <w:ind w:left="1134" w:right="1134" w:firstLine="567"/>
        <w:jc w:val="both"/>
      </w:pPr>
      <w:r w:rsidRPr="004A5B6F">
        <w:t xml:space="preserve">Aucun document n’a été soumis au titre de ce point de l’ordre du jour. </w:t>
      </w:r>
    </w:p>
    <w:p w:rsidR="00C354D4" w:rsidRPr="002A202C" w:rsidRDefault="00FA2F1E" w:rsidP="00C354D4">
      <w:pPr>
        <w:pStyle w:val="HChG"/>
        <w:rPr>
          <w:lang w:val="fr-FR"/>
        </w:rPr>
      </w:pPr>
      <w:r w:rsidRPr="002A202C">
        <w:rPr>
          <w:lang w:val="fr-FR"/>
        </w:rPr>
        <w:lastRenderedPageBreak/>
        <w:tab/>
        <w:t>9</w:t>
      </w:r>
      <w:r w:rsidR="00C354D4" w:rsidRPr="002A202C">
        <w:rPr>
          <w:lang w:val="fr-FR"/>
        </w:rPr>
        <w:t>.</w:t>
      </w:r>
      <w:r w:rsidR="00C354D4" w:rsidRPr="002A202C">
        <w:rPr>
          <w:lang w:val="fr-FR"/>
        </w:rPr>
        <w:tab/>
        <w:t>Élection du bureau pour 201</w:t>
      </w:r>
      <w:r w:rsidR="00A8788F" w:rsidRPr="002A202C">
        <w:rPr>
          <w:lang w:val="fr-FR"/>
        </w:rPr>
        <w:t>6</w:t>
      </w:r>
    </w:p>
    <w:p w:rsidR="007806B9" w:rsidRPr="002A202C" w:rsidRDefault="007806B9" w:rsidP="007806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tab/>
      </w:r>
      <w:r w:rsidR="00FA2F1E" w:rsidRPr="002A202C">
        <w:rPr>
          <w:b/>
          <w:sz w:val="28"/>
          <w:lang w:val="fr-FR"/>
        </w:rPr>
        <w:t>10</w:t>
      </w:r>
      <w:r w:rsidRPr="002A202C">
        <w:rPr>
          <w:b/>
          <w:sz w:val="28"/>
          <w:lang w:val="fr-FR"/>
        </w:rPr>
        <w:t>.</w:t>
      </w:r>
      <w:r w:rsidRPr="002A202C">
        <w:rPr>
          <w:b/>
          <w:sz w:val="28"/>
          <w:lang w:val="fr-FR"/>
        </w:rPr>
        <w:tab/>
        <w:t>Travaux futurs</w:t>
      </w:r>
    </w:p>
    <w:p w:rsidR="007806B9" w:rsidRPr="002A202C" w:rsidRDefault="007806B9" w:rsidP="007806B9">
      <w:pPr>
        <w:spacing w:before="120" w:after="120"/>
        <w:ind w:left="1134" w:right="1134" w:firstLine="567"/>
        <w:jc w:val="both"/>
        <w:rPr>
          <w:lang w:val="fr-FR"/>
        </w:rPr>
      </w:pPr>
      <w:r w:rsidRPr="002A202C">
        <w:rPr>
          <w:lang w:val="fr-FR"/>
        </w:rPr>
        <w:t xml:space="preserve">La Réunion commune souhaitera éventuellement prévoir l’organisation de l’ordre du jour pour la session </w:t>
      </w:r>
      <w:r w:rsidR="009708CA" w:rsidRPr="002A202C">
        <w:rPr>
          <w:lang w:val="fr-FR"/>
        </w:rPr>
        <w:t>de printemps</w:t>
      </w:r>
      <w:r w:rsidRPr="002A202C">
        <w:rPr>
          <w:lang w:val="fr-FR"/>
        </w:rPr>
        <w:t xml:space="preserve"> </w:t>
      </w:r>
      <w:r w:rsidR="009708CA" w:rsidRPr="002A202C">
        <w:rPr>
          <w:lang w:val="fr-FR"/>
        </w:rPr>
        <w:t>201</w:t>
      </w:r>
      <w:r w:rsidR="00A8788F" w:rsidRPr="002A202C">
        <w:rPr>
          <w:lang w:val="fr-FR"/>
        </w:rPr>
        <w:t>6</w:t>
      </w:r>
      <w:r w:rsidRPr="002A202C">
        <w:rPr>
          <w:lang w:val="fr-FR"/>
        </w:rPr>
        <w:t xml:space="preserve"> (</w:t>
      </w:r>
      <w:r w:rsidR="009708CA" w:rsidRPr="002A202C">
        <w:rPr>
          <w:lang w:val="fr-FR"/>
        </w:rPr>
        <w:t>Berne</w:t>
      </w:r>
      <w:r w:rsidRPr="002A202C">
        <w:rPr>
          <w:lang w:val="fr-FR"/>
        </w:rPr>
        <w:t xml:space="preserve">, </w:t>
      </w:r>
      <w:r w:rsidR="00A8788F" w:rsidRPr="002A202C">
        <w:rPr>
          <w:lang w:val="fr-FR"/>
        </w:rPr>
        <w:t>14</w:t>
      </w:r>
      <w:r w:rsidR="009708CA" w:rsidRPr="002A202C">
        <w:rPr>
          <w:lang w:val="fr-FR"/>
        </w:rPr>
        <w:t>-</w:t>
      </w:r>
      <w:r w:rsidR="00A8788F" w:rsidRPr="002A202C">
        <w:rPr>
          <w:lang w:val="fr-FR"/>
        </w:rPr>
        <w:t>18</w:t>
      </w:r>
      <w:r w:rsidR="009708CA" w:rsidRPr="002A202C">
        <w:rPr>
          <w:lang w:val="fr-FR"/>
        </w:rPr>
        <w:t xml:space="preserve"> mars 201</w:t>
      </w:r>
      <w:r w:rsidR="00A8788F" w:rsidRPr="002A202C">
        <w:rPr>
          <w:lang w:val="fr-FR"/>
        </w:rPr>
        <w:t>6</w:t>
      </w:r>
      <w:r w:rsidRPr="002A202C">
        <w:rPr>
          <w:lang w:val="fr-FR"/>
        </w:rPr>
        <w:t>).</w:t>
      </w:r>
    </w:p>
    <w:p w:rsidR="007806B9" w:rsidRPr="002A202C" w:rsidRDefault="007806B9" w:rsidP="007806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tab/>
      </w:r>
      <w:r w:rsidR="00C36867" w:rsidRPr="002A202C">
        <w:rPr>
          <w:b/>
          <w:sz w:val="28"/>
          <w:lang w:val="fr-FR"/>
        </w:rPr>
        <w:t>1</w:t>
      </w:r>
      <w:r w:rsidR="00FA2F1E" w:rsidRPr="002A202C">
        <w:rPr>
          <w:b/>
          <w:sz w:val="28"/>
          <w:lang w:val="fr-FR"/>
        </w:rPr>
        <w:t>1</w:t>
      </w:r>
      <w:r w:rsidRPr="002A202C">
        <w:rPr>
          <w:b/>
          <w:sz w:val="28"/>
          <w:lang w:val="fr-FR"/>
        </w:rPr>
        <w:t>.</w:t>
      </w:r>
      <w:r w:rsidRPr="002A202C">
        <w:rPr>
          <w:b/>
          <w:sz w:val="28"/>
          <w:lang w:val="fr-FR"/>
        </w:rPr>
        <w:tab/>
        <w:t xml:space="preserve">Questions diverses </w:t>
      </w:r>
    </w:p>
    <w:p w:rsidR="00A41CDA" w:rsidRPr="004A5B6F" w:rsidRDefault="00A41CDA" w:rsidP="00A41CDA">
      <w:pPr>
        <w:spacing w:after="120"/>
        <w:ind w:left="1134" w:right="1134" w:firstLine="567"/>
        <w:jc w:val="both"/>
      </w:pPr>
      <w:r w:rsidRPr="004A5B6F">
        <w:t xml:space="preserve">Aucun document n’a été soumis au titre de ce point de l’ordre du jour. </w:t>
      </w:r>
    </w:p>
    <w:p w:rsidR="007806B9" w:rsidRPr="002A202C" w:rsidRDefault="007806B9" w:rsidP="007806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tab/>
      </w:r>
      <w:r w:rsidR="008C13BE" w:rsidRPr="002A202C">
        <w:rPr>
          <w:b/>
          <w:sz w:val="28"/>
          <w:lang w:val="fr-FR"/>
        </w:rPr>
        <w:t>1</w:t>
      </w:r>
      <w:r w:rsidR="00FA2F1E" w:rsidRPr="002A202C">
        <w:rPr>
          <w:b/>
          <w:sz w:val="28"/>
          <w:lang w:val="fr-FR"/>
        </w:rPr>
        <w:t>2</w:t>
      </w:r>
      <w:r w:rsidRPr="002A202C">
        <w:rPr>
          <w:b/>
          <w:sz w:val="28"/>
          <w:lang w:val="fr-FR"/>
        </w:rPr>
        <w:t>.</w:t>
      </w:r>
      <w:r w:rsidRPr="002A202C">
        <w:rPr>
          <w:b/>
          <w:sz w:val="28"/>
          <w:lang w:val="fr-FR"/>
        </w:rPr>
        <w:tab/>
        <w:t>Adoption du rapport</w:t>
      </w:r>
    </w:p>
    <w:p w:rsidR="007806B9" w:rsidRPr="002A202C" w:rsidRDefault="007806B9" w:rsidP="007806B9">
      <w:pPr>
        <w:spacing w:after="120"/>
        <w:ind w:left="1134" w:right="1134" w:firstLine="561"/>
        <w:jc w:val="both"/>
        <w:rPr>
          <w:u w:val="single"/>
          <w:lang w:val="fr-FR"/>
        </w:rPr>
      </w:pPr>
      <w:r w:rsidRPr="002A202C">
        <w:rPr>
          <w:lang w:val="fr-FR"/>
        </w:rPr>
        <w:t>Conformément à l’usage, la Réunion commune adoptera le rapport de sa session sur la base d’un projet établi par le secrétariat.</w:t>
      </w:r>
    </w:p>
    <w:p w:rsidR="00BF06B0" w:rsidRPr="002A202C" w:rsidRDefault="007806B9" w:rsidP="007806B9">
      <w:pPr>
        <w:spacing w:before="240"/>
        <w:ind w:left="1134" w:right="1134"/>
        <w:jc w:val="center"/>
        <w:rPr>
          <w:u w:val="single"/>
          <w:lang w:val="fr-FR"/>
        </w:rPr>
      </w:pPr>
      <w:r w:rsidRPr="002A202C">
        <w:rPr>
          <w:u w:val="single"/>
          <w:lang w:val="fr-FR"/>
        </w:rPr>
        <w:tab/>
      </w:r>
      <w:r w:rsidRPr="002A202C">
        <w:rPr>
          <w:u w:val="single"/>
          <w:lang w:val="fr-FR"/>
        </w:rPr>
        <w:tab/>
      </w:r>
      <w:r w:rsidRPr="002A202C">
        <w:rPr>
          <w:u w:val="single"/>
          <w:lang w:val="fr-FR"/>
        </w:rPr>
        <w:tab/>
      </w:r>
    </w:p>
    <w:sectPr w:rsidR="00BF06B0" w:rsidRPr="002A202C" w:rsidSect="00B4677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B2" w:rsidRDefault="00B049B2"/>
  </w:endnote>
  <w:endnote w:type="continuationSeparator" w:id="0">
    <w:p w:rsidR="00B049B2" w:rsidRDefault="00B049B2"/>
  </w:endnote>
  <w:endnote w:type="continuationNotice" w:id="1">
    <w:p w:rsidR="00B049B2" w:rsidRDefault="00B04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2" w:rsidRPr="00B4677B" w:rsidRDefault="006C3A1B" w:rsidP="00B4677B">
    <w:pPr>
      <w:pStyle w:val="Footer"/>
      <w:tabs>
        <w:tab w:val="right" w:pos="9638"/>
      </w:tabs>
      <w:rPr>
        <w:sz w:val="18"/>
      </w:rPr>
    </w:pPr>
    <w:r w:rsidRPr="00B4677B">
      <w:rPr>
        <w:b/>
        <w:sz w:val="18"/>
      </w:rPr>
      <w:fldChar w:fldCharType="begin"/>
    </w:r>
    <w:r w:rsidR="005F2CE2" w:rsidRPr="00B4677B">
      <w:rPr>
        <w:b/>
        <w:sz w:val="18"/>
      </w:rPr>
      <w:instrText xml:space="preserve"> PAGE  \* MERGEFORMAT </w:instrText>
    </w:r>
    <w:r w:rsidRPr="00B4677B">
      <w:rPr>
        <w:b/>
        <w:sz w:val="18"/>
      </w:rPr>
      <w:fldChar w:fldCharType="separate"/>
    </w:r>
    <w:r w:rsidR="00A71BCC">
      <w:rPr>
        <w:b/>
        <w:noProof/>
        <w:sz w:val="18"/>
      </w:rPr>
      <w:t>4</w:t>
    </w:r>
    <w:r w:rsidRPr="00B4677B">
      <w:rPr>
        <w:b/>
        <w:sz w:val="18"/>
      </w:rPr>
      <w:fldChar w:fldCharType="end"/>
    </w:r>
    <w:r w:rsidR="005F2CE2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2" w:rsidRPr="00B4677B" w:rsidRDefault="005F2CE2" w:rsidP="00B4677B">
    <w:pPr>
      <w:pStyle w:val="Footer"/>
      <w:tabs>
        <w:tab w:val="right" w:pos="9638"/>
      </w:tabs>
      <w:rPr>
        <w:sz w:val="18"/>
      </w:rPr>
    </w:pPr>
    <w:r>
      <w:tab/>
    </w:r>
    <w:r w:rsidR="006C3A1B" w:rsidRPr="00B4677B">
      <w:rPr>
        <w:b/>
        <w:sz w:val="18"/>
      </w:rPr>
      <w:fldChar w:fldCharType="begin"/>
    </w:r>
    <w:r w:rsidRPr="00B4677B">
      <w:rPr>
        <w:b/>
        <w:sz w:val="18"/>
      </w:rPr>
      <w:instrText xml:space="preserve"> PAGE  \* MERGEFORMAT </w:instrText>
    </w:r>
    <w:r w:rsidR="006C3A1B" w:rsidRPr="00B4677B">
      <w:rPr>
        <w:b/>
        <w:sz w:val="18"/>
      </w:rPr>
      <w:fldChar w:fldCharType="separate"/>
    </w:r>
    <w:r w:rsidR="00A71BCC">
      <w:rPr>
        <w:b/>
        <w:noProof/>
        <w:sz w:val="18"/>
      </w:rPr>
      <w:t>5</w:t>
    </w:r>
    <w:r w:rsidR="006C3A1B" w:rsidRPr="00B467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2" w:rsidRPr="00B4677B" w:rsidRDefault="00A71BCC">
    <w:pPr>
      <w:pStyle w:val="Footer"/>
      <w:rPr>
        <w:sz w:val="20"/>
      </w:rPr>
    </w:pPr>
    <w:r>
      <w:rPr>
        <w:noProof/>
        <w:sz w:val="20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recycle_French" style="position:absolute;margin-left:396.9pt;margin-top:-7.35pt;width:86.95pt;height:18.35pt;z-index:251657728;visibility:visible">
          <v:imagedata r:id="rId1" o:title="recycle_French"/>
        </v:shape>
      </w:pict>
    </w:r>
    <w:r w:rsidR="005F2CE2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B2" w:rsidRPr="00D27D5E" w:rsidRDefault="00B049B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49B2" w:rsidRPr="00A80554" w:rsidRDefault="00B049B2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B049B2" w:rsidRDefault="00B04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2" w:rsidRPr="00C32EB8" w:rsidRDefault="005F2CE2">
    <w:pPr>
      <w:pStyle w:val="Header"/>
      <w:rPr>
        <w:lang w:val="en-GB"/>
      </w:rPr>
    </w:pPr>
    <w:r w:rsidRPr="00C32EB8">
      <w:rPr>
        <w:lang w:val="en-GB"/>
      </w:rPr>
      <w:t>ECE/TRANS/WP.15/AC.1/13</w:t>
    </w:r>
    <w:r>
      <w:rPr>
        <w:lang w:val="en-GB"/>
      </w:rPr>
      <w:t>9</w:t>
    </w:r>
    <w:r w:rsidRPr="00C32EB8">
      <w:rPr>
        <w:lang w:val="en-GB"/>
      </w:rP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2" w:rsidRPr="00C32EB8" w:rsidRDefault="005F2CE2" w:rsidP="00B4677B">
    <w:pPr>
      <w:pStyle w:val="Header"/>
      <w:jc w:val="right"/>
      <w:rPr>
        <w:lang w:val="en-GB"/>
      </w:rPr>
    </w:pPr>
    <w:r w:rsidRPr="00C32EB8">
      <w:rPr>
        <w:lang w:val="en-GB"/>
      </w:rPr>
      <w:t>ECE/TRANS/WP.15/AC.1/13</w:t>
    </w:r>
    <w:r>
      <w:rPr>
        <w:lang w:val="en-GB"/>
      </w:rPr>
      <w:t>9</w:t>
    </w:r>
    <w:r w:rsidRPr="00C32EB8">
      <w:rPr>
        <w:lang w:val="en-GB"/>
      </w:rP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03"/>
    <w:rsid w:val="00016AC5"/>
    <w:rsid w:val="00030ADE"/>
    <w:rsid w:val="000312C0"/>
    <w:rsid w:val="00043530"/>
    <w:rsid w:val="00052C91"/>
    <w:rsid w:val="00061FC8"/>
    <w:rsid w:val="000964C7"/>
    <w:rsid w:val="000B34CA"/>
    <w:rsid w:val="000C28A8"/>
    <w:rsid w:val="000F41F2"/>
    <w:rsid w:val="00135C0D"/>
    <w:rsid w:val="00154636"/>
    <w:rsid w:val="00160540"/>
    <w:rsid w:val="0017182C"/>
    <w:rsid w:val="00177007"/>
    <w:rsid w:val="00186EE9"/>
    <w:rsid w:val="00192EEB"/>
    <w:rsid w:val="001A20FB"/>
    <w:rsid w:val="001B6F40"/>
    <w:rsid w:val="001D7F8A"/>
    <w:rsid w:val="001E3FEB"/>
    <w:rsid w:val="001E4A02"/>
    <w:rsid w:val="00223B89"/>
    <w:rsid w:val="00225A8C"/>
    <w:rsid w:val="00232C61"/>
    <w:rsid w:val="0023377E"/>
    <w:rsid w:val="002659F1"/>
    <w:rsid w:val="00265AA7"/>
    <w:rsid w:val="00271C7C"/>
    <w:rsid w:val="00287E79"/>
    <w:rsid w:val="002928F9"/>
    <w:rsid w:val="002A202C"/>
    <w:rsid w:val="002A5D07"/>
    <w:rsid w:val="002F6203"/>
    <w:rsid w:val="003016B7"/>
    <w:rsid w:val="00330F9C"/>
    <w:rsid w:val="00337E6D"/>
    <w:rsid w:val="00340C35"/>
    <w:rsid w:val="003453AA"/>
    <w:rsid w:val="003515AA"/>
    <w:rsid w:val="00367E6A"/>
    <w:rsid w:val="00370E0F"/>
    <w:rsid w:val="00374106"/>
    <w:rsid w:val="003905BA"/>
    <w:rsid w:val="00390AE6"/>
    <w:rsid w:val="003923E9"/>
    <w:rsid w:val="003976D5"/>
    <w:rsid w:val="003D1DF3"/>
    <w:rsid w:val="003D46A7"/>
    <w:rsid w:val="003D6C68"/>
    <w:rsid w:val="003D76E4"/>
    <w:rsid w:val="00414425"/>
    <w:rsid w:val="004159D0"/>
    <w:rsid w:val="004249E7"/>
    <w:rsid w:val="00426DA1"/>
    <w:rsid w:val="00434168"/>
    <w:rsid w:val="004548A2"/>
    <w:rsid w:val="00497A70"/>
    <w:rsid w:val="004D53B7"/>
    <w:rsid w:val="004F7B0D"/>
    <w:rsid w:val="00513891"/>
    <w:rsid w:val="00522363"/>
    <w:rsid w:val="005353C2"/>
    <w:rsid w:val="00543D5E"/>
    <w:rsid w:val="00557276"/>
    <w:rsid w:val="00571F41"/>
    <w:rsid w:val="0059410B"/>
    <w:rsid w:val="00595BE4"/>
    <w:rsid w:val="005B1B66"/>
    <w:rsid w:val="005B738F"/>
    <w:rsid w:val="005B76A3"/>
    <w:rsid w:val="005E22D4"/>
    <w:rsid w:val="005E5D1F"/>
    <w:rsid w:val="005F2CE2"/>
    <w:rsid w:val="00603391"/>
    <w:rsid w:val="006049FD"/>
    <w:rsid w:val="00611D43"/>
    <w:rsid w:val="00612D48"/>
    <w:rsid w:val="00616B45"/>
    <w:rsid w:val="00630D9B"/>
    <w:rsid w:val="00631953"/>
    <w:rsid w:val="006439EC"/>
    <w:rsid w:val="00660424"/>
    <w:rsid w:val="006857DB"/>
    <w:rsid w:val="006A047B"/>
    <w:rsid w:val="006B4590"/>
    <w:rsid w:val="006C340C"/>
    <w:rsid w:val="006C3A1B"/>
    <w:rsid w:val="006E3779"/>
    <w:rsid w:val="006E5FC7"/>
    <w:rsid w:val="0070347C"/>
    <w:rsid w:val="007176C1"/>
    <w:rsid w:val="007806B9"/>
    <w:rsid w:val="00783F37"/>
    <w:rsid w:val="00790F2F"/>
    <w:rsid w:val="007A6076"/>
    <w:rsid w:val="007D562A"/>
    <w:rsid w:val="007F2090"/>
    <w:rsid w:val="007F55CB"/>
    <w:rsid w:val="00802D6A"/>
    <w:rsid w:val="00803E8C"/>
    <w:rsid w:val="00812C1A"/>
    <w:rsid w:val="00813CC6"/>
    <w:rsid w:val="0081450F"/>
    <w:rsid w:val="008317F6"/>
    <w:rsid w:val="00844750"/>
    <w:rsid w:val="008A16D5"/>
    <w:rsid w:val="008B44C4"/>
    <w:rsid w:val="008B7879"/>
    <w:rsid w:val="008C126A"/>
    <w:rsid w:val="008C13BE"/>
    <w:rsid w:val="008C2211"/>
    <w:rsid w:val="008D3919"/>
    <w:rsid w:val="008E7FAE"/>
    <w:rsid w:val="00911BF7"/>
    <w:rsid w:val="00926E87"/>
    <w:rsid w:val="00940832"/>
    <w:rsid w:val="00952FDB"/>
    <w:rsid w:val="009708CA"/>
    <w:rsid w:val="00977EC8"/>
    <w:rsid w:val="009B18A3"/>
    <w:rsid w:val="009D3A8C"/>
    <w:rsid w:val="009E01B8"/>
    <w:rsid w:val="009E7956"/>
    <w:rsid w:val="00A1547F"/>
    <w:rsid w:val="00A2492E"/>
    <w:rsid w:val="00A31F07"/>
    <w:rsid w:val="00A41235"/>
    <w:rsid w:val="00A41CDA"/>
    <w:rsid w:val="00A5076A"/>
    <w:rsid w:val="00A62763"/>
    <w:rsid w:val="00A70163"/>
    <w:rsid w:val="00A71BCC"/>
    <w:rsid w:val="00A751BF"/>
    <w:rsid w:val="00A80554"/>
    <w:rsid w:val="00A85024"/>
    <w:rsid w:val="00A8788F"/>
    <w:rsid w:val="00A95EC0"/>
    <w:rsid w:val="00AA72C3"/>
    <w:rsid w:val="00AB1444"/>
    <w:rsid w:val="00AC67A1"/>
    <w:rsid w:val="00AC7977"/>
    <w:rsid w:val="00AD5786"/>
    <w:rsid w:val="00AE352C"/>
    <w:rsid w:val="00AE4B1B"/>
    <w:rsid w:val="00AF6E52"/>
    <w:rsid w:val="00B049B2"/>
    <w:rsid w:val="00B25118"/>
    <w:rsid w:val="00B32E2D"/>
    <w:rsid w:val="00B4466B"/>
    <w:rsid w:val="00B4677B"/>
    <w:rsid w:val="00B57112"/>
    <w:rsid w:val="00B61990"/>
    <w:rsid w:val="00B6602A"/>
    <w:rsid w:val="00B85D99"/>
    <w:rsid w:val="00B93E72"/>
    <w:rsid w:val="00B94939"/>
    <w:rsid w:val="00BD52D5"/>
    <w:rsid w:val="00BF0556"/>
    <w:rsid w:val="00BF06B0"/>
    <w:rsid w:val="00C203A5"/>
    <w:rsid w:val="00C24B53"/>
    <w:rsid w:val="00C261F8"/>
    <w:rsid w:val="00C32EB8"/>
    <w:rsid w:val="00C33100"/>
    <w:rsid w:val="00C354D4"/>
    <w:rsid w:val="00C36867"/>
    <w:rsid w:val="00C468F0"/>
    <w:rsid w:val="00C504B2"/>
    <w:rsid w:val="00C55554"/>
    <w:rsid w:val="00C67393"/>
    <w:rsid w:val="00C74CDD"/>
    <w:rsid w:val="00C940E9"/>
    <w:rsid w:val="00C9728B"/>
    <w:rsid w:val="00CB6267"/>
    <w:rsid w:val="00CD1A71"/>
    <w:rsid w:val="00CD1FBB"/>
    <w:rsid w:val="00D016B5"/>
    <w:rsid w:val="00D034F1"/>
    <w:rsid w:val="00D11B17"/>
    <w:rsid w:val="00D145F4"/>
    <w:rsid w:val="00D27D5E"/>
    <w:rsid w:val="00D4201E"/>
    <w:rsid w:val="00D60301"/>
    <w:rsid w:val="00DA57D4"/>
    <w:rsid w:val="00DB4793"/>
    <w:rsid w:val="00DE01E3"/>
    <w:rsid w:val="00DE6D90"/>
    <w:rsid w:val="00DF002F"/>
    <w:rsid w:val="00E0244D"/>
    <w:rsid w:val="00E25082"/>
    <w:rsid w:val="00E55D71"/>
    <w:rsid w:val="00E81E94"/>
    <w:rsid w:val="00E82607"/>
    <w:rsid w:val="00E90F1E"/>
    <w:rsid w:val="00EA31C2"/>
    <w:rsid w:val="00EE2EA3"/>
    <w:rsid w:val="00EE4D2E"/>
    <w:rsid w:val="00EF68ED"/>
    <w:rsid w:val="00F01516"/>
    <w:rsid w:val="00F42D22"/>
    <w:rsid w:val="00F57129"/>
    <w:rsid w:val="00F8653C"/>
    <w:rsid w:val="00FA2F1E"/>
    <w:rsid w:val="00FA5A79"/>
    <w:rsid w:val="00FA6422"/>
    <w:rsid w:val="00FB00CB"/>
    <w:rsid w:val="00FB0BFE"/>
    <w:rsid w:val="00FB15F1"/>
    <w:rsid w:val="00FB1C5A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ChGChar">
    <w:name w:val="_ H _Ch_G Char"/>
    <w:link w:val="HChG"/>
    <w:rsid w:val="00C354D4"/>
    <w:rPr>
      <w:b/>
      <w:sz w:val="28"/>
      <w:lang w:val="fr-CH" w:eastAsia="en-US"/>
    </w:rPr>
  </w:style>
  <w:style w:type="character" w:customStyle="1" w:styleId="SingleTxtGCar">
    <w:name w:val="_ Single Txt_G Car"/>
    <w:link w:val="SingleTxtG"/>
    <w:rsid w:val="00C74CDD"/>
    <w:rPr>
      <w:lang w:val="fr-CH" w:eastAsia="en-US"/>
    </w:rPr>
  </w:style>
  <w:style w:type="paragraph" w:styleId="BalloonText">
    <w:name w:val="Balloon Text"/>
    <w:basedOn w:val="Normal"/>
    <w:link w:val="BalloonTextChar"/>
    <w:rsid w:val="00C97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28B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danger.ht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1</TotalTime>
  <Pages>5</Pages>
  <Words>1068</Words>
  <Characters>7012</Characters>
  <Application>Microsoft Office Word</Application>
  <DocSecurity>0</DocSecurity>
  <Lines>233</Lines>
  <Paragraphs>130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7950</CharactersWithSpaces>
  <SharedDoc>false</SharedDoc>
  <HLinks>
    <vt:vector size="6" baseType="variant"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http://www.unece.org/trans/danger/danger.htm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Sabrina Mansion</dc:creator>
  <cp:lastModifiedBy>barrio-champeau</cp:lastModifiedBy>
  <cp:revision>3</cp:revision>
  <cp:lastPrinted>2014-07-04T13:27:00Z</cp:lastPrinted>
  <dcterms:created xsi:type="dcterms:W3CDTF">2015-07-06T13:04:00Z</dcterms:created>
  <dcterms:modified xsi:type="dcterms:W3CDTF">2015-07-06T13:13:00Z</dcterms:modified>
</cp:coreProperties>
</file>