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7C" w:rsidRPr="0020017B" w:rsidRDefault="00CE357C" w:rsidP="00CE357C">
      <w:pPr>
        <w:spacing w:line="60" w:lineRule="exact"/>
        <w:rPr>
          <w:color w:val="010000"/>
          <w:sz w:val="6"/>
        </w:rPr>
        <w:sectPr w:rsidR="00CE357C" w:rsidRPr="0020017B" w:rsidSect="00CE357C">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20017B" w:rsidRPr="00704EB4" w:rsidRDefault="0020017B" w:rsidP="002001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8"/>
          <w:szCs w:val="28"/>
          <w:lang w:bidi="ru-RU"/>
        </w:rPr>
      </w:pPr>
      <w:r w:rsidRPr="0020017B">
        <w:rPr>
          <w:b/>
          <w:sz w:val="28"/>
          <w:szCs w:val="28"/>
          <w:lang w:bidi="ru-RU"/>
        </w:rPr>
        <w:lastRenderedPageBreak/>
        <w:t>Европейская экономическая комиссия</w:t>
      </w:r>
    </w:p>
    <w:p w:rsidR="0020017B" w:rsidRPr="00704EB4" w:rsidRDefault="0020017B" w:rsidP="002001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lang w:bidi="ru-RU"/>
        </w:rPr>
      </w:pPr>
    </w:p>
    <w:p w:rsidR="0020017B" w:rsidRPr="0020017B" w:rsidRDefault="0020017B" w:rsidP="002001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 w:val="28"/>
          <w:szCs w:val="28"/>
          <w:lang w:bidi="ru-RU"/>
        </w:rPr>
      </w:pPr>
      <w:r w:rsidRPr="0020017B">
        <w:rPr>
          <w:sz w:val="28"/>
          <w:szCs w:val="28"/>
          <w:lang w:bidi="ru-RU"/>
        </w:rPr>
        <w:t>Комитет по внутреннему транспорту</w:t>
      </w:r>
    </w:p>
    <w:p w:rsidR="0020017B" w:rsidRPr="00704EB4" w:rsidRDefault="0020017B" w:rsidP="002001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lang w:bidi="ru-RU"/>
        </w:rPr>
      </w:pPr>
    </w:p>
    <w:p w:rsidR="0020017B" w:rsidRPr="0020017B" w:rsidRDefault="0020017B" w:rsidP="002001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4"/>
          <w:szCs w:val="24"/>
          <w:lang w:bidi="ru-RU"/>
        </w:rPr>
      </w:pPr>
      <w:r w:rsidRPr="0020017B">
        <w:rPr>
          <w:b/>
          <w:sz w:val="24"/>
          <w:szCs w:val="24"/>
          <w:lang w:bidi="ru-RU"/>
        </w:rPr>
        <w:t>Рабочая группа по перевозкам опасных грузов</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tab/>
        <w:t>Доклад Рабочей группы о работе ее девяносто восьмой сессии,</w:t>
      </w:r>
    </w:p>
    <w:p w:rsidR="0020017B" w:rsidRPr="00704EB4" w:rsidRDefault="0020017B" w:rsidP="0020017B">
      <w:pPr>
        <w:pStyle w:val="SingleTxt"/>
        <w:spacing w:after="0" w:line="120" w:lineRule="exact"/>
        <w:rPr>
          <w:sz w:val="10"/>
        </w:rPr>
      </w:pPr>
    </w:p>
    <w:p w:rsidR="0020017B" w:rsidRPr="00704EB4" w:rsidRDefault="0020017B" w:rsidP="0020017B">
      <w:pPr>
        <w:pStyle w:val="SingleTxt"/>
        <w:spacing w:after="0" w:line="120" w:lineRule="exact"/>
        <w:rPr>
          <w:sz w:val="10"/>
        </w:rPr>
      </w:pPr>
    </w:p>
    <w:p w:rsidR="0020017B" w:rsidRPr="0020017B" w:rsidRDefault="0020017B" w:rsidP="0020017B">
      <w:pPr>
        <w:pStyle w:val="SingleTxt"/>
      </w:pPr>
      <w:r w:rsidRPr="0020017B">
        <w:t>состоявшейся в Женеве 4−6 мая 201</w:t>
      </w:r>
      <w:r w:rsidR="000807C3" w:rsidRPr="00074F19">
        <w:t>5</w:t>
      </w:r>
      <w:r w:rsidRPr="0020017B">
        <w:t xml:space="preserve"> года</w:t>
      </w:r>
    </w:p>
    <w:p w:rsidR="00862057" w:rsidRPr="00C81641" w:rsidRDefault="00862057" w:rsidP="00862057">
      <w:pPr>
        <w:pStyle w:val="HCh"/>
        <w:spacing w:after="120"/>
        <w:rPr>
          <w:b w:val="0"/>
        </w:rPr>
      </w:pPr>
      <w:r>
        <w:rPr>
          <w:b w:val="0"/>
        </w:rPr>
        <w:t>Содержание</w:t>
      </w:r>
    </w:p>
    <w:tbl>
      <w:tblPr>
        <w:tblW w:w="9830" w:type="dxa"/>
        <w:tblLayout w:type="fixed"/>
        <w:tblCellMar>
          <w:left w:w="0" w:type="dxa"/>
          <w:right w:w="0" w:type="dxa"/>
        </w:tblCellMar>
        <w:tblLook w:val="0000"/>
      </w:tblPr>
      <w:tblGrid>
        <w:gridCol w:w="1060"/>
        <w:gridCol w:w="7056"/>
        <w:gridCol w:w="994"/>
        <w:gridCol w:w="720"/>
      </w:tblGrid>
      <w:tr w:rsidR="00862057" w:rsidRPr="00C10BC6" w:rsidTr="00862057">
        <w:tc>
          <w:tcPr>
            <w:tcW w:w="1060" w:type="dxa"/>
            <w:shd w:val="clear" w:color="auto" w:fill="auto"/>
          </w:tcPr>
          <w:p w:rsidR="00862057" w:rsidRPr="00C10BC6" w:rsidRDefault="00862057" w:rsidP="00862057">
            <w:pPr>
              <w:spacing w:after="120" w:line="240" w:lineRule="auto"/>
              <w:jc w:val="right"/>
              <w:rPr>
                <w:i/>
                <w:sz w:val="14"/>
              </w:rPr>
            </w:pPr>
          </w:p>
        </w:tc>
        <w:tc>
          <w:tcPr>
            <w:tcW w:w="7056" w:type="dxa"/>
            <w:shd w:val="clear" w:color="auto" w:fill="auto"/>
          </w:tcPr>
          <w:p w:rsidR="00862057" w:rsidRPr="00C10BC6" w:rsidRDefault="00862057" w:rsidP="00862057">
            <w:pPr>
              <w:spacing w:after="120" w:line="240" w:lineRule="auto"/>
              <w:rPr>
                <w:i/>
                <w:sz w:val="14"/>
              </w:rPr>
            </w:pPr>
          </w:p>
        </w:tc>
        <w:tc>
          <w:tcPr>
            <w:tcW w:w="994" w:type="dxa"/>
            <w:shd w:val="clear" w:color="auto" w:fill="auto"/>
          </w:tcPr>
          <w:p w:rsidR="00862057" w:rsidRPr="00C10BC6" w:rsidRDefault="00862057" w:rsidP="00862057">
            <w:pPr>
              <w:spacing w:after="120" w:line="240" w:lineRule="auto"/>
              <w:ind w:right="40"/>
              <w:jc w:val="right"/>
              <w:rPr>
                <w:i/>
                <w:sz w:val="14"/>
              </w:rPr>
            </w:pPr>
            <w:r>
              <w:rPr>
                <w:i/>
                <w:sz w:val="14"/>
              </w:rPr>
              <w:t>Пункты</w:t>
            </w:r>
          </w:p>
        </w:tc>
        <w:tc>
          <w:tcPr>
            <w:tcW w:w="720" w:type="dxa"/>
            <w:shd w:val="clear" w:color="auto" w:fill="auto"/>
          </w:tcPr>
          <w:p w:rsidR="00862057" w:rsidRPr="00C10BC6" w:rsidRDefault="00862057" w:rsidP="00862057">
            <w:pPr>
              <w:spacing w:after="120" w:line="240" w:lineRule="auto"/>
              <w:ind w:right="40"/>
              <w:jc w:val="right"/>
              <w:rPr>
                <w:i/>
                <w:sz w:val="14"/>
              </w:rPr>
            </w:pPr>
            <w:r>
              <w:rPr>
                <w:i/>
                <w:sz w:val="14"/>
              </w:rPr>
              <w:t>Стр.</w:t>
            </w:r>
          </w:p>
        </w:tc>
      </w:tr>
      <w:tr w:rsidR="00862057" w:rsidRPr="00C10BC6" w:rsidTr="00862057">
        <w:tc>
          <w:tcPr>
            <w:tcW w:w="8116" w:type="dxa"/>
            <w:gridSpan w:val="2"/>
            <w:shd w:val="clear" w:color="auto" w:fill="auto"/>
          </w:tcPr>
          <w:p w:rsidR="00862057" w:rsidRPr="00C10BC6" w:rsidRDefault="00862057" w:rsidP="00862057">
            <w:pPr>
              <w:numPr>
                <w:ilvl w:val="0"/>
                <w:numId w:val="12"/>
              </w:numPr>
              <w:tabs>
                <w:tab w:val="right" w:pos="1080"/>
                <w:tab w:val="left" w:pos="1296"/>
                <w:tab w:val="left" w:pos="1728"/>
                <w:tab w:val="right" w:leader="dot" w:pos="8194"/>
              </w:tabs>
              <w:suppressAutoHyphens/>
              <w:spacing w:after="120"/>
            </w:pPr>
            <w:r>
              <w:tab/>
              <w:t>Участники</w:t>
            </w:r>
            <w:r>
              <w:rPr>
                <w:spacing w:val="60"/>
                <w:sz w:val="17"/>
              </w:rPr>
              <w:tab/>
            </w:r>
          </w:p>
        </w:tc>
        <w:tc>
          <w:tcPr>
            <w:tcW w:w="994" w:type="dxa"/>
            <w:shd w:val="clear" w:color="auto" w:fill="auto"/>
            <w:vAlign w:val="bottom"/>
          </w:tcPr>
          <w:p w:rsidR="00862057" w:rsidRPr="000C118B" w:rsidRDefault="00862057" w:rsidP="000C118B">
            <w:pPr>
              <w:spacing w:after="120"/>
              <w:ind w:right="40"/>
              <w:jc w:val="right"/>
              <w:rPr>
                <w:lang w:val="en-US"/>
              </w:rPr>
            </w:pPr>
            <w:r>
              <w:t>1–</w:t>
            </w:r>
            <w:r w:rsidR="000C118B">
              <w:t>5</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3</w:t>
            </w:r>
          </w:p>
        </w:tc>
      </w:tr>
      <w:tr w:rsidR="00862057" w:rsidRPr="00C10BC6" w:rsidTr="00862057">
        <w:tc>
          <w:tcPr>
            <w:tcW w:w="8116" w:type="dxa"/>
            <w:gridSpan w:val="2"/>
            <w:shd w:val="clear" w:color="auto" w:fill="auto"/>
          </w:tcPr>
          <w:p w:rsidR="00862057" w:rsidRPr="00C10BC6" w:rsidRDefault="00862057" w:rsidP="00862057">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ab/>
              <w:t>Утверждение повестки дня (пункт 1 повестки дня)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6</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3</w:t>
            </w:r>
          </w:p>
        </w:tc>
      </w:tr>
      <w:tr w:rsidR="00862057" w:rsidRPr="00C10BC6" w:rsidTr="00862057">
        <w:tc>
          <w:tcPr>
            <w:tcW w:w="8116" w:type="dxa"/>
            <w:gridSpan w:val="2"/>
            <w:shd w:val="clear" w:color="auto" w:fill="auto"/>
          </w:tcPr>
          <w:p w:rsidR="00862057" w:rsidRPr="00C10BC6" w:rsidRDefault="00862057" w:rsidP="00862057">
            <w:pPr>
              <w:numPr>
                <w:ilvl w:val="0"/>
                <w:numId w:val="12"/>
              </w:numPr>
              <w:tabs>
                <w:tab w:val="right" w:pos="1080"/>
                <w:tab w:val="left" w:pos="1296"/>
                <w:tab w:val="left" w:pos="1728"/>
                <w:tab w:val="left" w:pos="2160"/>
                <w:tab w:val="right" w:leader="dot" w:pos="8194"/>
              </w:tabs>
              <w:suppressAutoHyphens/>
              <w:spacing w:after="120"/>
            </w:pPr>
            <w:r>
              <w:tab/>
              <w:t xml:space="preserve">Семьдесят седьмая сессия Комитета по внутреннему транспорту </w:t>
            </w:r>
            <w:r>
              <w:br/>
              <w:t>(пункт 2 повестки дня)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7</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3</w:t>
            </w:r>
          </w:p>
        </w:tc>
      </w:tr>
      <w:tr w:rsidR="00862057" w:rsidRPr="00C10BC6" w:rsidTr="00862057">
        <w:tc>
          <w:tcPr>
            <w:tcW w:w="8116" w:type="dxa"/>
            <w:gridSpan w:val="2"/>
            <w:shd w:val="clear" w:color="auto" w:fill="auto"/>
          </w:tcPr>
          <w:p w:rsidR="00862057" w:rsidRPr="00C10BC6" w:rsidRDefault="00862057" w:rsidP="00862057">
            <w:pPr>
              <w:numPr>
                <w:ilvl w:val="0"/>
                <w:numId w:val="12"/>
              </w:numPr>
              <w:tabs>
                <w:tab w:val="right" w:pos="1080"/>
                <w:tab w:val="left" w:pos="1296"/>
                <w:tab w:val="left" w:pos="1728"/>
                <w:tab w:val="left" w:pos="2160"/>
                <w:tab w:val="right" w:leader="dot" w:pos="8194"/>
              </w:tabs>
              <w:suppressAutoHyphens/>
              <w:spacing w:after="120"/>
            </w:pPr>
            <w:r>
              <w:tab/>
              <w:t xml:space="preserve">Состояние Европейского соглашения о международной дорожной перевозке опасных грузов (ДОПОГ) и связанные с этим вопросы </w:t>
            </w:r>
            <w:r>
              <w:br/>
              <w:t>(пункт 3 повестки дня)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8–9</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3</w:t>
            </w:r>
          </w:p>
        </w:tc>
      </w:tr>
      <w:tr w:rsidR="00862057" w:rsidRPr="00C10BC6" w:rsidTr="00862057">
        <w:tc>
          <w:tcPr>
            <w:tcW w:w="8116" w:type="dxa"/>
            <w:gridSpan w:val="2"/>
            <w:shd w:val="clear" w:color="auto" w:fill="auto"/>
          </w:tcPr>
          <w:p w:rsidR="00862057" w:rsidRPr="00C10BC6" w:rsidRDefault="00862057" w:rsidP="00862057">
            <w:pPr>
              <w:numPr>
                <w:ilvl w:val="1"/>
                <w:numId w:val="12"/>
              </w:numPr>
              <w:tabs>
                <w:tab w:val="right" w:pos="1080"/>
                <w:tab w:val="left" w:pos="1296"/>
                <w:tab w:val="left" w:pos="1728"/>
                <w:tab w:val="left" w:pos="2160"/>
                <w:tab w:val="right" w:leader="dot" w:pos="8194"/>
              </w:tabs>
              <w:suppressAutoHyphens/>
              <w:spacing w:after="120"/>
            </w:pPr>
            <w:r>
              <w:t xml:space="preserve">Состояние Соглашения и Протокола о внесении поправок </w:t>
            </w:r>
            <w:r>
              <w:br/>
              <w:t>1993 года</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8</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3</w:t>
            </w:r>
          </w:p>
        </w:tc>
      </w:tr>
      <w:tr w:rsidR="00862057" w:rsidRPr="00C10BC6" w:rsidTr="00862057">
        <w:tc>
          <w:tcPr>
            <w:tcW w:w="8116" w:type="dxa"/>
            <w:gridSpan w:val="2"/>
            <w:shd w:val="clear" w:color="auto" w:fill="auto"/>
          </w:tcPr>
          <w:p w:rsidR="00862057" w:rsidRPr="00C10BC6" w:rsidRDefault="000807C3" w:rsidP="00074F19">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Pr>
                <w:lang w:bidi="ru-RU"/>
              </w:rPr>
              <w:t xml:space="preserve">Исправления к </w:t>
            </w:r>
            <w:r w:rsidR="00074F19">
              <w:rPr>
                <w:lang w:bidi="ru-RU"/>
              </w:rPr>
              <w:t xml:space="preserve">изданию </w:t>
            </w:r>
            <w:r>
              <w:rPr>
                <w:lang w:bidi="ru-RU"/>
              </w:rPr>
              <w:t>ДОПОГ 2015 года</w:t>
            </w:r>
            <w:r w:rsidR="00074F19">
              <w:rPr>
                <w:spacing w:val="60"/>
                <w:sz w:val="17"/>
                <w:lang w:bidi="ru-RU"/>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9</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4</w:t>
            </w:r>
          </w:p>
        </w:tc>
      </w:tr>
      <w:tr w:rsidR="00862057" w:rsidRPr="00C10BC6" w:rsidTr="00862057">
        <w:tc>
          <w:tcPr>
            <w:tcW w:w="8116" w:type="dxa"/>
            <w:gridSpan w:val="2"/>
            <w:shd w:val="clear" w:color="auto" w:fill="auto"/>
          </w:tcPr>
          <w:p w:rsidR="00862057" w:rsidRPr="00C10BC6" w:rsidRDefault="00862057" w:rsidP="00862057">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t>Толкование ДОПОГ (пункт 4 повестки дня)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10–13</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4</w:t>
            </w:r>
          </w:p>
        </w:tc>
      </w:tr>
      <w:tr w:rsidR="00862057" w:rsidRPr="00C10BC6" w:rsidTr="00862057">
        <w:tc>
          <w:tcPr>
            <w:tcW w:w="8116" w:type="dxa"/>
            <w:gridSpan w:val="2"/>
            <w:shd w:val="clear" w:color="auto" w:fill="auto"/>
          </w:tcPr>
          <w:p w:rsidR="00862057" w:rsidRPr="00C10BC6" w:rsidRDefault="00862057" w:rsidP="00862057">
            <w:pPr>
              <w:numPr>
                <w:ilvl w:val="1"/>
                <w:numId w:val="12"/>
              </w:numPr>
              <w:tabs>
                <w:tab w:val="right" w:pos="1080"/>
                <w:tab w:val="left" w:pos="1296"/>
                <w:tab w:val="left" w:pos="1728"/>
                <w:tab w:val="left" w:pos="2160"/>
                <w:tab w:val="right" w:leader="dot" w:pos="8194"/>
              </w:tabs>
              <w:suppressAutoHyphens/>
              <w:spacing w:after="120"/>
            </w:pPr>
            <w:r>
              <w:t xml:space="preserve">Перевозка автоцистерн на транспортных средствах </w:t>
            </w:r>
            <w:r w:rsidR="000807C3">
              <w:br/>
            </w:r>
            <w:r>
              <w:t>и прицепах-тягачах</w:t>
            </w:r>
            <w:r>
              <w:rPr>
                <w:spacing w:val="60"/>
                <w:sz w:val="17"/>
              </w:rPr>
              <w:tab/>
            </w:r>
          </w:p>
        </w:tc>
        <w:tc>
          <w:tcPr>
            <w:tcW w:w="994" w:type="dxa"/>
            <w:shd w:val="clear" w:color="auto" w:fill="auto"/>
            <w:vAlign w:val="bottom"/>
          </w:tcPr>
          <w:p w:rsidR="00862057" w:rsidRPr="000807C3" w:rsidRDefault="000C118B" w:rsidP="00862057">
            <w:pPr>
              <w:spacing w:after="120"/>
              <w:ind w:right="40"/>
              <w:jc w:val="right"/>
            </w:pPr>
            <w:r w:rsidRPr="000807C3">
              <w:t>10–12</w:t>
            </w:r>
          </w:p>
        </w:tc>
        <w:tc>
          <w:tcPr>
            <w:tcW w:w="720" w:type="dxa"/>
            <w:shd w:val="clear" w:color="auto" w:fill="auto"/>
            <w:vAlign w:val="bottom"/>
          </w:tcPr>
          <w:p w:rsidR="00862057" w:rsidRPr="000807C3" w:rsidRDefault="00AA2101" w:rsidP="00862057">
            <w:pPr>
              <w:spacing w:after="120"/>
              <w:ind w:right="40"/>
              <w:jc w:val="right"/>
            </w:pPr>
            <w:r w:rsidRPr="000807C3">
              <w:t>4</w:t>
            </w:r>
          </w:p>
        </w:tc>
      </w:tr>
      <w:tr w:rsidR="00862057" w:rsidRPr="00C10BC6" w:rsidTr="00862057">
        <w:tc>
          <w:tcPr>
            <w:tcW w:w="8116" w:type="dxa"/>
            <w:gridSpan w:val="2"/>
            <w:shd w:val="clear" w:color="auto" w:fill="auto"/>
          </w:tcPr>
          <w:p w:rsidR="00862057" w:rsidRPr="00C10BC6" w:rsidRDefault="000807C3" w:rsidP="000807C3">
            <w:pPr>
              <w:numPr>
                <w:ilvl w:val="1"/>
                <w:numId w:val="12"/>
              </w:numPr>
              <w:tabs>
                <w:tab w:val="right" w:pos="1080"/>
                <w:tab w:val="left" w:pos="1296"/>
                <w:tab w:val="left" w:pos="1728"/>
                <w:tab w:val="left" w:pos="2160"/>
                <w:tab w:val="left" w:pos="2592"/>
                <w:tab w:val="right" w:leader="dot" w:pos="8194"/>
              </w:tabs>
              <w:suppressAutoHyphens/>
              <w:spacing w:after="120"/>
            </w:pPr>
            <w:r w:rsidRPr="0020017B">
              <w:rPr>
                <w:lang w:bidi="ru-RU"/>
              </w:rPr>
              <w:t>Транспортные средства, оборудованные грузоподъемными устройствами</w:t>
            </w:r>
            <w:r>
              <w:rPr>
                <w:spacing w:val="60"/>
                <w:sz w:val="17"/>
                <w:lang w:bidi="ru-RU"/>
              </w:rPr>
              <w:tab/>
            </w:r>
          </w:p>
        </w:tc>
        <w:tc>
          <w:tcPr>
            <w:tcW w:w="994" w:type="dxa"/>
            <w:shd w:val="clear" w:color="auto" w:fill="auto"/>
            <w:vAlign w:val="bottom"/>
          </w:tcPr>
          <w:p w:rsidR="00862057" w:rsidRPr="000807C3" w:rsidRDefault="000C118B" w:rsidP="00862057">
            <w:pPr>
              <w:spacing w:after="120"/>
              <w:ind w:right="40"/>
              <w:jc w:val="right"/>
            </w:pPr>
            <w:r w:rsidRPr="000807C3">
              <w:t>13</w:t>
            </w:r>
          </w:p>
        </w:tc>
        <w:tc>
          <w:tcPr>
            <w:tcW w:w="720" w:type="dxa"/>
            <w:shd w:val="clear" w:color="auto" w:fill="auto"/>
            <w:vAlign w:val="bottom"/>
          </w:tcPr>
          <w:p w:rsidR="00862057" w:rsidRPr="000807C3" w:rsidRDefault="00AA2101" w:rsidP="00862057">
            <w:pPr>
              <w:spacing w:after="120"/>
              <w:ind w:right="40"/>
              <w:jc w:val="right"/>
            </w:pPr>
            <w:r w:rsidRPr="000807C3">
              <w:t>4</w:t>
            </w:r>
          </w:p>
        </w:tc>
      </w:tr>
      <w:tr w:rsidR="00862057" w:rsidRPr="00C10BC6" w:rsidTr="00862057">
        <w:tc>
          <w:tcPr>
            <w:tcW w:w="8116" w:type="dxa"/>
            <w:gridSpan w:val="2"/>
            <w:shd w:val="clear" w:color="auto" w:fill="auto"/>
          </w:tcPr>
          <w:p w:rsidR="00862057" w:rsidRPr="00C10BC6" w:rsidRDefault="00862057" w:rsidP="00862057">
            <w:pPr>
              <w:numPr>
                <w:ilvl w:val="0"/>
                <w:numId w:val="12"/>
              </w:numPr>
              <w:tabs>
                <w:tab w:val="right" w:pos="1080"/>
                <w:tab w:val="left" w:pos="1296"/>
                <w:tab w:val="left" w:pos="1728"/>
                <w:tab w:val="left" w:pos="2160"/>
                <w:tab w:val="right" w:leader="dot" w:pos="8194"/>
              </w:tabs>
              <w:suppressAutoHyphens/>
              <w:spacing w:after="120"/>
            </w:pPr>
            <w:r>
              <w:tab/>
              <w:t xml:space="preserve">Работа Совместного совещания МПОГ/ДОПОГ/ ВОПОГ </w:t>
            </w:r>
            <w:r>
              <w:br/>
              <w:t>(пункт 5 повестки дня)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14–20</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5</w:t>
            </w:r>
          </w:p>
        </w:tc>
      </w:tr>
      <w:tr w:rsidR="00862057" w:rsidRPr="00C10BC6" w:rsidTr="00862057">
        <w:tc>
          <w:tcPr>
            <w:tcW w:w="8116" w:type="dxa"/>
            <w:gridSpan w:val="2"/>
            <w:shd w:val="clear" w:color="auto" w:fill="auto"/>
          </w:tcPr>
          <w:p w:rsidR="00862057" w:rsidRPr="00C10BC6" w:rsidRDefault="00074F19" w:rsidP="00074F19">
            <w:pPr>
              <w:numPr>
                <w:ilvl w:val="1"/>
                <w:numId w:val="12"/>
              </w:numPr>
              <w:tabs>
                <w:tab w:val="right" w:pos="1080"/>
                <w:tab w:val="left" w:pos="1296"/>
                <w:tab w:val="left" w:pos="1728"/>
                <w:tab w:val="left" w:pos="2160"/>
                <w:tab w:val="right" w:leader="dot" w:pos="8194"/>
              </w:tabs>
              <w:suppressAutoHyphens/>
              <w:spacing w:after="120"/>
            </w:pPr>
            <w:r>
              <w:t>Тексты</w:t>
            </w:r>
            <w:r w:rsidR="00862057">
              <w:t xml:space="preserve">, </w:t>
            </w:r>
            <w:r>
              <w:t xml:space="preserve">принятые </w:t>
            </w:r>
            <w:r w:rsidR="00862057">
              <w:t>Совместным совещанием на его осенней сессии 2014 года</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14</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5</w:t>
            </w:r>
          </w:p>
        </w:tc>
      </w:tr>
      <w:tr w:rsidR="00862057" w:rsidRPr="00C10BC6" w:rsidTr="00862057">
        <w:tc>
          <w:tcPr>
            <w:tcW w:w="8116" w:type="dxa"/>
            <w:gridSpan w:val="2"/>
            <w:shd w:val="clear" w:color="auto" w:fill="auto"/>
          </w:tcPr>
          <w:p w:rsidR="00862057" w:rsidRPr="00C10BC6" w:rsidRDefault="00862057" w:rsidP="00862057">
            <w:pPr>
              <w:numPr>
                <w:ilvl w:val="1"/>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 xml:space="preserve">Поправки и исправления, предложенные Совместным совещанием </w:t>
            </w:r>
            <w:r>
              <w:br/>
              <w:t>на его весенней сессии 2015 года</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15–20</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5</w:t>
            </w:r>
          </w:p>
        </w:tc>
      </w:tr>
      <w:tr w:rsidR="00862057" w:rsidRPr="00C10BC6" w:rsidTr="00862057">
        <w:tc>
          <w:tcPr>
            <w:tcW w:w="8116" w:type="dxa"/>
            <w:gridSpan w:val="2"/>
            <w:shd w:val="clear" w:color="auto" w:fill="auto"/>
          </w:tcPr>
          <w:p w:rsidR="00862057" w:rsidRPr="00C10BC6" w:rsidRDefault="00862057" w:rsidP="00862057">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t>Сварные швы средств удержания устройств для добавления присадок в соответствии со специальным положением 664</w:t>
            </w:r>
            <w:r>
              <w:rPr>
                <w:spacing w:val="60"/>
                <w:sz w:val="17"/>
              </w:rPr>
              <w:tab/>
            </w:r>
          </w:p>
        </w:tc>
        <w:tc>
          <w:tcPr>
            <w:tcW w:w="994" w:type="dxa"/>
            <w:shd w:val="clear" w:color="auto" w:fill="auto"/>
            <w:vAlign w:val="bottom"/>
          </w:tcPr>
          <w:p w:rsidR="00862057" w:rsidRPr="000C118B" w:rsidRDefault="000C118B" w:rsidP="00AA2101">
            <w:pPr>
              <w:spacing w:after="120"/>
              <w:ind w:right="40"/>
              <w:jc w:val="right"/>
              <w:rPr>
                <w:lang w:val="en-US"/>
              </w:rPr>
            </w:pPr>
            <w:r>
              <w:rPr>
                <w:lang w:val="en-US"/>
              </w:rPr>
              <w:t>15</w:t>
            </w:r>
            <w:r w:rsidR="00AA2101">
              <w:rPr>
                <w:lang w:val="en-US"/>
              </w:rPr>
              <w:t>–</w:t>
            </w:r>
            <w:r>
              <w:rPr>
                <w:lang w:val="en-US"/>
              </w:rPr>
              <w:t>16</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5</w:t>
            </w:r>
          </w:p>
        </w:tc>
      </w:tr>
      <w:tr w:rsidR="00862057" w:rsidRPr="00C10BC6" w:rsidTr="00862057">
        <w:tc>
          <w:tcPr>
            <w:tcW w:w="8116" w:type="dxa"/>
            <w:gridSpan w:val="2"/>
            <w:shd w:val="clear" w:color="auto" w:fill="auto"/>
          </w:tcPr>
          <w:p w:rsidR="00862057" w:rsidRPr="00C10BC6" w:rsidRDefault="00862057" w:rsidP="009A534A">
            <w:pPr>
              <w:keepNext/>
              <w:keepLines/>
              <w:numPr>
                <w:ilvl w:val="2"/>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lastRenderedPageBreak/>
              <w:t xml:space="preserve">Ссылка на стандарт EN 12493:2013 + A1:2014 </w:t>
            </w:r>
            <w:r>
              <w:br/>
              <w:t>(за исключением приложения C)</w:t>
            </w:r>
            <w:r>
              <w:rPr>
                <w:spacing w:val="60"/>
                <w:sz w:val="17"/>
              </w:rPr>
              <w:tab/>
            </w:r>
          </w:p>
        </w:tc>
        <w:tc>
          <w:tcPr>
            <w:tcW w:w="994" w:type="dxa"/>
            <w:shd w:val="clear" w:color="auto" w:fill="auto"/>
            <w:vAlign w:val="bottom"/>
          </w:tcPr>
          <w:p w:rsidR="00862057" w:rsidRPr="000C118B" w:rsidRDefault="000C118B" w:rsidP="00AA2101">
            <w:pPr>
              <w:keepNext/>
              <w:keepLines/>
              <w:spacing w:after="120"/>
              <w:ind w:right="40"/>
              <w:jc w:val="right"/>
              <w:rPr>
                <w:lang w:val="en-US"/>
              </w:rPr>
            </w:pPr>
            <w:r>
              <w:rPr>
                <w:lang w:val="en-US"/>
              </w:rPr>
              <w:t>17</w:t>
            </w:r>
            <w:r w:rsidR="00AA2101">
              <w:rPr>
                <w:lang w:val="en-US"/>
              </w:rPr>
              <w:t>–</w:t>
            </w:r>
            <w:r>
              <w:rPr>
                <w:lang w:val="en-US"/>
              </w:rPr>
              <w:t>18</w:t>
            </w:r>
          </w:p>
        </w:tc>
        <w:tc>
          <w:tcPr>
            <w:tcW w:w="720" w:type="dxa"/>
            <w:shd w:val="clear" w:color="auto" w:fill="auto"/>
            <w:vAlign w:val="bottom"/>
          </w:tcPr>
          <w:p w:rsidR="00862057" w:rsidRPr="00AA2101" w:rsidRDefault="00AA2101" w:rsidP="009A534A">
            <w:pPr>
              <w:keepNext/>
              <w:keepLines/>
              <w:spacing w:after="120"/>
              <w:ind w:right="40"/>
              <w:jc w:val="right"/>
              <w:rPr>
                <w:lang w:val="en-US"/>
              </w:rPr>
            </w:pPr>
            <w:r>
              <w:rPr>
                <w:lang w:val="en-US"/>
              </w:rPr>
              <w:t>5</w:t>
            </w:r>
          </w:p>
        </w:tc>
      </w:tr>
      <w:tr w:rsidR="00862057" w:rsidRPr="00C10BC6" w:rsidTr="00862057">
        <w:tc>
          <w:tcPr>
            <w:tcW w:w="8116" w:type="dxa"/>
            <w:gridSpan w:val="2"/>
            <w:shd w:val="clear" w:color="auto" w:fill="auto"/>
          </w:tcPr>
          <w:p w:rsidR="00862057" w:rsidRPr="00C10BC6" w:rsidRDefault="00862057" w:rsidP="00862057">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Классификация хлорида ртути</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19–20</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5</w:t>
            </w:r>
          </w:p>
        </w:tc>
      </w:tr>
      <w:tr w:rsidR="00862057" w:rsidRPr="00C10BC6" w:rsidTr="00862057">
        <w:tc>
          <w:tcPr>
            <w:tcW w:w="8116" w:type="dxa"/>
            <w:gridSpan w:val="2"/>
            <w:shd w:val="clear" w:color="auto" w:fill="auto"/>
          </w:tcPr>
          <w:p w:rsidR="00862057" w:rsidRPr="00C10BC6" w:rsidRDefault="00862057" w:rsidP="00862057">
            <w:pPr>
              <w:numPr>
                <w:ilvl w:val="0"/>
                <w:numId w:val="12"/>
              </w:numPr>
              <w:tabs>
                <w:tab w:val="right" w:pos="1080"/>
                <w:tab w:val="left" w:pos="1296"/>
                <w:tab w:val="left" w:pos="1728"/>
                <w:tab w:val="left" w:pos="2160"/>
                <w:tab w:val="left" w:pos="2592"/>
                <w:tab w:val="right" w:leader="dot" w:pos="8194"/>
              </w:tabs>
              <w:suppressAutoHyphens/>
              <w:spacing w:after="120"/>
            </w:pPr>
            <w:r>
              <w:tab/>
              <w:t xml:space="preserve">Предложения о внесении поправок в приложения A и B к ДОПОГ </w:t>
            </w:r>
            <w:r>
              <w:br/>
              <w:t>(пункт 6 повестки дня)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21–35</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6</w:t>
            </w:r>
          </w:p>
        </w:tc>
      </w:tr>
      <w:tr w:rsidR="00862057" w:rsidRPr="00C10BC6" w:rsidTr="00862057">
        <w:tc>
          <w:tcPr>
            <w:tcW w:w="8116" w:type="dxa"/>
            <w:gridSpan w:val="2"/>
            <w:shd w:val="clear" w:color="auto" w:fill="auto"/>
          </w:tcPr>
          <w:p w:rsidR="00862057" w:rsidRPr="00C10BC6" w:rsidRDefault="00862057" w:rsidP="00862057">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t>Конструкция и допущение к перевозке транспортных средств</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21–24</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6</w:t>
            </w:r>
          </w:p>
        </w:tc>
      </w:tr>
      <w:tr w:rsidR="00862057" w:rsidRPr="00C10BC6" w:rsidTr="00862057">
        <w:tc>
          <w:tcPr>
            <w:tcW w:w="8116" w:type="dxa"/>
            <w:gridSpan w:val="2"/>
            <w:shd w:val="clear" w:color="auto" w:fill="auto"/>
          </w:tcPr>
          <w:p w:rsidR="00862057" w:rsidRPr="00C10BC6" w:rsidRDefault="00862057" w:rsidP="00862057">
            <w:pPr>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 xml:space="preserve">Использование сжиженного природного газа (СПГ), </w:t>
            </w:r>
            <w:r>
              <w:br/>
              <w:t>сжиженного нефтяного газа (СНГ) и компримированного природного газа (КПГ) в качестве топлива для транспортных средств, перевозящих опасные грузы</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21–23</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6</w:t>
            </w:r>
          </w:p>
        </w:tc>
      </w:tr>
      <w:tr w:rsidR="00862057" w:rsidRPr="00C10BC6" w:rsidTr="00862057">
        <w:tc>
          <w:tcPr>
            <w:tcW w:w="8116" w:type="dxa"/>
            <w:gridSpan w:val="2"/>
            <w:shd w:val="clear" w:color="auto" w:fill="auto"/>
          </w:tcPr>
          <w:p w:rsidR="00862057" w:rsidRPr="00C10BC6" w:rsidRDefault="00862057" w:rsidP="00862057">
            <w:pPr>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Предлагаемые исправления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24</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6</w:t>
            </w:r>
          </w:p>
        </w:tc>
      </w:tr>
      <w:tr w:rsidR="00862057" w:rsidRPr="00C10BC6" w:rsidTr="00862057">
        <w:tc>
          <w:tcPr>
            <w:tcW w:w="8116" w:type="dxa"/>
            <w:gridSpan w:val="2"/>
            <w:shd w:val="clear" w:color="auto" w:fill="auto"/>
          </w:tcPr>
          <w:p w:rsidR="00862057" w:rsidRPr="00C10BC6" w:rsidRDefault="00862057" w:rsidP="00862057">
            <w:pPr>
              <w:numPr>
                <w:ilvl w:val="1"/>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t>Разные предложения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25–35</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6</w:t>
            </w:r>
          </w:p>
        </w:tc>
      </w:tr>
      <w:tr w:rsidR="00862057" w:rsidRPr="00C10BC6" w:rsidTr="00862057">
        <w:tc>
          <w:tcPr>
            <w:tcW w:w="8116" w:type="dxa"/>
            <w:gridSpan w:val="2"/>
            <w:shd w:val="clear" w:color="auto" w:fill="auto"/>
          </w:tcPr>
          <w:p w:rsidR="00862057" w:rsidRPr="00C10BC6" w:rsidRDefault="00321F98" w:rsidP="00862057">
            <w:pPr>
              <w:numPr>
                <w:ilvl w:val="2"/>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Обязанности перевозчика</w:t>
            </w:r>
            <w:r w:rsidR="00862057">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25–26</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6</w:t>
            </w:r>
          </w:p>
        </w:tc>
      </w:tr>
      <w:tr w:rsidR="00862057" w:rsidRPr="00C10BC6" w:rsidTr="00862057">
        <w:tc>
          <w:tcPr>
            <w:tcW w:w="8116" w:type="dxa"/>
            <w:gridSpan w:val="2"/>
            <w:shd w:val="clear" w:color="auto" w:fill="auto"/>
          </w:tcPr>
          <w:p w:rsidR="00862057" w:rsidRPr="00C10BC6" w:rsidRDefault="00862057" w:rsidP="00F35AD8">
            <w:pPr>
              <w:numPr>
                <w:ilvl w:val="2"/>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 xml:space="preserve">Код ограничения проезда через туннели для твердых и жидких веществ, опасных для окружающей среды </w:t>
            </w:r>
            <w:r>
              <w:br/>
              <w:t>(№ ООН 3077 и 3082)</w:t>
            </w:r>
            <w:r w:rsidR="00E013CF">
              <w:rPr>
                <w:spacing w:val="60"/>
                <w:sz w:val="17"/>
              </w:rPr>
              <w:tab/>
            </w:r>
          </w:p>
        </w:tc>
        <w:tc>
          <w:tcPr>
            <w:tcW w:w="994" w:type="dxa"/>
            <w:shd w:val="clear" w:color="auto" w:fill="auto"/>
            <w:vAlign w:val="bottom"/>
          </w:tcPr>
          <w:p w:rsidR="00862057" w:rsidRPr="00E013CF" w:rsidRDefault="000C118B" w:rsidP="00862057">
            <w:pPr>
              <w:spacing w:after="120"/>
              <w:ind w:right="40"/>
              <w:jc w:val="right"/>
            </w:pPr>
            <w:r w:rsidRPr="00E013CF">
              <w:t>27</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7</w:t>
            </w:r>
          </w:p>
        </w:tc>
      </w:tr>
      <w:tr w:rsidR="00862057" w:rsidRPr="00C10BC6" w:rsidTr="00862057">
        <w:tc>
          <w:tcPr>
            <w:tcW w:w="8116" w:type="dxa"/>
            <w:gridSpan w:val="2"/>
            <w:shd w:val="clear" w:color="auto" w:fill="auto"/>
          </w:tcPr>
          <w:p w:rsidR="00862057" w:rsidRPr="00C10BC6" w:rsidRDefault="00321F98" w:rsidP="00E013CF">
            <w:pPr>
              <w:numPr>
                <w:ilvl w:val="2"/>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t xml:space="preserve">Внесение изменения редакционного характера </w:t>
            </w:r>
            <w:r w:rsidR="00E013CF" w:rsidRPr="00E013CF">
              <w:br/>
            </w:r>
            <w:r>
              <w:t>в пункт 1.9.5.2.2</w:t>
            </w:r>
            <w:r w:rsidR="00E013CF">
              <w:rPr>
                <w:spacing w:val="60"/>
                <w:sz w:val="17"/>
              </w:rPr>
              <w:tab/>
            </w:r>
          </w:p>
        </w:tc>
        <w:tc>
          <w:tcPr>
            <w:tcW w:w="994" w:type="dxa"/>
            <w:shd w:val="clear" w:color="auto" w:fill="auto"/>
            <w:vAlign w:val="bottom"/>
          </w:tcPr>
          <w:p w:rsidR="00862057" w:rsidRPr="00E013CF" w:rsidRDefault="000C118B" w:rsidP="00862057">
            <w:pPr>
              <w:spacing w:after="120"/>
              <w:ind w:right="40"/>
              <w:jc w:val="right"/>
            </w:pPr>
            <w:r w:rsidRPr="00E013CF">
              <w:t>28</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7</w:t>
            </w:r>
          </w:p>
        </w:tc>
      </w:tr>
      <w:tr w:rsidR="00862057" w:rsidRPr="00C10BC6" w:rsidTr="00862057">
        <w:tc>
          <w:tcPr>
            <w:tcW w:w="8116" w:type="dxa"/>
            <w:gridSpan w:val="2"/>
            <w:shd w:val="clear" w:color="auto" w:fill="auto"/>
          </w:tcPr>
          <w:p w:rsidR="00862057" w:rsidRPr="00C10BC6" w:rsidRDefault="00321F98" w:rsidP="00321F98">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Разъяснение специального положения 664</w:t>
            </w:r>
            <w:r>
              <w:rPr>
                <w:spacing w:val="60"/>
                <w:sz w:val="17"/>
              </w:rPr>
              <w:tab/>
            </w:r>
          </w:p>
        </w:tc>
        <w:tc>
          <w:tcPr>
            <w:tcW w:w="994" w:type="dxa"/>
            <w:shd w:val="clear" w:color="auto" w:fill="auto"/>
            <w:vAlign w:val="bottom"/>
          </w:tcPr>
          <w:p w:rsidR="00862057" w:rsidRPr="00E013CF" w:rsidRDefault="000C118B" w:rsidP="00862057">
            <w:pPr>
              <w:spacing w:after="120"/>
              <w:ind w:right="40"/>
              <w:jc w:val="right"/>
            </w:pPr>
            <w:r w:rsidRPr="00E013CF">
              <w:t>29–30</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7</w:t>
            </w:r>
          </w:p>
        </w:tc>
      </w:tr>
      <w:tr w:rsidR="00862057" w:rsidRPr="00C10BC6" w:rsidTr="00862057">
        <w:tc>
          <w:tcPr>
            <w:tcW w:w="8116" w:type="dxa"/>
            <w:gridSpan w:val="2"/>
            <w:shd w:val="clear" w:color="auto" w:fill="auto"/>
          </w:tcPr>
          <w:p w:rsidR="00862057" w:rsidRPr="00C10BC6" w:rsidRDefault="00321F98" w:rsidP="00321F98">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Предложение о внесении исправления в название пункта g) специального положения 664</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31–33</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7</w:t>
            </w:r>
          </w:p>
        </w:tc>
      </w:tr>
      <w:tr w:rsidR="00862057" w:rsidRPr="00C10BC6" w:rsidTr="00862057">
        <w:tc>
          <w:tcPr>
            <w:tcW w:w="8116" w:type="dxa"/>
            <w:gridSpan w:val="2"/>
            <w:shd w:val="clear" w:color="auto" w:fill="auto"/>
          </w:tcPr>
          <w:p w:rsidR="00862057" w:rsidRPr="00C10BC6" w:rsidRDefault="006D6BC9" w:rsidP="00074F19">
            <w:pPr>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 xml:space="preserve">Код ограничения проезда через туннели </w:t>
            </w:r>
            <w:r w:rsidR="00074F19">
              <w:t>для веществ</w:t>
            </w:r>
            <w:r>
              <w:br/>
            </w:r>
            <w:r w:rsidR="00074F19">
              <w:t>под</w:t>
            </w:r>
            <w:r>
              <w:t xml:space="preserve"> № ООН 2814 и 2900</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34</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7</w:t>
            </w:r>
          </w:p>
        </w:tc>
      </w:tr>
      <w:tr w:rsidR="00862057" w:rsidRPr="00C10BC6" w:rsidTr="00862057">
        <w:tc>
          <w:tcPr>
            <w:tcW w:w="8116" w:type="dxa"/>
            <w:gridSpan w:val="2"/>
            <w:shd w:val="clear" w:color="auto" w:fill="auto"/>
          </w:tcPr>
          <w:p w:rsidR="00862057" w:rsidRPr="00C10BC6" w:rsidRDefault="006D6BC9" w:rsidP="006D6BC9">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Изменение терминов, используемых в главе 1.4</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35</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8</w:t>
            </w:r>
          </w:p>
        </w:tc>
      </w:tr>
      <w:tr w:rsidR="00862057" w:rsidRPr="00C10BC6" w:rsidTr="00862057">
        <w:tc>
          <w:tcPr>
            <w:tcW w:w="8116" w:type="dxa"/>
            <w:gridSpan w:val="2"/>
            <w:shd w:val="clear" w:color="auto" w:fill="auto"/>
          </w:tcPr>
          <w:p w:rsidR="00862057" w:rsidRPr="00C10BC6" w:rsidRDefault="006D6BC9" w:rsidP="006D6BC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ab/>
              <w:t>Программа работы (пункт 7 повестки дня)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36–39</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8</w:t>
            </w:r>
          </w:p>
        </w:tc>
      </w:tr>
      <w:tr w:rsidR="00862057" w:rsidRPr="00C10BC6" w:rsidTr="00862057">
        <w:tc>
          <w:tcPr>
            <w:tcW w:w="8116" w:type="dxa"/>
            <w:gridSpan w:val="2"/>
            <w:shd w:val="clear" w:color="auto" w:fill="auto"/>
          </w:tcPr>
          <w:p w:rsidR="00862057" w:rsidRPr="00C10BC6" w:rsidRDefault="006D6BC9" w:rsidP="006D6BC9">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Девяносто девятая сессия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36</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8</w:t>
            </w:r>
          </w:p>
        </w:tc>
      </w:tr>
      <w:tr w:rsidR="00862057" w:rsidRPr="00C10BC6" w:rsidTr="00862057">
        <w:tc>
          <w:tcPr>
            <w:tcW w:w="8116" w:type="dxa"/>
            <w:gridSpan w:val="2"/>
            <w:shd w:val="clear" w:color="auto" w:fill="auto"/>
          </w:tcPr>
          <w:p w:rsidR="00862057" w:rsidRPr="00C10BC6" w:rsidRDefault="006D6BC9" w:rsidP="006D6BC9">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Программа заседаний на 2016−2017 годы</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37–39</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8</w:t>
            </w:r>
          </w:p>
        </w:tc>
      </w:tr>
      <w:tr w:rsidR="00862057" w:rsidRPr="00C10BC6" w:rsidTr="00862057">
        <w:tc>
          <w:tcPr>
            <w:tcW w:w="8116" w:type="dxa"/>
            <w:gridSpan w:val="2"/>
            <w:shd w:val="clear" w:color="auto" w:fill="auto"/>
          </w:tcPr>
          <w:p w:rsidR="00862057" w:rsidRPr="00C10BC6" w:rsidRDefault="006D6BC9" w:rsidP="00862057">
            <w:pPr>
              <w:numPr>
                <w:ilvl w:val="0"/>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ab/>
              <w:t>Прочие вопросы (пункт 8 повестки дня)</w:t>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40–44</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8</w:t>
            </w:r>
          </w:p>
        </w:tc>
      </w:tr>
      <w:tr w:rsidR="00862057" w:rsidRPr="00C10BC6" w:rsidTr="00862057">
        <w:tc>
          <w:tcPr>
            <w:tcW w:w="8116" w:type="dxa"/>
            <w:gridSpan w:val="2"/>
            <w:shd w:val="clear" w:color="auto" w:fill="auto"/>
          </w:tcPr>
          <w:p w:rsidR="00862057" w:rsidRPr="00C10BC6" w:rsidRDefault="006D6BC9" w:rsidP="006D6BC9">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Доклад неофициальной рабочей группы по электрооборудованию транспортных средств, перевозящих опасные грузы</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40–42</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8</w:t>
            </w:r>
          </w:p>
        </w:tc>
      </w:tr>
      <w:tr w:rsidR="00862057" w:rsidRPr="00C10BC6" w:rsidTr="00862057">
        <w:tc>
          <w:tcPr>
            <w:tcW w:w="8116" w:type="dxa"/>
            <w:gridSpan w:val="2"/>
            <w:shd w:val="clear" w:color="auto" w:fill="auto"/>
          </w:tcPr>
          <w:p w:rsidR="00862057" w:rsidRPr="00C10BC6" w:rsidRDefault="006D6BC9" w:rsidP="006D6BC9">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t>Ограничения на движение транспортных средств в Каталонии</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43–44</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9</w:t>
            </w:r>
          </w:p>
        </w:tc>
      </w:tr>
      <w:tr w:rsidR="00862057" w:rsidRPr="00C10BC6" w:rsidTr="00862057">
        <w:tc>
          <w:tcPr>
            <w:tcW w:w="8116" w:type="dxa"/>
            <w:gridSpan w:val="2"/>
            <w:shd w:val="clear" w:color="auto" w:fill="auto"/>
          </w:tcPr>
          <w:p w:rsidR="00862057" w:rsidRPr="00C10BC6" w:rsidRDefault="006D6BC9" w:rsidP="006D6BC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t>Утверждение доклада (пункт 9 повестки дня)</w:t>
            </w:r>
            <w:r>
              <w:rPr>
                <w:spacing w:val="60"/>
                <w:sz w:val="17"/>
              </w:rPr>
              <w:tab/>
            </w:r>
          </w:p>
        </w:tc>
        <w:tc>
          <w:tcPr>
            <w:tcW w:w="994" w:type="dxa"/>
            <w:shd w:val="clear" w:color="auto" w:fill="auto"/>
            <w:vAlign w:val="bottom"/>
          </w:tcPr>
          <w:p w:rsidR="00862057" w:rsidRPr="000C118B" w:rsidRDefault="000C118B" w:rsidP="00862057">
            <w:pPr>
              <w:spacing w:after="120"/>
              <w:ind w:right="40"/>
              <w:jc w:val="right"/>
              <w:rPr>
                <w:lang w:val="en-US"/>
              </w:rPr>
            </w:pPr>
            <w:r>
              <w:rPr>
                <w:lang w:val="en-US"/>
              </w:rPr>
              <w:t>45</w:t>
            </w:r>
          </w:p>
        </w:tc>
        <w:tc>
          <w:tcPr>
            <w:tcW w:w="720" w:type="dxa"/>
            <w:shd w:val="clear" w:color="auto" w:fill="auto"/>
            <w:vAlign w:val="bottom"/>
          </w:tcPr>
          <w:p w:rsidR="00862057" w:rsidRPr="00AA2101" w:rsidRDefault="00AA2101" w:rsidP="00862057">
            <w:pPr>
              <w:spacing w:after="120"/>
              <w:ind w:right="40"/>
              <w:jc w:val="right"/>
              <w:rPr>
                <w:lang w:val="en-US"/>
              </w:rPr>
            </w:pPr>
            <w:r>
              <w:rPr>
                <w:lang w:val="en-US"/>
              </w:rPr>
              <w:t>9</w:t>
            </w:r>
          </w:p>
        </w:tc>
      </w:tr>
      <w:tr w:rsidR="00862057" w:rsidRPr="00C10BC6" w:rsidTr="00862057">
        <w:tc>
          <w:tcPr>
            <w:tcW w:w="8116" w:type="dxa"/>
            <w:gridSpan w:val="2"/>
            <w:shd w:val="clear" w:color="auto" w:fill="auto"/>
          </w:tcPr>
          <w:p w:rsidR="00862057" w:rsidRPr="00C10BC6" w:rsidRDefault="00862057" w:rsidP="00862057">
            <w:pPr>
              <w:tabs>
                <w:tab w:val="right" w:pos="1080"/>
                <w:tab w:val="left" w:pos="1296"/>
                <w:tab w:val="left" w:pos="1728"/>
                <w:tab w:val="left" w:pos="2160"/>
                <w:tab w:val="left" w:pos="2592"/>
                <w:tab w:val="left" w:pos="3024"/>
                <w:tab w:val="left" w:pos="3456"/>
                <w:tab w:val="left" w:pos="3888"/>
                <w:tab w:val="left" w:pos="4320"/>
              </w:tabs>
              <w:suppressAutoHyphens/>
              <w:spacing w:after="120"/>
            </w:pPr>
            <w:r>
              <w:t>Приложения</w:t>
            </w:r>
          </w:p>
        </w:tc>
        <w:tc>
          <w:tcPr>
            <w:tcW w:w="994" w:type="dxa"/>
            <w:shd w:val="clear" w:color="auto" w:fill="auto"/>
            <w:vAlign w:val="bottom"/>
          </w:tcPr>
          <w:p w:rsidR="00862057" w:rsidRPr="00C10BC6" w:rsidRDefault="00862057" w:rsidP="00862057">
            <w:pPr>
              <w:spacing w:after="120"/>
              <w:ind w:right="40"/>
              <w:jc w:val="right"/>
            </w:pPr>
          </w:p>
        </w:tc>
        <w:tc>
          <w:tcPr>
            <w:tcW w:w="720" w:type="dxa"/>
            <w:shd w:val="clear" w:color="auto" w:fill="auto"/>
            <w:vAlign w:val="bottom"/>
          </w:tcPr>
          <w:p w:rsidR="00862057" w:rsidRPr="00C10BC6" w:rsidRDefault="00862057" w:rsidP="00862057">
            <w:pPr>
              <w:spacing w:after="120"/>
              <w:ind w:right="40"/>
              <w:jc w:val="right"/>
            </w:pPr>
          </w:p>
        </w:tc>
      </w:tr>
      <w:tr w:rsidR="006E7A3A" w:rsidRPr="00C10BC6" w:rsidTr="006E7A3A">
        <w:tc>
          <w:tcPr>
            <w:tcW w:w="9110" w:type="dxa"/>
            <w:gridSpan w:val="3"/>
            <w:shd w:val="clear" w:color="auto" w:fill="auto"/>
          </w:tcPr>
          <w:p w:rsidR="006E7A3A" w:rsidRPr="00C10BC6" w:rsidRDefault="006E7A3A" w:rsidP="002652B4">
            <w:pPr>
              <w:numPr>
                <w:ilvl w:val="0"/>
                <w:numId w:val="14"/>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6E7A3A">
              <w:tab/>
            </w:r>
            <w:r>
              <w:t xml:space="preserve">Проекты поправок к приложениям А и В к ДОПОГ для вступления в силу </w:t>
            </w:r>
            <w:r w:rsidR="00074F19">
              <w:br/>
            </w:r>
            <w:r>
              <w:t>1 января 201</w:t>
            </w:r>
            <w:r w:rsidR="002652B4">
              <w:t>7</w:t>
            </w:r>
            <w:r>
              <w:t xml:space="preserve"> года</w:t>
            </w:r>
            <w:r>
              <w:rPr>
                <w:spacing w:val="60"/>
                <w:sz w:val="17"/>
              </w:rPr>
              <w:tab/>
            </w:r>
          </w:p>
        </w:tc>
        <w:tc>
          <w:tcPr>
            <w:tcW w:w="720" w:type="dxa"/>
            <w:shd w:val="clear" w:color="auto" w:fill="auto"/>
            <w:vAlign w:val="bottom"/>
          </w:tcPr>
          <w:p w:rsidR="006E7A3A" w:rsidRPr="00074F19" w:rsidRDefault="00AA2101" w:rsidP="006E7A3A">
            <w:pPr>
              <w:spacing w:after="120"/>
              <w:ind w:right="40"/>
              <w:jc w:val="right"/>
            </w:pPr>
            <w:r w:rsidRPr="00074F19">
              <w:t>10</w:t>
            </w:r>
          </w:p>
        </w:tc>
      </w:tr>
      <w:tr w:rsidR="006E7A3A" w:rsidRPr="00C10BC6" w:rsidTr="006E7A3A">
        <w:tc>
          <w:tcPr>
            <w:tcW w:w="9110" w:type="dxa"/>
            <w:gridSpan w:val="3"/>
            <w:shd w:val="clear" w:color="auto" w:fill="auto"/>
          </w:tcPr>
          <w:p w:rsidR="006E7A3A" w:rsidRPr="006E7A3A" w:rsidRDefault="006E7A3A" w:rsidP="00F35AD8">
            <w:pPr>
              <w:numPr>
                <w:ilvl w:val="0"/>
                <w:numId w:val="14"/>
              </w:numPr>
              <w:tabs>
                <w:tab w:val="right" w:pos="1080"/>
                <w:tab w:val="left" w:pos="1296"/>
                <w:tab w:val="left" w:pos="1728"/>
                <w:tab w:val="right" w:leader="dot" w:pos="9245"/>
              </w:tabs>
              <w:suppressAutoHyphens/>
              <w:spacing w:after="120"/>
            </w:pPr>
            <w:r w:rsidRPr="006E7A3A">
              <w:tab/>
            </w:r>
            <w:r>
              <w:t>Проекты попра</w:t>
            </w:r>
            <w:r w:rsidR="00074F19">
              <w:t>вок к приложениям А и В к ДОПОГ</w:t>
            </w:r>
            <w:r>
              <w:t xml:space="preserve"> </w:t>
            </w:r>
            <w:r w:rsidR="00074F19">
              <w:t>(</w:t>
            </w:r>
            <w:r>
              <w:t xml:space="preserve">для скорейшего </w:t>
            </w:r>
            <w:r w:rsidR="00F35AD8">
              <w:br/>
            </w:r>
            <w:r>
              <w:t>вступления в силу</w:t>
            </w:r>
            <w:r w:rsidR="00074F19">
              <w:t>)</w:t>
            </w:r>
            <w:r w:rsidR="00074F19">
              <w:rPr>
                <w:spacing w:val="60"/>
                <w:sz w:val="17"/>
              </w:rPr>
              <w:tab/>
            </w:r>
          </w:p>
        </w:tc>
        <w:tc>
          <w:tcPr>
            <w:tcW w:w="720" w:type="dxa"/>
            <w:shd w:val="clear" w:color="auto" w:fill="auto"/>
            <w:vAlign w:val="bottom"/>
          </w:tcPr>
          <w:p w:rsidR="006E7A3A" w:rsidRPr="00074F19" w:rsidRDefault="00AA2101" w:rsidP="006E7A3A">
            <w:pPr>
              <w:spacing w:after="120"/>
              <w:ind w:right="40"/>
              <w:jc w:val="right"/>
            </w:pPr>
            <w:r w:rsidRPr="00074F19">
              <w:t>15</w:t>
            </w:r>
          </w:p>
        </w:tc>
      </w:tr>
    </w:tbl>
    <w:p w:rsidR="00862057" w:rsidRPr="006E7A3A" w:rsidRDefault="00862057" w:rsidP="00862057"/>
    <w:p w:rsidR="0020017B" w:rsidRPr="0020017B" w:rsidRDefault="0020017B" w:rsidP="002C6B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br w:type="page"/>
      </w:r>
      <w:r w:rsidRPr="0020017B">
        <w:lastRenderedPageBreak/>
        <w:tab/>
      </w:r>
      <w:r w:rsidRPr="0020017B">
        <w:rPr>
          <w:lang w:val="en-US"/>
        </w:rPr>
        <w:t>I</w:t>
      </w:r>
      <w:r w:rsidRPr="0020017B">
        <w:t>.</w:t>
      </w:r>
      <w:r w:rsidR="00B76682">
        <w:tab/>
      </w:r>
      <w:r w:rsidRPr="0020017B">
        <w:t>Участники</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t>1.</w:t>
      </w:r>
      <w:r w:rsidRPr="0020017B">
        <w:tab/>
        <w:t>Рабочая группа по перевозкам опасных грузов провела свою девяносто восьмую сессию 4</w:t>
      </w:r>
      <w:r w:rsidR="00B76682">
        <w:t>–</w:t>
      </w:r>
      <w:r w:rsidRPr="0020017B">
        <w:t xml:space="preserve">6 мая 2015 года под руководством Председателя </w:t>
      </w:r>
      <w:r w:rsidR="00B76682">
        <w:br/>
      </w:r>
      <w:r w:rsidRPr="0020017B">
        <w:t>г-на Ж.А. Франку (Португалия) и заместителя Председателя г-жи А. Румье (Франция).</w:t>
      </w:r>
    </w:p>
    <w:p w:rsidR="0020017B" w:rsidRPr="0020017B" w:rsidRDefault="0020017B" w:rsidP="0020017B">
      <w:pPr>
        <w:pStyle w:val="SingleTxt"/>
      </w:pPr>
      <w:r w:rsidRPr="0020017B">
        <w:t>2.</w:t>
      </w:r>
      <w:r w:rsidRPr="0020017B">
        <w:tab/>
        <w:t>В работе сессии приняли участие представители следующих стран: Австрии, Бельгии, Болгарии, бывшей югославской Республики Македония, Венгрии, Германии, Дании, Израиля, Ирландии, Испании, Италии, Литвы, Люксембурга, Мальты, Нидерландов, Норвегии, Польши, Португалии, Российской Федерации, Румынии, Словакии, Соединенного Королевства, Турции, Украины, Финляндии, Франции, Чешской Республики, Швейцарии и Швеции.</w:t>
      </w:r>
    </w:p>
    <w:p w:rsidR="0020017B" w:rsidRPr="0020017B" w:rsidRDefault="0020017B" w:rsidP="0020017B">
      <w:pPr>
        <w:pStyle w:val="SingleTxt"/>
      </w:pPr>
      <w:r w:rsidRPr="0020017B">
        <w:t>3.</w:t>
      </w:r>
      <w:r w:rsidRPr="0020017B">
        <w:tab/>
        <w:t>На сессии был представлен Европейский союз.</w:t>
      </w:r>
    </w:p>
    <w:p w:rsidR="0020017B" w:rsidRPr="0020017B" w:rsidRDefault="0020017B" w:rsidP="0020017B">
      <w:pPr>
        <w:pStyle w:val="SingleTxt"/>
      </w:pPr>
      <w:r w:rsidRPr="0020017B">
        <w:t>4.</w:t>
      </w:r>
      <w:r w:rsidRPr="0020017B">
        <w:tab/>
        <w:t>Была представлена следующая неправительственная организация: Межправительственная организация по международным железнодорожным перевозкам (ОТИФ).</w:t>
      </w:r>
    </w:p>
    <w:p w:rsidR="0020017B" w:rsidRPr="0020017B" w:rsidRDefault="0020017B" w:rsidP="0020017B">
      <w:pPr>
        <w:pStyle w:val="SingleTxt"/>
      </w:pPr>
      <w:r w:rsidRPr="0020017B">
        <w:t>5.</w:t>
      </w:r>
      <w:r w:rsidRPr="0020017B">
        <w:tab/>
        <w:t>Были представлены следующие неправительственные организации: Европейский совет химической промышленности (ЕСФХП), Европейская конференция поставщиков топлива (ЕКПТ), Европейская ассоциации по сжиженным нефтяным газам (ЕАСНГ), Международная ассоциация по использованию природного газа на транспортных средствах (ПГТ-Глобал) и Международный союз автомобильного транспорта (МСАТ).</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rPr>
          <w:lang w:val="en-US"/>
        </w:rPr>
        <w:t>II</w:t>
      </w:r>
      <w:r w:rsidRPr="0020017B">
        <w:t>.</w:t>
      </w:r>
      <w:r w:rsidRPr="0020017B">
        <w:tab/>
        <w:t>Утверждение повестки дня (пункт 1 повестки дня)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rPr>
          <w:i/>
        </w:rPr>
        <w:t>Документы</w:t>
      </w:r>
      <w:r w:rsidRPr="001841AF">
        <w:t>:</w:t>
      </w:r>
      <w:r w:rsidRPr="0020017B">
        <w:tab/>
      </w:r>
      <w:r w:rsidRPr="0020017B">
        <w:rPr>
          <w:lang w:val="en-US"/>
        </w:rPr>
        <w:t>ECE</w:t>
      </w:r>
      <w:r w:rsidRPr="0020017B">
        <w:t>/</w:t>
      </w:r>
      <w:r w:rsidRPr="0020017B">
        <w:rPr>
          <w:lang w:val="en-US"/>
        </w:rPr>
        <w:t>TRANS</w:t>
      </w:r>
      <w:r w:rsidRPr="0020017B">
        <w:t>/</w:t>
      </w:r>
      <w:r w:rsidRPr="0020017B">
        <w:rPr>
          <w:lang w:val="en-US"/>
        </w:rPr>
        <w:t>WP</w:t>
      </w:r>
      <w:r w:rsidRPr="0020017B">
        <w:t xml:space="preserve">.15/227 и </w:t>
      </w:r>
      <w:r w:rsidRPr="0020017B">
        <w:rPr>
          <w:lang w:val="en-US"/>
        </w:rPr>
        <w:t>Add</w:t>
      </w:r>
      <w:r w:rsidRPr="0020017B">
        <w:t>.1 (секретариат)</w:t>
      </w:r>
    </w:p>
    <w:p w:rsidR="0020017B" w:rsidRPr="0020017B" w:rsidRDefault="0020017B" w:rsidP="0020017B">
      <w:pPr>
        <w:pStyle w:val="SingleTxt"/>
      </w:pPr>
      <w:r w:rsidRPr="0020017B">
        <w:rPr>
          <w:i/>
        </w:rPr>
        <w:t>Неофициальные документы</w:t>
      </w:r>
      <w:r w:rsidRPr="001841AF">
        <w:t>:</w:t>
      </w:r>
      <w:r w:rsidRPr="0020017B">
        <w:tab/>
      </w:r>
      <w:r w:rsidRPr="0020017B">
        <w:rPr>
          <w:lang w:val="en-US"/>
        </w:rPr>
        <w:t>INF</w:t>
      </w:r>
      <w:r w:rsidRPr="0020017B">
        <w:t xml:space="preserve">.1 и </w:t>
      </w:r>
      <w:r w:rsidRPr="0020017B">
        <w:rPr>
          <w:lang w:val="en-US"/>
        </w:rPr>
        <w:t>INF</w:t>
      </w:r>
      <w:r w:rsidRPr="0020017B">
        <w:t>.2 (секретариат)</w:t>
      </w:r>
    </w:p>
    <w:p w:rsidR="0020017B" w:rsidRPr="0020017B" w:rsidRDefault="0020017B" w:rsidP="0020017B">
      <w:pPr>
        <w:pStyle w:val="SingleTxt"/>
      </w:pPr>
      <w:r w:rsidRPr="0020017B">
        <w:t>6.</w:t>
      </w:r>
      <w:r w:rsidRPr="0020017B">
        <w:tab/>
        <w:t>Рабочая группа утвердила подготовленную секретариатом предварительную повестку дня, измененную в соответствии с неофициальным документом</w:t>
      </w:r>
      <w:r w:rsidR="00B76682">
        <w:t xml:space="preserve"> </w:t>
      </w:r>
      <w:r w:rsidRPr="0020017B">
        <w:rPr>
          <w:lang w:val="en-US"/>
        </w:rPr>
        <w:t>INF</w:t>
      </w:r>
      <w:r w:rsidRPr="0020017B">
        <w:t>.2 с</w:t>
      </w:r>
      <w:r w:rsidR="00B76682">
        <w:t> </w:t>
      </w:r>
      <w:r w:rsidRPr="0020017B">
        <w:t xml:space="preserve">целью учета неофициальных документов </w:t>
      </w:r>
      <w:r w:rsidRPr="0020017B">
        <w:rPr>
          <w:lang w:val="en-US"/>
        </w:rPr>
        <w:t>INF</w:t>
      </w:r>
      <w:r w:rsidRPr="0020017B">
        <w:t>.1−</w:t>
      </w:r>
      <w:r w:rsidRPr="0020017B">
        <w:rPr>
          <w:lang w:val="en-US"/>
        </w:rPr>
        <w:t>INF</w:t>
      </w:r>
      <w:r w:rsidRPr="0020017B">
        <w:t>.18.</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rPr>
          <w:lang w:val="en-US"/>
        </w:rPr>
        <w:t>III</w:t>
      </w:r>
      <w:r w:rsidRPr="0020017B">
        <w:t>.</w:t>
      </w:r>
      <w:r w:rsidRPr="0020017B">
        <w:tab/>
        <w:t>Семьдесят седьмая сессия Комитета по внутреннему транспорту (пункт 2 повестки дня)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rPr>
          <w:i/>
        </w:rPr>
        <w:t>Неофициальный документ</w:t>
      </w:r>
      <w:r w:rsidRPr="001841AF">
        <w:t>:</w:t>
      </w:r>
      <w:r w:rsidRPr="0020017B">
        <w:tab/>
      </w:r>
      <w:r w:rsidRPr="0020017B">
        <w:rPr>
          <w:lang w:val="en-US"/>
        </w:rPr>
        <w:t>INF</w:t>
      </w:r>
      <w:r w:rsidRPr="0020017B">
        <w:t>.18 (секретариат)</w:t>
      </w:r>
    </w:p>
    <w:p w:rsidR="0020017B" w:rsidRPr="0020017B" w:rsidRDefault="0020017B" w:rsidP="0020017B">
      <w:pPr>
        <w:pStyle w:val="SingleTxt"/>
      </w:pPr>
      <w:r w:rsidRPr="0020017B">
        <w:t>7.</w:t>
      </w:r>
      <w:r w:rsidRPr="0020017B">
        <w:tab/>
        <w:t>Рабочая группа приняла к сведению основные решения, касающиеся ее работы, которые были приняты Комитетом на его семьдесят седьмой сессии.</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rPr>
          <w:lang w:val="en-US"/>
        </w:rPr>
        <w:t>IV</w:t>
      </w:r>
      <w:r w:rsidRPr="0020017B">
        <w:t>.</w:t>
      </w:r>
      <w:r w:rsidRPr="0020017B">
        <w:tab/>
        <w:t>Состояние Европейского соглашения о</w:t>
      </w:r>
      <w:r w:rsidR="001841AF" w:rsidRPr="001841AF">
        <w:t xml:space="preserve"> </w:t>
      </w:r>
      <w:r w:rsidRPr="0020017B">
        <w:t>международной дорожной перевозке опасных грузов (ДОПОГ) и</w:t>
      </w:r>
      <w:r w:rsidR="00B76682">
        <w:t> </w:t>
      </w:r>
      <w:r w:rsidRPr="0020017B">
        <w:t>связанные с этим вопросы (пункт 3 повестки дня)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t>А.</w:t>
      </w:r>
      <w:r w:rsidR="002C6BC2">
        <w:rPr>
          <w:lang w:bidi="ru-RU"/>
        </w:rPr>
        <w:tab/>
      </w:r>
      <w:r w:rsidR="00074F19">
        <w:rPr>
          <w:lang w:bidi="ru-RU"/>
        </w:rPr>
        <w:t>Состояние</w:t>
      </w:r>
      <w:r w:rsidRPr="0020017B">
        <w:rPr>
          <w:lang w:bidi="ru-RU"/>
        </w:rPr>
        <w:t xml:space="preserve"> Соглашения и Протокола о внесении поправок </w:t>
      </w:r>
      <w:r w:rsidR="00074F19">
        <w:rPr>
          <w:lang w:bidi="ru-RU"/>
        </w:rPr>
        <w:br/>
      </w:r>
      <w:r w:rsidRPr="0020017B">
        <w:rPr>
          <w:lang w:bidi="ru-RU"/>
        </w:rPr>
        <w:t>1993 года</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t>8.</w:t>
      </w:r>
      <w:r w:rsidRPr="0020017B">
        <w:tab/>
        <w:t xml:space="preserve">Рабочая группа отметила, что к ДОПОГ новые договаривающиеся стороны не присоединялись и что 15 стран (Азербайджан, Беларусь, Босния и </w:t>
      </w:r>
      <w:r w:rsidRPr="0020017B">
        <w:lastRenderedPageBreak/>
        <w:t xml:space="preserve">Герцеговина, бывшая югославская Республика Македония, Исландия, Казахстан, Мальта, Марокко, Сербия, Таджикистан, Тунис, Турция, Украина, Хорватия и Черногория) все еще не сдали на хранение соответствующий юридический документ, необходимый для вступления в силу Протокола 1993 года о внесении поправок в статьи 1 </w:t>
      </w:r>
      <w:r w:rsidRPr="0020017B">
        <w:rPr>
          <w:lang w:val="en-US"/>
        </w:rPr>
        <w:t>a</w:t>
      </w:r>
      <w:r w:rsidRPr="0020017B">
        <w:t xml:space="preserve">), 14 1) и 14 3) </w:t>
      </w:r>
      <w:r w:rsidRPr="0020017B">
        <w:rPr>
          <w:lang w:val="en-US"/>
        </w:rPr>
        <w:t>b</w:t>
      </w:r>
      <w:r w:rsidRPr="0020017B">
        <w:t>) действующего Соглашения. Участникам напомнили, что вступление в силу Протокола особенно необходимо для гармонизации определения транспортного средства, содержащегося в Соглашении ДОПОГ, с определениями, содержащимися в других международных правилах, например в Венской конвенции. Рабочая группа призвала эти страны принять необходимые меры с целью ратификации Протокола или присоединения к нему, с тем чтобы он мог вступить в силу как можно скорее.</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t>В.</w:t>
      </w:r>
      <w:r w:rsidR="002C6BC2">
        <w:rPr>
          <w:lang w:bidi="ru-RU"/>
        </w:rPr>
        <w:tab/>
      </w:r>
      <w:r w:rsidRPr="0020017B">
        <w:rPr>
          <w:lang w:bidi="ru-RU"/>
        </w:rPr>
        <w:t>Исправления к изданию ДОПОГ 2015 года</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t>9.</w:t>
      </w:r>
      <w:r w:rsidRPr="0020017B">
        <w:tab/>
        <w:t xml:space="preserve">Рабочая группа отметила, что исправления к </w:t>
      </w:r>
      <w:r w:rsidR="00074F19">
        <w:t xml:space="preserve">изданию </w:t>
      </w:r>
      <w:r w:rsidRPr="0020017B">
        <w:t xml:space="preserve">ДОПОГ, утвержденные на семьдесят седьмой сессии, сочтены принятыми (уведомление депозитария </w:t>
      </w:r>
      <w:r w:rsidRPr="0020017B">
        <w:rPr>
          <w:lang w:val="en-US"/>
        </w:rPr>
        <w:t>C</w:t>
      </w:r>
      <w:r w:rsidRPr="0020017B">
        <w:t>.</w:t>
      </w:r>
      <w:r w:rsidRPr="0020017B">
        <w:rPr>
          <w:lang w:val="en-US"/>
        </w:rPr>
        <w:t>N</w:t>
      </w:r>
      <w:r w:rsidRPr="0020017B">
        <w:t>.158.2015.</w:t>
      </w:r>
      <w:r w:rsidRPr="0020017B">
        <w:rPr>
          <w:lang w:val="en-US"/>
        </w:rPr>
        <w:t>TREATIES</w:t>
      </w:r>
      <w:r w:rsidRPr="0020017B">
        <w:t xml:space="preserve"> от 13 марта 2015 года) (см. также </w:t>
      </w:r>
      <w:r w:rsidRPr="0020017B">
        <w:rPr>
          <w:lang w:val="en-US"/>
        </w:rPr>
        <w:t>ECE</w:t>
      </w:r>
      <w:r w:rsidRPr="0020017B">
        <w:t>/</w:t>
      </w:r>
      <w:r w:rsidRPr="0020017B">
        <w:rPr>
          <w:lang w:val="en-US"/>
        </w:rPr>
        <w:t>TRANS</w:t>
      </w:r>
      <w:r w:rsidRPr="0020017B">
        <w:t>/</w:t>
      </w:r>
      <w:r w:rsidR="000807C3" w:rsidRPr="000807C3">
        <w:br/>
      </w:r>
      <w:r w:rsidRPr="0020017B">
        <w:rPr>
          <w:lang w:val="en-US"/>
        </w:rPr>
        <w:t>WP</w:t>
      </w:r>
      <w:r w:rsidRPr="0020017B">
        <w:t xml:space="preserve">.15/226, пункты 34 и 46 и приложение </w:t>
      </w:r>
      <w:r w:rsidRPr="0020017B">
        <w:rPr>
          <w:lang w:val="en-US"/>
        </w:rPr>
        <w:t>III</w:t>
      </w:r>
      <w:r w:rsidRPr="0020017B">
        <w:t xml:space="preserve">). </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B76104" w:rsidRDefault="0020017B" w:rsidP="002C6B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rPr>
          <w:lang w:val="en-US"/>
        </w:rPr>
        <w:t>V</w:t>
      </w:r>
      <w:r w:rsidRPr="0020017B">
        <w:t>.</w:t>
      </w:r>
      <w:r w:rsidR="002C6BC2">
        <w:tab/>
      </w:r>
      <w:r w:rsidRPr="0020017B">
        <w:t>Толкование ДОПОГ (пункт 4 повестки дня)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C6BC2">
        <w:rPr>
          <w:lang w:bidi="ru-RU"/>
        </w:rPr>
        <w:t>A</w:t>
      </w:r>
      <w:r w:rsidRPr="0020017B">
        <w:rPr>
          <w:lang w:bidi="ru-RU"/>
        </w:rPr>
        <w:t>.</w:t>
      </w:r>
      <w:r w:rsidR="002C6BC2">
        <w:rPr>
          <w:lang w:bidi="ru-RU"/>
        </w:rPr>
        <w:tab/>
      </w:r>
      <w:r w:rsidRPr="0020017B">
        <w:rPr>
          <w:lang w:bidi="ru-RU"/>
        </w:rPr>
        <w:t xml:space="preserve">Перевозка автоцистерн на транспортных средствах </w:t>
      </w:r>
      <w:r w:rsidR="00B76104">
        <w:rPr>
          <w:lang w:bidi="ru-RU"/>
        </w:rPr>
        <w:br/>
      </w:r>
      <w:r w:rsidRPr="0020017B">
        <w:rPr>
          <w:lang w:bidi="ru-RU"/>
        </w:rPr>
        <w:t>и</w:t>
      </w:r>
      <w:r w:rsidR="00B76104">
        <w:rPr>
          <w:lang w:bidi="ru-RU"/>
        </w:rPr>
        <w:t xml:space="preserve"> </w:t>
      </w:r>
      <w:r w:rsidRPr="0020017B">
        <w:rPr>
          <w:lang w:bidi="ru-RU"/>
        </w:rPr>
        <w:t>прицепах-тягачах</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rPr>
          <w:i/>
        </w:rPr>
        <w:t>Неофициальный документ</w:t>
      </w:r>
      <w:r w:rsidRPr="001841AF">
        <w:t>:</w:t>
      </w:r>
      <w:r w:rsidRPr="0020017B">
        <w:tab/>
      </w:r>
      <w:r w:rsidRPr="0020017B">
        <w:rPr>
          <w:lang w:val="en-US"/>
        </w:rPr>
        <w:t>INF</w:t>
      </w:r>
      <w:r w:rsidRPr="0020017B">
        <w:t>.14 (Австрия)</w:t>
      </w:r>
    </w:p>
    <w:p w:rsidR="0020017B" w:rsidRPr="0020017B" w:rsidRDefault="0020017B" w:rsidP="0020017B">
      <w:pPr>
        <w:pStyle w:val="SingleTxt"/>
      </w:pPr>
      <w:r w:rsidRPr="0020017B">
        <w:t>10.</w:t>
      </w:r>
      <w:r w:rsidRPr="0020017B">
        <w:tab/>
        <w:t xml:space="preserve">Ряд выступивших делегаций высказали мнение, что в ДОПОГ не предусмотрено изъятий в отношении перевозки порожних неочищенных автоцистерн на транспортных средствах и прицепах-тягачах. Таким образом, положения ДОПОГ применяются, но в ДОПОГ не предусмотрены конкретные положения в отношении транспортных средств </w:t>
      </w:r>
      <w:r w:rsidR="00B76104">
        <w:t>–</w:t>
      </w:r>
      <w:r w:rsidRPr="0020017B">
        <w:t xml:space="preserve"> грузовых транспортных единиц. Некоторые делегации указали, что в их странах действуют специальные положения, касающиеся таких перевозок на национальном уровне.</w:t>
      </w:r>
    </w:p>
    <w:p w:rsidR="0020017B" w:rsidRPr="0020017B" w:rsidRDefault="0020017B" w:rsidP="0020017B">
      <w:pPr>
        <w:pStyle w:val="SingleTxt"/>
      </w:pPr>
      <w:r w:rsidRPr="0020017B">
        <w:t>11.</w:t>
      </w:r>
      <w:r w:rsidRPr="0020017B">
        <w:tab/>
        <w:t xml:space="preserve">Несколько делегаций отметили, что пункт 1.1.3.1 </w:t>
      </w:r>
      <w:r w:rsidRPr="0020017B">
        <w:rPr>
          <w:lang w:val="en-US"/>
        </w:rPr>
        <w:t>d</w:t>
      </w:r>
      <w:r w:rsidRPr="0020017B">
        <w:t>) допускает освобождение такого рода перевозок от действия положений ДОПОГ в аварийных ситуациях. Однако одна из делегаций указала на то, что в его нынешней редакции пункт</w:t>
      </w:r>
      <w:r w:rsidR="00B76104">
        <w:t> </w:t>
      </w:r>
      <w:r w:rsidRPr="0020017B">
        <w:t xml:space="preserve">1.1.3.1 </w:t>
      </w:r>
      <w:r w:rsidRPr="0020017B">
        <w:rPr>
          <w:lang w:val="en-US"/>
        </w:rPr>
        <w:t>d</w:t>
      </w:r>
      <w:r w:rsidRPr="0020017B">
        <w:t>) трудно применять и что понятие аварийной ситуации зависит от толкования его смысла.</w:t>
      </w:r>
    </w:p>
    <w:p w:rsidR="0020017B" w:rsidRPr="0020017B" w:rsidRDefault="0020017B" w:rsidP="0020017B">
      <w:pPr>
        <w:pStyle w:val="SingleTxt"/>
      </w:pPr>
      <w:r w:rsidRPr="0020017B">
        <w:t>12.</w:t>
      </w:r>
      <w:r w:rsidRPr="0020017B">
        <w:tab/>
        <w:t>Представитель Австрии сможет представить к следующей сессии предложение, уточняющее ситуацию с данными перевозками.</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t>В.</w:t>
      </w:r>
      <w:r w:rsidR="002C6BC2">
        <w:rPr>
          <w:lang w:bidi="ru-RU"/>
        </w:rPr>
        <w:tab/>
      </w:r>
      <w:r w:rsidRPr="0020017B">
        <w:rPr>
          <w:lang w:bidi="ru-RU"/>
        </w:rPr>
        <w:t>Транспортные средства, оборудованные грузоподъемными устройствами</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rPr>
          <w:i/>
        </w:rPr>
        <w:t>Неофициальный документ</w:t>
      </w:r>
      <w:r w:rsidRPr="001841AF">
        <w:t>:</w:t>
      </w:r>
      <w:r w:rsidRPr="0020017B">
        <w:tab/>
      </w:r>
      <w:r w:rsidRPr="0020017B">
        <w:rPr>
          <w:lang w:val="en-US"/>
        </w:rPr>
        <w:t>INF</w:t>
      </w:r>
      <w:r w:rsidRPr="0020017B">
        <w:t>.17 (Норвегия)</w:t>
      </w:r>
    </w:p>
    <w:p w:rsidR="0020017B" w:rsidRPr="0020017B" w:rsidRDefault="0020017B" w:rsidP="0020017B">
      <w:pPr>
        <w:pStyle w:val="SingleTxt"/>
      </w:pPr>
      <w:r w:rsidRPr="0020017B">
        <w:t>13.</w:t>
      </w:r>
      <w:r w:rsidRPr="0020017B">
        <w:tab/>
        <w:t xml:space="preserve">Ряд выступивших по этому вопросу делегаций и Рабочая группа отметили, что вопросы, поставленные представителем Норвегии с некоторым запозданием, заслуживают дополнительного изучения. Рабочая группа предпочла перенести обсуждение этого вопроса на следующую сессию, возможно, после </w:t>
      </w:r>
      <w:r w:rsidRPr="0020017B">
        <w:lastRenderedPageBreak/>
        <w:t>предварительной дискуссии в рамках Рабочей группы по цистернам Совместного совещания.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rPr>
          <w:lang w:val="en-US"/>
        </w:rPr>
        <w:t>VI</w:t>
      </w:r>
      <w:r w:rsidRPr="0020017B">
        <w:t>.</w:t>
      </w:r>
      <w:r w:rsidRPr="0020017B">
        <w:tab/>
        <w:t>Работа Совместного совещания МПОГ/ДОПОГ/ВОПОГ (пункт 5 повестки дня)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C6BC2">
        <w:rPr>
          <w:lang w:bidi="ru-RU"/>
        </w:rPr>
        <w:t>A</w:t>
      </w:r>
      <w:r w:rsidRPr="0020017B">
        <w:rPr>
          <w:lang w:bidi="ru-RU"/>
        </w:rPr>
        <w:t>.</w:t>
      </w:r>
      <w:r w:rsidR="002C6BC2">
        <w:rPr>
          <w:lang w:bidi="ru-RU"/>
        </w:rPr>
        <w:tab/>
      </w:r>
      <w:r w:rsidRPr="0020017B">
        <w:rPr>
          <w:lang w:bidi="ru-RU"/>
        </w:rPr>
        <w:t xml:space="preserve">Тексты, принятые Совместным совещанием на его осенней сессии 2014 года </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rPr>
          <w:i/>
        </w:rPr>
        <w:t>Документ</w:t>
      </w:r>
      <w:r w:rsidRPr="001841AF">
        <w:t>:</w:t>
      </w:r>
      <w:r w:rsidRPr="0020017B">
        <w:tab/>
      </w:r>
      <w:r w:rsidRPr="0020017B">
        <w:rPr>
          <w:lang w:val="en-US"/>
        </w:rPr>
        <w:t>ECE</w:t>
      </w:r>
      <w:r w:rsidRPr="0020017B">
        <w:t>/</w:t>
      </w:r>
      <w:r w:rsidRPr="0020017B">
        <w:rPr>
          <w:lang w:val="en-US"/>
        </w:rPr>
        <w:t>TRANS</w:t>
      </w:r>
      <w:r w:rsidRPr="0020017B">
        <w:t>/</w:t>
      </w:r>
      <w:r w:rsidRPr="0020017B">
        <w:rPr>
          <w:lang w:val="en-US"/>
        </w:rPr>
        <w:t>WP</w:t>
      </w:r>
      <w:r w:rsidRPr="0020017B">
        <w:t>.15/</w:t>
      </w:r>
      <w:r w:rsidRPr="0020017B">
        <w:rPr>
          <w:lang w:val="en-US"/>
        </w:rPr>
        <w:t>AC</w:t>
      </w:r>
      <w:r w:rsidRPr="0020017B">
        <w:t xml:space="preserve">.1/136, приложение </w:t>
      </w:r>
      <w:r w:rsidRPr="0020017B">
        <w:rPr>
          <w:lang w:val="en-US"/>
        </w:rPr>
        <w:t>II</w:t>
      </w:r>
      <w:r w:rsidRPr="0020017B">
        <w:t xml:space="preserve"> (секретариат)</w:t>
      </w:r>
    </w:p>
    <w:p w:rsidR="0020017B" w:rsidRPr="0020017B" w:rsidRDefault="0020017B" w:rsidP="0020017B">
      <w:pPr>
        <w:pStyle w:val="SingleTxt"/>
      </w:pPr>
      <w:r w:rsidRPr="0020017B">
        <w:t>14.</w:t>
      </w:r>
      <w:r w:rsidRPr="0020017B">
        <w:tab/>
        <w:t xml:space="preserve">Поправки к приложениям </w:t>
      </w:r>
      <w:r w:rsidRPr="0020017B">
        <w:rPr>
          <w:lang w:val="en-US"/>
        </w:rPr>
        <w:t>A</w:t>
      </w:r>
      <w:r w:rsidRPr="0020017B">
        <w:t xml:space="preserve"> и </w:t>
      </w:r>
      <w:r w:rsidRPr="0020017B">
        <w:rPr>
          <w:lang w:val="en-US"/>
        </w:rPr>
        <w:t>B</w:t>
      </w:r>
      <w:r w:rsidRPr="0020017B">
        <w:t xml:space="preserve"> к ДОПОГ для вступления в силу 1 января 2017 года, принятые Совместным совещанием на его осенней сессии 2014 года, были утверждены Рабочей группой (см. приложение </w:t>
      </w:r>
      <w:r w:rsidRPr="0020017B">
        <w:rPr>
          <w:lang w:val="en-US"/>
        </w:rPr>
        <w:t>I</w:t>
      </w:r>
      <w:r w:rsidRPr="0020017B">
        <w:t>).</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C6BC2">
        <w:rPr>
          <w:lang w:bidi="ru-RU"/>
        </w:rPr>
        <w:t>B</w:t>
      </w:r>
      <w:r w:rsidRPr="0020017B">
        <w:rPr>
          <w:lang w:bidi="ru-RU"/>
        </w:rPr>
        <w:t>.</w:t>
      </w:r>
      <w:r w:rsidR="002C6BC2">
        <w:rPr>
          <w:lang w:bidi="ru-RU"/>
        </w:rPr>
        <w:tab/>
      </w:r>
      <w:r w:rsidRPr="0020017B">
        <w:rPr>
          <w:lang w:bidi="ru-RU"/>
        </w:rPr>
        <w:t>Поправки и исправления, предложенные Совместным совещанием на его весенней сессии 2015 года</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Default="0020017B" w:rsidP="0020017B">
      <w:pPr>
        <w:pStyle w:val="SingleTxt"/>
      </w:pPr>
      <w:r w:rsidRPr="00B76104">
        <w:rPr>
          <w:i/>
        </w:rPr>
        <w:t>Неофициальный документ</w:t>
      </w:r>
      <w:r w:rsidRPr="001841AF">
        <w:t>:</w:t>
      </w:r>
      <w:r w:rsidRPr="0020017B">
        <w:tab/>
      </w:r>
      <w:r w:rsidRPr="0020017B">
        <w:rPr>
          <w:lang w:val="en-US"/>
        </w:rPr>
        <w:t>INF</w:t>
      </w:r>
      <w:r w:rsidRPr="0020017B">
        <w:t>.13 (секретариат)</w:t>
      </w:r>
    </w:p>
    <w:p w:rsidR="002C6BC2" w:rsidRPr="002C6BC2" w:rsidRDefault="002C6BC2" w:rsidP="002C6BC2">
      <w:pPr>
        <w:pStyle w:val="SingleTxt"/>
        <w:spacing w:after="0" w:line="120" w:lineRule="exact"/>
        <w:rPr>
          <w:sz w:val="10"/>
        </w:rPr>
      </w:pPr>
    </w:p>
    <w:p w:rsidR="0020017B" w:rsidRPr="0020017B" w:rsidRDefault="0020017B"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t>1.</w:t>
      </w:r>
      <w:r w:rsidRPr="0020017B">
        <w:tab/>
        <w:t>Сварные швы средств удержания устройств для добавления присадок в</w:t>
      </w:r>
      <w:r w:rsidR="00B76104">
        <w:t> </w:t>
      </w:r>
      <w:r w:rsidRPr="0020017B">
        <w:t>соответствии со специальным положением 664</w:t>
      </w:r>
    </w:p>
    <w:p w:rsidR="00B76682" w:rsidRPr="002C6BC2" w:rsidRDefault="00B76682" w:rsidP="00B76682">
      <w:pPr>
        <w:pStyle w:val="SingleTxt"/>
        <w:spacing w:after="0" w:line="120" w:lineRule="exact"/>
        <w:rPr>
          <w:sz w:val="10"/>
        </w:rPr>
      </w:pPr>
    </w:p>
    <w:p w:rsidR="0020017B" w:rsidRPr="0020017B" w:rsidRDefault="0020017B" w:rsidP="0020017B">
      <w:pPr>
        <w:pStyle w:val="SingleTxt"/>
      </w:pPr>
      <w:r w:rsidRPr="0020017B">
        <w:t>15.</w:t>
      </w:r>
      <w:r w:rsidRPr="0020017B">
        <w:tab/>
        <w:t xml:space="preserve">Несмотря на последнее предложение пункта а) </w:t>
      </w:r>
      <w:r w:rsidRPr="0020017B">
        <w:rPr>
          <w:lang w:val="en-US"/>
        </w:rPr>
        <w:t>ii</w:t>
      </w:r>
      <w:r w:rsidRPr="0020017B">
        <w:t>) специального положения</w:t>
      </w:r>
      <w:r w:rsidR="00B76104">
        <w:t> </w:t>
      </w:r>
      <w:r w:rsidRPr="0020017B">
        <w:t>664, Рабочая группа подтвердила, что сварные швы средств удержания устройств для добавления присадок, стационарно установленных на цистерне или автоцистерне с внешней стороны, должны выполняться в соответствии с первым подпунктом пункта 6.8.2.1.23, с той разницей, что для подтверждения качества сварных швов могут быть применены другие соответствующие методы.</w:t>
      </w:r>
    </w:p>
    <w:p w:rsidR="0020017B" w:rsidRPr="0020017B" w:rsidRDefault="0020017B" w:rsidP="0020017B">
      <w:pPr>
        <w:pStyle w:val="SingleTxt"/>
      </w:pPr>
      <w:r w:rsidRPr="0020017B">
        <w:t>16.</w:t>
      </w:r>
      <w:r w:rsidRPr="0020017B">
        <w:tab/>
        <w:t xml:space="preserve">Соответствующая поправка, предложенная Рабочей группой по цистернам Совместного совещания, была принята (см. приложение </w:t>
      </w:r>
      <w:r w:rsidRPr="0020017B">
        <w:rPr>
          <w:lang w:val="en-US"/>
        </w:rPr>
        <w:t>I</w:t>
      </w:r>
      <w:r w:rsidRPr="0020017B">
        <w:t>).</w:t>
      </w:r>
    </w:p>
    <w:p w:rsidR="00B76682" w:rsidRPr="002C6BC2" w:rsidRDefault="00B76682" w:rsidP="00B76682">
      <w:pPr>
        <w:pStyle w:val="SingleTxt"/>
        <w:spacing w:after="0" w:line="120" w:lineRule="exact"/>
        <w:rPr>
          <w:sz w:val="10"/>
        </w:rPr>
      </w:pPr>
    </w:p>
    <w:p w:rsidR="0020017B" w:rsidRPr="00B76682" w:rsidRDefault="0020017B"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682">
        <w:tab/>
      </w:r>
      <w:r w:rsidR="00B76682">
        <w:t>2.</w:t>
      </w:r>
      <w:r w:rsidR="00B76682">
        <w:tab/>
      </w:r>
      <w:r w:rsidRPr="00B76682">
        <w:t>Ссылка на стандарт EN 12493:2013 + A1:2014 (за исключением приложения С)</w:t>
      </w:r>
    </w:p>
    <w:p w:rsidR="00B76682" w:rsidRPr="002C6BC2" w:rsidRDefault="00B76682" w:rsidP="00B76682">
      <w:pPr>
        <w:pStyle w:val="SingleTxt"/>
        <w:spacing w:after="0" w:line="120" w:lineRule="exact"/>
        <w:rPr>
          <w:sz w:val="10"/>
        </w:rPr>
      </w:pPr>
    </w:p>
    <w:p w:rsidR="0020017B" w:rsidRPr="0020017B" w:rsidRDefault="0020017B" w:rsidP="0020017B">
      <w:pPr>
        <w:pStyle w:val="SingleTxt"/>
      </w:pPr>
      <w:r w:rsidRPr="0020017B">
        <w:t>17.</w:t>
      </w:r>
      <w:r w:rsidRPr="0020017B">
        <w:tab/>
        <w:t xml:space="preserve">Рабочая группа приняла поправки, предложенные Совместным совещанием, с целью включить в ДОПОГ ссылку на стандарт </w:t>
      </w:r>
      <w:r w:rsidRPr="0020017B">
        <w:rPr>
          <w:lang w:val="en-US"/>
        </w:rPr>
        <w:t>EN</w:t>
      </w:r>
      <w:r w:rsidRPr="0020017B">
        <w:t xml:space="preserve"> 12493:2013 + </w:t>
      </w:r>
      <w:r w:rsidRPr="0020017B">
        <w:rPr>
          <w:lang w:val="en-US"/>
        </w:rPr>
        <w:t>A</w:t>
      </w:r>
      <w:r w:rsidRPr="0020017B">
        <w:t xml:space="preserve">1:2014 (за исключением приложения </w:t>
      </w:r>
      <w:r w:rsidRPr="0020017B">
        <w:rPr>
          <w:lang w:val="en-US"/>
        </w:rPr>
        <w:t>C</w:t>
      </w:r>
      <w:r w:rsidRPr="0020017B">
        <w:t>).</w:t>
      </w:r>
    </w:p>
    <w:p w:rsidR="0020017B" w:rsidRPr="0020017B" w:rsidRDefault="0020017B" w:rsidP="0020017B">
      <w:pPr>
        <w:pStyle w:val="SingleTxt"/>
      </w:pPr>
      <w:r w:rsidRPr="0020017B">
        <w:t>18.</w:t>
      </w:r>
      <w:r w:rsidRPr="0020017B">
        <w:tab/>
        <w:t xml:space="preserve">Рабочая группа, отметив, что неизмененный вариант этого стандарта, ссылка на который содержится в ДОПОГ 2015 года, на рынке отсутствует, предложила компетентным органам одобрить использование с настоящего момента видоизмененного стандарта </w:t>
      </w:r>
      <w:r w:rsidRPr="0020017B">
        <w:rPr>
          <w:lang w:val="en-US"/>
        </w:rPr>
        <w:t>EN</w:t>
      </w:r>
      <w:r w:rsidRPr="0020017B">
        <w:t xml:space="preserve"> 12493:2013 + </w:t>
      </w:r>
      <w:r w:rsidRPr="0020017B">
        <w:rPr>
          <w:lang w:val="en-US"/>
        </w:rPr>
        <w:t>A</w:t>
      </w:r>
      <w:r w:rsidRPr="0020017B">
        <w:t>1:2014 (за исключением приложения</w:t>
      </w:r>
      <w:r w:rsidR="00B76104">
        <w:t> </w:t>
      </w:r>
      <w:r w:rsidRPr="0020017B">
        <w:rPr>
          <w:lang w:val="en-US"/>
        </w:rPr>
        <w:t>C</w:t>
      </w:r>
      <w:r w:rsidRPr="0020017B">
        <w:t>) в соответствии с положениями пункта 6.8.2.7.</w:t>
      </w:r>
    </w:p>
    <w:p w:rsidR="00B76682" w:rsidRPr="002C6BC2" w:rsidRDefault="00B76682" w:rsidP="00B76682">
      <w:pPr>
        <w:pStyle w:val="SingleTxt"/>
        <w:spacing w:after="0" w:line="120" w:lineRule="exact"/>
        <w:rPr>
          <w:sz w:val="10"/>
        </w:rPr>
      </w:pPr>
    </w:p>
    <w:p w:rsidR="0020017B" w:rsidRPr="0020017B" w:rsidRDefault="0020017B"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t>3.</w:t>
      </w:r>
      <w:r w:rsidRPr="0020017B">
        <w:tab/>
        <w:t>Классификация хлорида ртути</w:t>
      </w:r>
    </w:p>
    <w:p w:rsidR="00B76682" w:rsidRPr="002C6BC2" w:rsidRDefault="00B76682" w:rsidP="00B76682">
      <w:pPr>
        <w:pStyle w:val="SingleTxt"/>
        <w:spacing w:after="0" w:line="120" w:lineRule="exact"/>
        <w:rPr>
          <w:sz w:val="10"/>
        </w:rPr>
      </w:pPr>
    </w:p>
    <w:p w:rsidR="0020017B" w:rsidRPr="0020017B" w:rsidRDefault="0020017B" w:rsidP="0020017B">
      <w:pPr>
        <w:pStyle w:val="SingleTxt"/>
      </w:pPr>
      <w:r w:rsidRPr="0020017B">
        <w:t>19.</w:t>
      </w:r>
      <w:r w:rsidRPr="0020017B">
        <w:tab/>
        <w:t xml:space="preserve">Рабочая группа подтвердила, что следует незамедлительно изменить специальное положение 529, поскольку оно противоречит решению Подкомитета экспертов по перевозке опасных грузов, принятому на его сороковой сессии. Это решение гласит, что хлорид ртути </w:t>
      </w:r>
      <w:r w:rsidRPr="0020017B">
        <w:rPr>
          <w:lang w:val="en-US"/>
        </w:rPr>
        <w:t>I</w:t>
      </w:r>
      <w:r w:rsidRPr="0020017B">
        <w:t xml:space="preserve"> должен перевозиться как вещество подкласса</w:t>
      </w:r>
      <w:r w:rsidR="00B76104">
        <w:t> </w:t>
      </w:r>
      <w:r w:rsidRPr="0020017B">
        <w:t xml:space="preserve">6.1, группа упаковки </w:t>
      </w:r>
      <w:r w:rsidRPr="0020017B">
        <w:rPr>
          <w:lang w:val="en-US"/>
        </w:rPr>
        <w:t>III</w:t>
      </w:r>
      <w:r w:rsidRPr="0020017B">
        <w:t xml:space="preserve">, однако, учитывая тот факт, что это соединение в больших количествах на международном уровне не перевозится, </w:t>
      </w:r>
      <w:r w:rsidRPr="0020017B">
        <w:lastRenderedPageBreak/>
        <w:t xml:space="preserve">его следует отнести к № ООН 2025, РТУТИ СОЕДИНЕНИЕ ТВЕРДОЕ, Н.У.К. (см. документ </w:t>
      </w:r>
      <w:r w:rsidRPr="0020017B">
        <w:rPr>
          <w:lang w:val="en-US"/>
        </w:rPr>
        <w:t>ST</w:t>
      </w:r>
      <w:r w:rsidRPr="0020017B">
        <w:t>/</w:t>
      </w:r>
      <w:r w:rsidRPr="0020017B">
        <w:rPr>
          <w:lang w:val="en-US"/>
        </w:rPr>
        <w:t>SG</w:t>
      </w:r>
      <w:r w:rsidRPr="0020017B">
        <w:t>/</w:t>
      </w:r>
      <w:r w:rsidRPr="0020017B">
        <w:rPr>
          <w:lang w:val="en-US"/>
        </w:rPr>
        <w:t>AC</w:t>
      </w:r>
      <w:r w:rsidRPr="0020017B">
        <w:t>.10/С.3/80, пункт 14).</w:t>
      </w:r>
    </w:p>
    <w:p w:rsidR="0020017B" w:rsidRPr="0020017B" w:rsidRDefault="0020017B" w:rsidP="0020017B">
      <w:pPr>
        <w:pStyle w:val="SingleTxt"/>
      </w:pPr>
      <w:r w:rsidRPr="0020017B">
        <w:t>20.</w:t>
      </w:r>
      <w:r w:rsidRPr="0020017B">
        <w:tab/>
        <w:t xml:space="preserve">Рабочая группа приняла соответствующие поправки (см. приложение </w:t>
      </w:r>
      <w:r w:rsidRPr="0020017B">
        <w:rPr>
          <w:lang w:val="en-US"/>
        </w:rPr>
        <w:t>II</w:t>
      </w:r>
      <w:r w:rsidRPr="0020017B">
        <w:t xml:space="preserve">) и отметила, что эти изменения уже были приняты в качестве исправлений к МПОГ 2015 года (исправление 2 к печатному изданию МПОГ 2015 года). Она обратилась к представителю Португалии с просьбой подготовить, при посредстве его правительства, предложение о внесении поправки в соответствии с процедурой, предусмотренной в статье 14 </w:t>
      </w:r>
      <w:r w:rsidR="000807C3">
        <w:t>(</w:t>
      </w:r>
      <w:r w:rsidRPr="0020017B">
        <w:t>3) ДОПОГ.</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B76104" w:rsidP="00B761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17B" w:rsidRPr="0020017B">
        <w:rPr>
          <w:lang w:val="en-US"/>
        </w:rPr>
        <w:t>VII</w:t>
      </w:r>
      <w:r w:rsidR="0020017B" w:rsidRPr="0020017B">
        <w:t>.</w:t>
      </w:r>
      <w:r w:rsidR="0020017B" w:rsidRPr="0020017B">
        <w:tab/>
        <w:t>Предложения о внесении поправок в приложения А и</w:t>
      </w:r>
      <w:r>
        <w:t xml:space="preserve"> </w:t>
      </w:r>
      <w:r w:rsidR="0020017B" w:rsidRPr="0020017B">
        <w:t>В к</w:t>
      </w:r>
      <w:r>
        <w:t> </w:t>
      </w:r>
      <w:r w:rsidR="0020017B" w:rsidRPr="0020017B">
        <w:t>ДОПОГ (пункт 6 повестки дня)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C6BC2">
        <w:rPr>
          <w:lang w:bidi="ru-RU"/>
        </w:rPr>
        <w:t>A</w:t>
      </w:r>
      <w:r w:rsidRPr="0020017B">
        <w:rPr>
          <w:lang w:bidi="ru-RU"/>
        </w:rPr>
        <w:t>.</w:t>
      </w:r>
      <w:r w:rsidR="00B76682">
        <w:rPr>
          <w:lang w:bidi="ru-RU"/>
        </w:rPr>
        <w:tab/>
      </w:r>
      <w:r w:rsidRPr="0020017B">
        <w:rPr>
          <w:lang w:bidi="ru-RU"/>
        </w:rPr>
        <w:t>Конструкция и допущение к перевозке транспортных средств</w:t>
      </w:r>
    </w:p>
    <w:p w:rsidR="00B76682" w:rsidRPr="002C6BC2" w:rsidRDefault="00B76682" w:rsidP="00B76682">
      <w:pPr>
        <w:pStyle w:val="SingleTxt"/>
        <w:spacing w:after="0" w:line="120" w:lineRule="exact"/>
        <w:rPr>
          <w:sz w:val="10"/>
        </w:rPr>
      </w:pPr>
    </w:p>
    <w:p w:rsidR="0020017B" w:rsidRPr="00B76682" w:rsidRDefault="0020017B"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682">
        <w:tab/>
        <w:t>1.</w:t>
      </w:r>
      <w:r w:rsidRPr="00B76682">
        <w:tab/>
        <w:t>Использование сжиженного природного газа (СПГ), сжиженного нефтяного газа (СНГ) и компримированного природного газа (КПГ) в качестве топлива для транспортных средств, перевозящих опасные грузы</w:t>
      </w:r>
    </w:p>
    <w:p w:rsidR="00B76682" w:rsidRPr="002C6BC2" w:rsidRDefault="00B76682" w:rsidP="00B76682">
      <w:pPr>
        <w:pStyle w:val="SingleTxt"/>
        <w:spacing w:after="0" w:line="120" w:lineRule="exact"/>
        <w:rPr>
          <w:sz w:val="10"/>
        </w:rPr>
      </w:pPr>
    </w:p>
    <w:p w:rsidR="0020017B" w:rsidRPr="0020017B" w:rsidRDefault="0020017B" w:rsidP="00B76104">
      <w:pPr>
        <w:pStyle w:val="SingleTxt"/>
        <w:ind w:left="2693" w:hanging="1426"/>
      </w:pPr>
      <w:r w:rsidRPr="0020017B">
        <w:rPr>
          <w:i/>
        </w:rPr>
        <w:t>Документы</w:t>
      </w:r>
      <w:r w:rsidRPr="001841AF">
        <w:t>:</w:t>
      </w:r>
      <w:r w:rsidRPr="0020017B">
        <w:tab/>
      </w:r>
      <w:r w:rsidRPr="00B76104">
        <w:rPr>
          <w:spacing w:val="2"/>
          <w:lang w:val="en-US"/>
        </w:rPr>
        <w:t>ECE</w:t>
      </w:r>
      <w:r w:rsidRPr="00B76104">
        <w:rPr>
          <w:spacing w:val="2"/>
        </w:rPr>
        <w:t>/</w:t>
      </w:r>
      <w:r w:rsidRPr="00B76104">
        <w:rPr>
          <w:spacing w:val="2"/>
          <w:lang w:val="en-US"/>
        </w:rPr>
        <w:t>TRANS</w:t>
      </w:r>
      <w:r w:rsidRPr="00B76104">
        <w:rPr>
          <w:spacing w:val="2"/>
        </w:rPr>
        <w:t>/</w:t>
      </w:r>
      <w:r w:rsidRPr="00B76104">
        <w:rPr>
          <w:spacing w:val="2"/>
          <w:lang w:val="en-US"/>
        </w:rPr>
        <w:t>WP</w:t>
      </w:r>
      <w:r w:rsidRPr="00B76104">
        <w:rPr>
          <w:spacing w:val="2"/>
        </w:rPr>
        <w:t xml:space="preserve">.15/2015/4 (Германия) и </w:t>
      </w:r>
      <w:r w:rsidRPr="00B76104">
        <w:rPr>
          <w:spacing w:val="2"/>
          <w:lang w:val="en-US"/>
        </w:rPr>
        <w:t>ECE</w:t>
      </w:r>
      <w:r w:rsidRPr="00B76104">
        <w:rPr>
          <w:spacing w:val="2"/>
        </w:rPr>
        <w:t>/</w:t>
      </w:r>
      <w:r w:rsidRPr="00B76104">
        <w:rPr>
          <w:spacing w:val="2"/>
          <w:lang w:val="en-US"/>
        </w:rPr>
        <w:t>TRANS</w:t>
      </w:r>
      <w:r w:rsidRPr="00B76104">
        <w:rPr>
          <w:spacing w:val="2"/>
        </w:rPr>
        <w:t>/</w:t>
      </w:r>
      <w:r w:rsidRPr="00B76104">
        <w:rPr>
          <w:spacing w:val="2"/>
          <w:lang w:val="en-US"/>
        </w:rPr>
        <w:t>WP</w:t>
      </w:r>
      <w:r w:rsidRPr="00B76104">
        <w:rPr>
          <w:spacing w:val="2"/>
        </w:rPr>
        <w:t>.15/2015/6</w:t>
      </w:r>
      <w:r w:rsidRPr="0020017B">
        <w:t xml:space="preserve"> (ЕАСНГ/ПГТ-Глобал)</w:t>
      </w:r>
    </w:p>
    <w:p w:rsidR="0020017B" w:rsidRPr="0020017B" w:rsidRDefault="0020017B" w:rsidP="00B76104">
      <w:pPr>
        <w:pStyle w:val="SingleTxt"/>
        <w:ind w:left="4133" w:hanging="2866"/>
      </w:pPr>
      <w:r w:rsidRPr="0020017B">
        <w:rPr>
          <w:i/>
        </w:rPr>
        <w:t>Неофициальные документы</w:t>
      </w:r>
      <w:r w:rsidRPr="001841AF">
        <w:t>:</w:t>
      </w:r>
      <w:r w:rsidRPr="0020017B">
        <w:tab/>
      </w:r>
      <w:r w:rsidRPr="0020017B">
        <w:rPr>
          <w:lang w:val="en-US"/>
        </w:rPr>
        <w:t>INF</w:t>
      </w:r>
      <w:r w:rsidRPr="0020017B">
        <w:t xml:space="preserve">.3 (Швеция), </w:t>
      </w:r>
      <w:r w:rsidRPr="0020017B">
        <w:rPr>
          <w:lang w:val="en-US"/>
        </w:rPr>
        <w:t>INF</w:t>
      </w:r>
      <w:r w:rsidRPr="0020017B">
        <w:t xml:space="preserve">.4 (ПГТ-Глобал), </w:t>
      </w:r>
      <w:r w:rsidRPr="0020017B">
        <w:rPr>
          <w:lang w:val="en-US"/>
        </w:rPr>
        <w:t>INF</w:t>
      </w:r>
      <w:r w:rsidRPr="0020017B">
        <w:t xml:space="preserve">.12 (ПГТ-Глобал), </w:t>
      </w:r>
      <w:r w:rsidRPr="0020017B">
        <w:rPr>
          <w:lang w:val="en-US"/>
        </w:rPr>
        <w:t>INF</w:t>
      </w:r>
      <w:r w:rsidRPr="0020017B">
        <w:t xml:space="preserve">.15 (ЕАСНГ) </w:t>
      </w:r>
      <w:r w:rsidR="000807C3">
        <w:t xml:space="preserve">и </w:t>
      </w:r>
      <w:r w:rsidRPr="0020017B">
        <w:rPr>
          <w:lang w:val="en-US"/>
        </w:rPr>
        <w:t>INF</w:t>
      </w:r>
      <w:r w:rsidRPr="0020017B">
        <w:t>.16 (ЕАСНГ)</w:t>
      </w:r>
    </w:p>
    <w:p w:rsidR="0020017B" w:rsidRPr="0020017B" w:rsidRDefault="0020017B" w:rsidP="0020017B">
      <w:pPr>
        <w:pStyle w:val="SingleTxt"/>
      </w:pPr>
      <w:r w:rsidRPr="0020017B">
        <w:t>21.</w:t>
      </w:r>
      <w:r w:rsidRPr="0020017B">
        <w:tab/>
        <w:t xml:space="preserve">Рабочая группа отметила, что неофициальные документы, представленные ПГТ-Глобал и ЕАСНГ на этой сессии, в определенной степени отвечают на вопросы, поднятые Германией и Швецией. Тем не менее ряд делегаций пожелал иметь больше времени для изучения указанных документов, в том числе неофициального документа </w:t>
      </w:r>
      <w:r w:rsidRPr="0020017B">
        <w:rPr>
          <w:lang w:val="en-US"/>
        </w:rPr>
        <w:t>INF</w:t>
      </w:r>
      <w:r w:rsidRPr="0020017B">
        <w:t>.12, представленного незадолго до этой сессии.</w:t>
      </w:r>
    </w:p>
    <w:p w:rsidR="0020017B" w:rsidRPr="0020017B" w:rsidRDefault="0020017B" w:rsidP="0020017B">
      <w:pPr>
        <w:pStyle w:val="SingleTxt"/>
      </w:pPr>
      <w:r w:rsidRPr="0020017B">
        <w:t>22.</w:t>
      </w:r>
      <w:r w:rsidRPr="0020017B">
        <w:tab/>
        <w:t>Рабочая группа предложила представителям ЕАСНГ и ПГТ-Глобал представить на следующей сессии пересмотренное предложение. В этом предложении должны быть урегулированы нерешенные вопросы, и оно будет включать в себя  пересмотренное предложение о поправках, учитывающее замечания, сформулированные в ходе сессии или в межсессионный период.</w:t>
      </w:r>
    </w:p>
    <w:p w:rsidR="0020017B" w:rsidRPr="0020017B" w:rsidRDefault="0020017B" w:rsidP="0020017B">
      <w:pPr>
        <w:pStyle w:val="SingleTxt"/>
      </w:pPr>
      <w:r w:rsidRPr="0020017B">
        <w:t>23.</w:t>
      </w:r>
      <w:r w:rsidRPr="0020017B">
        <w:tab/>
        <w:t>Делегациям, желающим сотрудничать в этой области, необходимо связаться с представителем ЕАСНГ, который будет координировать дискуссии по этому вопросу в рамках неофициальной рабочей группы с использованием электронной почты.</w:t>
      </w:r>
    </w:p>
    <w:p w:rsidR="00B76682" w:rsidRPr="002C6BC2" w:rsidRDefault="00B76682" w:rsidP="00B76682">
      <w:pPr>
        <w:pStyle w:val="SingleTxt"/>
        <w:spacing w:after="0" w:line="120" w:lineRule="exact"/>
        <w:rPr>
          <w:sz w:val="10"/>
        </w:rPr>
      </w:pPr>
    </w:p>
    <w:p w:rsidR="0020017B" w:rsidRPr="00B76682" w:rsidRDefault="0020017B"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682">
        <w:tab/>
        <w:t>2.</w:t>
      </w:r>
      <w:r w:rsidRPr="00B76682">
        <w:tab/>
        <w:t>Предлагаемые исправления</w:t>
      </w:r>
    </w:p>
    <w:p w:rsidR="00B76682" w:rsidRPr="002C6BC2" w:rsidRDefault="00B76682" w:rsidP="00B76682">
      <w:pPr>
        <w:pStyle w:val="SingleTxt"/>
        <w:spacing w:after="0" w:line="120" w:lineRule="exact"/>
        <w:rPr>
          <w:sz w:val="10"/>
        </w:rPr>
      </w:pPr>
    </w:p>
    <w:p w:rsidR="0020017B" w:rsidRPr="0020017B" w:rsidRDefault="0020017B" w:rsidP="0020017B">
      <w:pPr>
        <w:pStyle w:val="SingleTxt"/>
      </w:pPr>
      <w:r w:rsidRPr="008E0BBB">
        <w:rPr>
          <w:i/>
        </w:rPr>
        <w:t>Неофициальный документ</w:t>
      </w:r>
      <w:r w:rsidRPr="001841AF">
        <w:t>:</w:t>
      </w:r>
      <w:r w:rsidRPr="0020017B">
        <w:tab/>
      </w:r>
      <w:r w:rsidRPr="0020017B">
        <w:rPr>
          <w:lang w:val="en-US"/>
        </w:rPr>
        <w:t>INF</w:t>
      </w:r>
      <w:r w:rsidRPr="0020017B">
        <w:t>.9 (Румыния)</w:t>
      </w:r>
    </w:p>
    <w:p w:rsidR="0020017B" w:rsidRPr="0020017B" w:rsidRDefault="0020017B" w:rsidP="0020017B">
      <w:pPr>
        <w:pStyle w:val="SingleTxt"/>
      </w:pPr>
      <w:r w:rsidRPr="0020017B">
        <w:t>24.</w:t>
      </w:r>
      <w:r w:rsidRPr="0020017B">
        <w:tab/>
        <w:t xml:space="preserve">Рабочая группа приняла изменения, предложенные представителем Румынии в качестве поправок (см. приложение </w:t>
      </w:r>
      <w:r w:rsidRPr="0020017B">
        <w:rPr>
          <w:lang w:val="en-US"/>
        </w:rPr>
        <w:t>II</w:t>
      </w:r>
      <w:r w:rsidRPr="0020017B">
        <w:t xml:space="preserve">). Она обратилась к представителю Португалии с просьбой включить эти поправки в те предлагаемые поправки, которые будут направлены при посредстве его правительства в соответствии с процедурой, предусмотренной в статье 14 </w:t>
      </w:r>
      <w:r w:rsidR="000807C3">
        <w:t>(</w:t>
      </w:r>
      <w:r w:rsidRPr="0020017B">
        <w:t xml:space="preserve">3) ДОПОГ (см. пункт 20). </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C6BC2">
        <w:rPr>
          <w:lang w:bidi="ru-RU"/>
        </w:rPr>
        <w:t>B</w:t>
      </w:r>
      <w:r w:rsidRPr="0020017B">
        <w:rPr>
          <w:lang w:bidi="ru-RU"/>
        </w:rPr>
        <w:t>.</w:t>
      </w:r>
      <w:r w:rsidR="00B76682">
        <w:rPr>
          <w:lang w:bidi="ru-RU"/>
        </w:rPr>
        <w:tab/>
      </w:r>
      <w:r w:rsidRPr="0020017B">
        <w:rPr>
          <w:lang w:bidi="ru-RU"/>
        </w:rPr>
        <w:t>Разные предложения</w:t>
      </w:r>
    </w:p>
    <w:p w:rsidR="00B76682" w:rsidRPr="002C6BC2" w:rsidRDefault="00B76682" w:rsidP="00B76682">
      <w:pPr>
        <w:pStyle w:val="SingleTxt"/>
        <w:spacing w:after="0" w:line="120" w:lineRule="exact"/>
        <w:rPr>
          <w:sz w:val="10"/>
        </w:rPr>
      </w:pPr>
    </w:p>
    <w:p w:rsidR="0020017B" w:rsidRPr="00B76682" w:rsidRDefault="0020017B"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682">
        <w:tab/>
        <w:t>1.</w:t>
      </w:r>
      <w:r w:rsidRPr="00B76682">
        <w:tab/>
        <w:t>Обязанности перевозчика</w:t>
      </w:r>
    </w:p>
    <w:p w:rsidR="00B76682" w:rsidRPr="002C6BC2" w:rsidRDefault="00B76682" w:rsidP="00B76682">
      <w:pPr>
        <w:pStyle w:val="SingleTxt"/>
        <w:spacing w:after="0" w:line="120" w:lineRule="exact"/>
        <w:rPr>
          <w:sz w:val="10"/>
        </w:rPr>
      </w:pPr>
    </w:p>
    <w:p w:rsidR="0020017B" w:rsidRPr="0020017B" w:rsidRDefault="0020017B" w:rsidP="0020017B">
      <w:pPr>
        <w:pStyle w:val="SingleTxt"/>
      </w:pPr>
      <w:r w:rsidRPr="0020017B">
        <w:rPr>
          <w:i/>
        </w:rPr>
        <w:t>Документ</w:t>
      </w:r>
      <w:r w:rsidRPr="0020017B">
        <w:t>:</w:t>
      </w:r>
      <w:r w:rsidRPr="0020017B">
        <w:tab/>
      </w:r>
      <w:r w:rsidRPr="0020017B">
        <w:rPr>
          <w:lang w:val="en-US"/>
        </w:rPr>
        <w:t>ECE</w:t>
      </w:r>
      <w:r w:rsidRPr="0020017B">
        <w:t>/</w:t>
      </w:r>
      <w:r w:rsidRPr="0020017B">
        <w:rPr>
          <w:lang w:val="en-US"/>
        </w:rPr>
        <w:t>TRANS</w:t>
      </w:r>
      <w:r w:rsidRPr="0020017B">
        <w:t>/</w:t>
      </w:r>
      <w:r w:rsidRPr="0020017B">
        <w:rPr>
          <w:lang w:val="en-US"/>
        </w:rPr>
        <w:t>WP</w:t>
      </w:r>
      <w:r w:rsidRPr="0020017B">
        <w:t>.15/2015/1 (Румыния)</w:t>
      </w:r>
    </w:p>
    <w:p w:rsidR="0020017B" w:rsidRPr="0020017B" w:rsidRDefault="0020017B" w:rsidP="0020017B">
      <w:pPr>
        <w:pStyle w:val="SingleTxt"/>
      </w:pPr>
      <w:r w:rsidRPr="0020017B">
        <w:lastRenderedPageBreak/>
        <w:t>25.</w:t>
      </w:r>
      <w:r w:rsidRPr="0020017B">
        <w:tab/>
        <w:t xml:space="preserve">Предложение Румынии с поправками, внесенными после обсуждения, было принято большинством голосов (см. приложение </w:t>
      </w:r>
      <w:r w:rsidRPr="0020017B">
        <w:rPr>
          <w:lang w:val="en-US"/>
        </w:rPr>
        <w:t>I</w:t>
      </w:r>
      <w:r w:rsidRPr="0020017B">
        <w:t>).</w:t>
      </w:r>
    </w:p>
    <w:p w:rsidR="0020017B" w:rsidRPr="0020017B" w:rsidRDefault="0020017B" w:rsidP="0020017B">
      <w:pPr>
        <w:pStyle w:val="SingleTxt"/>
      </w:pPr>
      <w:r w:rsidRPr="0020017B">
        <w:t>26.</w:t>
      </w:r>
      <w:r w:rsidRPr="0020017B">
        <w:tab/>
        <w:t xml:space="preserve">Предложение 2 было принято большинством голосов (см. приложение </w:t>
      </w:r>
      <w:r w:rsidRPr="0020017B">
        <w:rPr>
          <w:lang w:val="en-US"/>
        </w:rPr>
        <w:t>II</w:t>
      </w:r>
      <w:r w:rsidRPr="0020017B">
        <w:t>).</w:t>
      </w:r>
    </w:p>
    <w:p w:rsidR="00B76682" w:rsidRPr="002C6BC2" w:rsidRDefault="00B76682" w:rsidP="00B76682">
      <w:pPr>
        <w:pStyle w:val="SingleTxt"/>
        <w:spacing w:after="0" w:line="120" w:lineRule="exact"/>
        <w:rPr>
          <w:sz w:val="10"/>
        </w:rPr>
      </w:pPr>
    </w:p>
    <w:p w:rsidR="0020017B" w:rsidRPr="00B76682" w:rsidRDefault="0020017B" w:rsidP="008E0B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682">
        <w:tab/>
        <w:t>2.</w:t>
      </w:r>
      <w:r w:rsidRPr="00B76682">
        <w:tab/>
        <w:t>Код ограничения проезда через туннели для твердых и жидких веществ, опасных для окружающей среды (№ ООН 3077 и 3082)</w:t>
      </w:r>
    </w:p>
    <w:p w:rsidR="00B76682" w:rsidRPr="002C6BC2" w:rsidRDefault="00B76682" w:rsidP="008E0BBB">
      <w:pPr>
        <w:pStyle w:val="SingleTxt"/>
        <w:keepNext/>
        <w:spacing w:after="0" w:line="120" w:lineRule="exact"/>
        <w:rPr>
          <w:sz w:val="10"/>
        </w:rPr>
      </w:pPr>
    </w:p>
    <w:p w:rsidR="0020017B" w:rsidRPr="0020017B" w:rsidRDefault="0020017B" w:rsidP="008E0BBB">
      <w:pPr>
        <w:pStyle w:val="SingleTxt"/>
        <w:keepNext/>
      </w:pPr>
      <w:r w:rsidRPr="0020017B">
        <w:rPr>
          <w:i/>
        </w:rPr>
        <w:t>Документ</w:t>
      </w:r>
      <w:r w:rsidRPr="0020017B">
        <w:t>:</w:t>
      </w:r>
      <w:r w:rsidRPr="0020017B">
        <w:tab/>
      </w:r>
      <w:r w:rsidRPr="0020017B">
        <w:rPr>
          <w:lang w:val="en-US"/>
        </w:rPr>
        <w:t>ECE</w:t>
      </w:r>
      <w:r w:rsidRPr="0020017B">
        <w:t>/</w:t>
      </w:r>
      <w:r w:rsidRPr="0020017B">
        <w:rPr>
          <w:lang w:val="en-US"/>
        </w:rPr>
        <w:t>TRANS</w:t>
      </w:r>
      <w:r w:rsidRPr="0020017B">
        <w:t>/</w:t>
      </w:r>
      <w:r w:rsidRPr="0020017B">
        <w:rPr>
          <w:lang w:val="en-US"/>
        </w:rPr>
        <w:t>WP</w:t>
      </w:r>
      <w:r w:rsidRPr="0020017B">
        <w:t>.15/2015/2 (ЕСФХП и ЕКАК)</w:t>
      </w:r>
    </w:p>
    <w:p w:rsidR="0020017B" w:rsidRPr="0020017B" w:rsidRDefault="0020017B" w:rsidP="008E0BBB">
      <w:pPr>
        <w:pStyle w:val="SingleTxt"/>
        <w:keepNext/>
      </w:pPr>
      <w:r w:rsidRPr="0020017B">
        <w:t>27.</w:t>
      </w:r>
      <w:r w:rsidRPr="0020017B">
        <w:tab/>
      </w:r>
      <w:r w:rsidRPr="008E0BBB">
        <w:rPr>
          <w:spacing w:val="2"/>
        </w:rPr>
        <w:t xml:space="preserve">Предложение ЕСФХП и ЕКАК было принято единогласно (см. приложение </w:t>
      </w:r>
      <w:r w:rsidRPr="008E0BBB">
        <w:rPr>
          <w:spacing w:val="2"/>
          <w:lang w:val="en-US"/>
        </w:rPr>
        <w:t>I</w:t>
      </w:r>
      <w:r w:rsidRPr="008E0BBB">
        <w:rPr>
          <w:spacing w:val="2"/>
        </w:rPr>
        <w:t>)</w:t>
      </w:r>
      <w:r w:rsidRPr="0020017B">
        <w:t>.</w:t>
      </w:r>
    </w:p>
    <w:p w:rsidR="00B76682" w:rsidRPr="002C6BC2" w:rsidRDefault="00B76682" w:rsidP="00B76682">
      <w:pPr>
        <w:pStyle w:val="SingleTxt"/>
        <w:spacing w:after="0" w:line="120" w:lineRule="exact"/>
        <w:rPr>
          <w:sz w:val="10"/>
        </w:rPr>
      </w:pPr>
    </w:p>
    <w:p w:rsidR="0020017B" w:rsidRPr="00B76682" w:rsidRDefault="0020017B"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682">
        <w:tab/>
        <w:t>3.</w:t>
      </w:r>
      <w:r w:rsidRPr="00B76682">
        <w:tab/>
        <w:t>Внесение изменения редакционного характера в пункт 1.9.5.2.2</w:t>
      </w:r>
    </w:p>
    <w:p w:rsidR="00B76682" w:rsidRPr="002C6BC2" w:rsidRDefault="00B76682" w:rsidP="00B76682">
      <w:pPr>
        <w:pStyle w:val="SingleTxt"/>
        <w:spacing w:after="0" w:line="120" w:lineRule="exact"/>
        <w:rPr>
          <w:sz w:val="10"/>
        </w:rPr>
      </w:pPr>
    </w:p>
    <w:p w:rsidR="0020017B" w:rsidRPr="0020017B" w:rsidRDefault="0020017B" w:rsidP="0020017B">
      <w:pPr>
        <w:pStyle w:val="SingleTxt"/>
      </w:pPr>
      <w:r w:rsidRPr="008E0BBB">
        <w:rPr>
          <w:i/>
        </w:rPr>
        <w:t>Неофициальный документ</w:t>
      </w:r>
      <w:r w:rsidRPr="008E0BBB">
        <w:t>:</w:t>
      </w:r>
      <w:r w:rsidRPr="0020017B">
        <w:tab/>
      </w:r>
      <w:r w:rsidRPr="0020017B">
        <w:rPr>
          <w:lang w:val="en-US"/>
        </w:rPr>
        <w:t>INF</w:t>
      </w:r>
      <w:r w:rsidRPr="0020017B">
        <w:t>.10 (Соединенное Королевство)</w:t>
      </w:r>
    </w:p>
    <w:p w:rsidR="0020017B" w:rsidRPr="0020017B" w:rsidRDefault="0020017B" w:rsidP="0020017B">
      <w:pPr>
        <w:pStyle w:val="SingleTxt"/>
      </w:pPr>
      <w:r w:rsidRPr="0020017B">
        <w:t>28.</w:t>
      </w:r>
      <w:r w:rsidRPr="0020017B">
        <w:tab/>
        <w:t>Несколько делегаций отметили, что осуществление предложения Соединенного Королевства может улучшить нынешнюю формулировку описания категории Е в пункте 1.9.5.2.2. Представителю Соединенного Королевства было предложено представить это изменение в виде официального документа на следующей сессии.</w:t>
      </w:r>
    </w:p>
    <w:p w:rsidR="00B76682" w:rsidRPr="002C6BC2" w:rsidRDefault="00B76682" w:rsidP="00B76682">
      <w:pPr>
        <w:pStyle w:val="SingleTxt"/>
        <w:spacing w:after="0" w:line="120" w:lineRule="exact"/>
        <w:rPr>
          <w:sz w:val="10"/>
        </w:rPr>
      </w:pPr>
    </w:p>
    <w:p w:rsidR="0020017B" w:rsidRPr="00B76682" w:rsidRDefault="0020017B"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682">
        <w:tab/>
        <w:t>4.</w:t>
      </w:r>
      <w:r w:rsidRPr="00B76682">
        <w:tab/>
        <w:t>Разъяснение специального положения 664</w:t>
      </w:r>
    </w:p>
    <w:p w:rsidR="00B76682" w:rsidRPr="002C6BC2" w:rsidRDefault="00B76682" w:rsidP="00B76682">
      <w:pPr>
        <w:pStyle w:val="SingleTxt"/>
        <w:spacing w:after="0" w:line="120" w:lineRule="exact"/>
        <w:rPr>
          <w:sz w:val="10"/>
        </w:rPr>
      </w:pPr>
    </w:p>
    <w:p w:rsidR="0020017B" w:rsidRPr="0020017B" w:rsidRDefault="0020017B" w:rsidP="0020017B">
      <w:pPr>
        <w:pStyle w:val="SingleTxt"/>
      </w:pPr>
      <w:r w:rsidRPr="0020017B">
        <w:rPr>
          <w:i/>
        </w:rPr>
        <w:t>Документ</w:t>
      </w:r>
      <w:r w:rsidRPr="0020017B">
        <w:t>:</w:t>
      </w:r>
      <w:r w:rsidRPr="0020017B">
        <w:tab/>
      </w:r>
      <w:r w:rsidRPr="0020017B">
        <w:rPr>
          <w:lang w:val="en-US"/>
        </w:rPr>
        <w:t>ECE</w:t>
      </w:r>
      <w:r w:rsidRPr="0020017B">
        <w:t>/</w:t>
      </w:r>
      <w:r w:rsidRPr="0020017B">
        <w:rPr>
          <w:lang w:val="en-US"/>
        </w:rPr>
        <w:t>TRANS</w:t>
      </w:r>
      <w:r w:rsidRPr="0020017B">
        <w:t>/</w:t>
      </w:r>
      <w:r w:rsidRPr="0020017B">
        <w:rPr>
          <w:lang w:val="en-US"/>
        </w:rPr>
        <w:t>WP</w:t>
      </w:r>
      <w:r w:rsidRPr="0020017B">
        <w:t>.15/2015/3 (Швейцария)</w:t>
      </w:r>
    </w:p>
    <w:p w:rsidR="0020017B" w:rsidRPr="0020017B" w:rsidRDefault="0020017B" w:rsidP="0020017B">
      <w:pPr>
        <w:pStyle w:val="SingleTxt"/>
      </w:pPr>
      <w:r w:rsidRPr="008E0BBB">
        <w:rPr>
          <w:i/>
        </w:rPr>
        <w:t>Неофициальный документ</w:t>
      </w:r>
      <w:r w:rsidRPr="0020017B">
        <w:t>:</w:t>
      </w:r>
      <w:r w:rsidRPr="0020017B">
        <w:tab/>
      </w:r>
      <w:r w:rsidRPr="0020017B">
        <w:rPr>
          <w:lang w:val="en-US"/>
        </w:rPr>
        <w:t>INF</w:t>
      </w:r>
      <w:r w:rsidRPr="0020017B">
        <w:t>.8 (Румыния)</w:t>
      </w:r>
    </w:p>
    <w:p w:rsidR="0020017B" w:rsidRPr="0020017B" w:rsidRDefault="0020017B" w:rsidP="0020017B">
      <w:pPr>
        <w:pStyle w:val="SingleTxt"/>
      </w:pPr>
      <w:r w:rsidRPr="0020017B">
        <w:t>29.</w:t>
      </w:r>
      <w:r w:rsidRPr="0020017B">
        <w:tab/>
        <w:t>Рабочая группа подтвердила и уточнила формулировку, подготовленную на ее предыдущей сессии. Согласно этой формулировке, на присадки в таре, которая может быть присоединена к устройству для добавления присадок, распространяются положения, касающиеся размещения маркировки и знаков опасности на таре в соответствии с положениями главы 5.2 ДОПОГ, при этом в отношении этой тары должны применяться положения ДОПОГ для соответствующих грузов.</w:t>
      </w:r>
    </w:p>
    <w:p w:rsidR="0020017B" w:rsidRPr="0020017B" w:rsidRDefault="0020017B" w:rsidP="0020017B">
      <w:pPr>
        <w:pStyle w:val="SingleTxt"/>
      </w:pPr>
      <w:r w:rsidRPr="0020017B">
        <w:t>30.</w:t>
      </w:r>
      <w:r w:rsidRPr="0020017B">
        <w:tab/>
        <w:t>В свете этого разъяснения представитель Швейцарии снял свой документ.</w:t>
      </w:r>
    </w:p>
    <w:p w:rsidR="00B76682" w:rsidRPr="002C6BC2" w:rsidRDefault="00B76682" w:rsidP="00B76682">
      <w:pPr>
        <w:pStyle w:val="SingleTxt"/>
        <w:spacing w:after="0" w:line="120" w:lineRule="exact"/>
        <w:rPr>
          <w:sz w:val="10"/>
        </w:rPr>
      </w:pPr>
    </w:p>
    <w:p w:rsidR="0020017B" w:rsidRPr="00B76682" w:rsidRDefault="0020017B"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682">
        <w:tab/>
        <w:t>5.</w:t>
      </w:r>
      <w:r w:rsidRPr="00B76682">
        <w:tab/>
        <w:t>Предложение о внесении исправления в название пункта g) специального положения 664</w:t>
      </w:r>
    </w:p>
    <w:p w:rsidR="00B76682" w:rsidRPr="002C6BC2" w:rsidRDefault="00B76682" w:rsidP="00B76682">
      <w:pPr>
        <w:pStyle w:val="SingleTxt"/>
        <w:spacing w:after="0" w:line="120" w:lineRule="exact"/>
        <w:rPr>
          <w:sz w:val="10"/>
        </w:rPr>
      </w:pPr>
    </w:p>
    <w:p w:rsidR="0020017B" w:rsidRPr="0020017B" w:rsidRDefault="0020017B" w:rsidP="0020017B">
      <w:pPr>
        <w:pStyle w:val="SingleTxt"/>
      </w:pPr>
      <w:r w:rsidRPr="001841AF">
        <w:rPr>
          <w:i/>
        </w:rPr>
        <w:t>Неофициальный документ</w:t>
      </w:r>
      <w:r w:rsidRPr="0020017B">
        <w:t>:</w:t>
      </w:r>
      <w:r w:rsidRPr="0020017B">
        <w:tab/>
      </w:r>
      <w:r w:rsidRPr="0020017B">
        <w:rPr>
          <w:lang w:val="en-US"/>
        </w:rPr>
        <w:t>INF</w:t>
      </w:r>
      <w:r w:rsidRPr="0020017B">
        <w:t>.7 (Румыния)</w:t>
      </w:r>
    </w:p>
    <w:p w:rsidR="0020017B" w:rsidRPr="0020017B" w:rsidRDefault="0020017B" w:rsidP="0020017B">
      <w:pPr>
        <w:pStyle w:val="SingleTxt"/>
      </w:pPr>
      <w:r w:rsidRPr="0020017B">
        <w:t>31.</w:t>
      </w:r>
      <w:r w:rsidRPr="0020017B">
        <w:tab/>
        <w:t xml:space="preserve">Один из членов секретариата напомнил о том, что в рамках Подкомитета экспертов по перевозке опасных грузов проводилась работа по упорядочению использования в девятнадцатом издании Типовых правил ООН терминов </w:t>
      </w:r>
      <w:r w:rsidR="00704EB4">
        <w:t>«</w:t>
      </w:r>
      <w:r w:rsidRPr="0020017B">
        <w:t>маркировочный знак</w:t>
      </w:r>
      <w:r w:rsidR="00704EB4">
        <w:t>»</w:t>
      </w:r>
      <w:r w:rsidRPr="0020017B">
        <w:t xml:space="preserve"> и </w:t>
      </w:r>
      <w:r w:rsidR="00704EB4">
        <w:t>«</w:t>
      </w:r>
      <w:r w:rsidRPr="0020017B">
        <w:t>маркировка</w:t>
      </w:r>
      <w:r w:rsidR="00704EB4">
        <w:t>»</w:t>
      </w:r>
      <w:r w:rsidRPr="0020017B">
        <w:t xml:space="preserve"> и что секретариат на следующей сессии Совместного совещания предложит документ с целью продолжить эту работу по рационализации МПОГ, ДОПОГ и ВОПОГ, в которых эти термины могут быть использованы в другом контексте. Так, используемый в тексте на английском языке термин </w:t>
      </w:r>
      <w:r w:rsidR="00704EB4">
        <w:t>«</w:t>
      </w:r>
      <w:r w:rsidRPr="0020017B">
        <w:t>маркировка</w:t>
      </w:r>
      <w:r w:rsidR="00704EB4">
        <w:t>»</w:t>
      </w:r>
      <w:r w:rsidRPr="0020017B">
        <w:t xml:space="preserve"> в главе 5.3 относится к </w:t>
      </w:r>
      <w:r w:rsidRPr="0020017B">
        <w:rPr>
          <w:i/>
        </w:rPr>
        <w:t>направлению движения</w:t>
      </w:r>
      <w:r w:rsidRPr="0020017B">
        <w:t>.</w:t>
      </w:r>
    </w:p>
    <w:p w:rsidR="0020017B" w:rsidRPr="0020017B" w:rsidRDefault="0020017B" w:rsidP="0020017B">
      <w:pPr>
        <w:pStyle w:val="SingleTxt"/>
      </w:pPr>
      <w:r w:rsidRPr="0020017B">
        <w:t>32.</w:t>
      </w:r>
      <w:r w:rsidRPr="0020017B">
        <w:tab/>
        <w:t>Предложенное Румынией исправление может быть рассмотрено на следующей сессии в свете результатов этой работы.</w:t>
      </w:r>
    </w:p>
    <w:p w:rsidR="0020017B" w:rsidRPr="0020017B" w:rsidRDefault="0020017B" w:rsidP="0020017B">
      <w:pPr>
        <w:pStyle w:val="SingleTxt"/>
      </w:pPr>
      <w:r w:rsidRPr="0020017B">
        <w:t>33.</w:t>
      </w:r>
      <w:r w:rsidRPr="0020017B">
        <w:tab/>
        <w:t xml:space="preserve">В то же время Рабочая группа подтвердила, что подпункт </w:t>
      </w:r>
      <w:r w:rsidRPr="0020017B">
        <w:rPr>
          <w:lang w:val="en-US"/>
        </w:rPr>
        <w:t>g</w:t>
      </w:r>
      <w:r w:rsidRPr="0020017B">
        <w:t>) специального положения 664 распространяется также на информационные табло, таблички оранжевого цвета и маркировочные знаки, предписанные в главе 5.3.</w:t>
      </w:r>
    </w:p>
    <w:p w:rsidR="00B76682" w:rsidRPr="002C6BC2" w:rsidRDefault="00B76682" w:rsidP="00B76682">
      <w:pPr>
        <w:pStyle w:val="SingleTxt"/>
        <w:spacing w:after="0" w:line="120" w:lineRule="exact"/>
        <w:rPr>
          <w:sz w:val="10"/>
        </w:rPr>
      </w:pPr>
    </w:p>
    <w:p w:rsidR="0020017B" w:rsidRPr="00B76682" w:rsidRDefault="001841AF" w:rsidP="00B76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rsidR="0020017B" w:rsidRPr="00B76682">
        <w:tab/>
        <w:t xml:space="preserve">Код ограничения проезда через туннели для </w:t>
      </w:r>
      <w:r w:rsidR="0020152D">
        <w:t>веществ</w:t>
      </w:r>
      <w:r w:rsidR="0020017B" w:rsidRPr="00B76682">
        <w:t xml:space="preserve"> под № ООН 2814 и 2900</w:t>
      </w:r>
    </w:p>
    <w:p w:rsidR="00B76682" w:rsidRPr="002C6BC2" w:rsidRDefault="00B76682" w:rsidP="00B76682">
      <w:pPr>
        <w:pStyle w:val="SingleTxt"/>
        <w:spacing w:after="0" w:line="120" w:lineRule="exact"/>
        <w:rPr>
          <w:sz w:val="10"/>
        </w:rPr>
      </w:pPr>
    </w:p>
    <w:p w:rsidR="0020017B" w:rsidRPr="0020017B" w:rsidRDefault="0020017B" w:rsidP="0020017B">
      <w:pPr>
        <w:pStyle w:val="SingleTxt"/>
      </w:pPr>
      <w:r w:rsidRPr="0020017B">
        <w:rPr>
          <w:i/>
        </w:rPr>
        <w:lastRenderedPageBreak/>
        <w:t>Документ</w:t>
      </w:r>
      <w:r w:rsidRPr="001841AF">
        <w:t>:</w:t>
      </w:r>
      <w:r w:rsidRPr="0020017B">
        <w:tab/>
      </w:r>
      <w:r w:rsidRPr="0020017B">
        <w:rPr>
          <w:lang w:val="en-US"/>
        </w:rPr>
        <w:t>ECE</w:t>
      </w:r>
      <w:r w:rsidRPr="0020017B">
        <w:t>/</w:t>
      </w:r>
      <w:r w:rsidRPr="0020017B">
        <w:rPr>
          <w:lang w:val="en-US"/>
        </w:rPr>
        <w:t>TRANS</w:t>
      </w:r>
      <w:r w:rsidRPr="0020017B">
        <w:t>/</w:t>
      </w:r>
      <w:r w:rsidRPr="0020017B">
        <w:rPr>
          <w:lang w:val="en-US"/>
        </w:rPr>
        <w:t>WP</w:t>
      </w:r>
      <w:r w:rsidRPr="0020017B">
        <w:t>.15/2015/5 (Швейцария)</w:t>
      </w:r>
    </w:p>
    <w:p w:rsidR="0020017B" w:rsidRPr="0020017B" w:rsidRDefault="0020017B" w:rsidP="0020017B">
      <w:pPr>
        <w:pStyle w:val="SingleTxt"/>
      </w:pPr>
      <w:r w:rsidRPr="0020017B">
        <w:t>34.</w:t>
      </w:r>
      <w:r w:rsidRPr="0020017B">
        <w:tab/>
        <w:t xml:space="preserve">Предложение Швейцарии было принято единогласно с изменением редакционного характера (см. приложение </w:t>
      </w:r>
      <w:r w:rsidRPr="0020017B">
        <w:rPr>
          <w:lang w:val="en-US"/>
        </w:rPr>
        <w:t>I</w:t>
      </w:r>
      <w:r w:rsidRPr="0020017B">
        <w:t>).</w:t>
      </w:r>
    </w:p>
    <w:p w:rsidR="00B76682" w:rsidRPr="002C6BC2" w:rsidRDefault="00B76682" w:rsidP="00B76682">
      <w:pPr>
        <w:pStyle w:val="SingleTxt"/>
        <w:spacing w:after="0" w:line="120" w:lineRule="exact"/>
        <w:rPr>
          <w:sz w:val="10"/>
        </w:rPr>
      </w:pPr>
    </w:p>
    <w:p w:rsidR="0020017B" w:rsidRPr="00B76682" w:rsidRDefault="0020017B" w:rsidP="001841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682">
        <w:tab/>
        <w:t>7.</w:t>
      </w:r>
      <w:r w:rsidRPr="00B76682">
        <w:tab/>
        <w:t>Изменение терминов, используемых в главе 1.4</w:t>
      </w:r>
    </w:p>
    <w:p w:rsidR="00B76682" w:rsidRPr="002C6BC2" w:rsidRDefault="00B76682" w:rsidP="001841AF">
      <w:pPr>
        <w:pStyle w:val="SingleTxt"/>
        <w:keepNext/>
        <w:spacing w:after="0" w:line="120" w:lineRule="exact"/>
        <w:rPr>
          <w:sz w:val="10"/>
        </w:rPr>
      </w:pPr>
    </w:p>
    <w:p w:rsidR="0020017B" w:rsidRPr="0020017B" w:rsidRDefault="0020017B" w:rsidP="001841AF">
      <w:pPr>
        <w:pStyle w:val="SingleTxt"/>
        <w:keepNext/>
      </w:pPr>
      <w:r w:rsidRPr="0020017B">
        <w:rPr>
          <w:i/>
        </w:rPr>
        <w:t>Неофициальный документ</w:t>
      </w:r>
      <w:r w:rsidRPr="001841AF">
        <w:t>:</w:t>
      </w:r>
      <w:r w:rsidRPr="0020017B">
        <w:tab/>
      </w:r>
      <w:r w:rsidRPr="0020017B">
        <w:rPr>
          <w:lang w:val="en-US"/>
        </w:rPr>
        <w:t>INF</w:t>
      </w:r>
      <w:r w:rsidRPr="0020017B">
        <w:t>.11 (Соединенное Королевство)</w:t>
      </w:r>
    </w:p>
    <w:p w:rsidR="0020017B" w:rsidRPr="0020017B" w:rsidRDefault="0020017B" w:rsidP="001841AF">
      <w:pPr>
        <w:pStyle w:val="SingleTxt"/>
        <w:keepNext/>
      </w:pPr>
      <w:r w:rsidRPr="0020017B">
        <w:t>35.</w:t>
      </w:r>
      <w:r w:rsidRPr="0020017B">
        <w:tab/>
        <w:t>В связи с предлагаемыми Соединенным Королевством изменениями, которые связаны с текущей работой по рационализации использования в МПОГ,</w:t>
      </w:r>
      <w:r w:rsidRPr="0020017B">
        <w:rPr>
          <w:lang w:val="en-US"/>
        </w:rPr>
        <w:t> </w:t>
      </w:r>
      <w:r w:rsidRPr="0020017B">
        <w:t xml:space="preserve">ДОПОГ и ВОПОГ терминов </w:t>
      </w:r>
      <w:r w:rsidR="00704EB4">
        <w:t>«</w:t>
      </w:r>
      <w:r w:rsidRPr="0020017B">
        <w:t>маркировочный знак</w:t>
      </w:r>
      <w:r w:rsidR="00704EB4">
        <w:t>»</w:t>
      </w:r>
      <w:r w:rsidRPr="0020017B">
        <w:t xml:space="preserve"> и </w:t>
      </w:r>
      <w:r w:rsidR="00704EB4">
        <w:t>«</w:t>
      </w:r>
      <w:r w:rsidRPr="0020017B">
        <w:t>маркировка</w:t>
      </w:r>
      <w:r w:rsidR="00704EB4">
        <w:t>»</w:t>
      </w:r>
      <w:r w:rsidRPr="0020017B">
        <w:t xml:space="preserve"> (см.</w:t>
      </w:r>
      <w:r w:rsidR="001841AF">
        <w:rPr>
          <w:lang w:val="en-US"/>
        </w:rPr>
        <w:t> </w:t>
      </w:r>
      <w:r w:rsidRPr="0020017B">
        <w:t>пункт</w:t>
      </w:r>
      <w:r w:rsidRPr="0020017B">
        <w:rPr>
          <w:lang w:val="en-US"/>
        </w:rPr>
        <w:t> </w:t>
      </w:r>
      <w:r w:rsidRPr="0020017B">
        <w:t xml:space="preserve">31), представитель Соединенного Королевства мог бы на следующей сессии представить предложение в свете обсуждений, которые состоятся по этому вопросу на указанной сессии Совместного совещания. </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B766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rPr>
          <w:lang w:val="en-US"/>
        </w:rPr>
        <w:t>VIII</w:t>
      </w:r>
      <w:r w:rsidRPr="0020017B">
        <w:t>.</w:t>
      </w:r>
      <w:r w:rsidRPr="0020017B">
        <w:tab/>
        <w:t>Программа работы (пункт 7 повестки дня)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C6BC2">
        <w:rPr>
          <w:lang w:bidi="ru-RU"/>
        </w:rPr>
        <w:t>A</w:t>
      </w:r>
      <w:r w:rsidRPr="0020017B">
        <w:rPr>
          <w:lang w:bidi="ru-RU"/>
        </w:rPr>
        <w:t>.</w:t>
      </w:r>
      <w:r w:rsidRPr="0020017B">
        <w:rPr>
          <w:lang w:bidi="ru-RU"/>
        </w:rPr>
        <w:tab/>
        <w:t>Девяносто девятая сессия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t>36.</w:t>
      </w:r>
      <w:r w:rsidRPr="0020017B">
        <w:tab/>
        <w:t xml:space="preserve">Проведение девяносто девятой сессии </w:t>
      </w:r>
      <w:r w:rsidRPr="0020017B">
        <w:rPr>
          <w:lang w:val="en-US"/>
        </w:rPr>
        <w:t>WP</w:t>
      </w:r>
      <w:r w:rsidRPr="0020017B">
        <w:t>.15 было назначено на 9</w:t>
      </w:r>
      <w:r w:rsidR="001841AF" w:rsidRPr="001841AF">
        <w:t>–</w:t>
      </w:r>
      <w:r w:rsidRPr="0020017B">
        <w:t xml:space="preserve">13 ноября 2015 года. Повестка дня данной сессии будет аналогична повестке дня девяносто восьмой сессии с добавлением одного пункта, касающегося выборов должностных лиц. </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C6BC2">
        <w:rPr>
          <w:lang w:bidi="ru-RU"/>
        </w:rPr>
        <w:t>B</w:t>
      </w:r>
      <w:r w:rsidRPr="0020017B">
        <w:rPr>
          <w:lang w:bidi="ru-RU"/>
        </w:rPr>
        <w:t>.</w:t>
      </w:r>
      <w:r w:rsidR="00B76682">
        <w:rPr>
          <w:lang w:bidi="ru-RU"/>
        </w:rPr>
        <w:tab/>
      </w:r>
      <w:r w:rsidRPr="0020017B">
        <w:rPr>
          <w:lang w:bidi="ru-RU"/>
        </w:rPr>
        <w:t>Программа заседаний на 2016</w:t>
      </w:r>
      <w:r w:rsidR="001841AF" w:rsidRPr="001841AF">
        <w:rPr>
          <w:lang w:bidi="ru-RU"/>
        </w:rPr>
        <w:t>–</w:t>
      </w:r>
      <w:r w:rsidRPr="0020017B">
        <w:rPr>
          <w:lang w:bidi="ru-RU"/>
        </w:rPr>
        <w:t>2017 годы</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rPr>
          <w:i/>
        </w:rPr>
        <w:t>Документ</w:t>
      </w:r>
      <w:r w:rsidRPr="0020017B">
        <w:t>:</w:t>
      </w:r>
      <w:r w:rsidRPr="0020017B">
        <w:tab/>
      </w:r>
      <w:r w:rsidRPr="0020017B">
        <w:rPr>
          <w:lang w:val="en-US"/>
        </w:rPr>
        <w:t>ECE</w:t>
      </w:r>
      <w:r w:rsidRPr="0020017B">
        <w:t>/</w:t>
      </w:r>
      <w:r w:rsidRPr="0020017B">
        <w:rPr>
          <w:lang w:val="en-US"/>
        </w:rPr>
        <w:t>TRANS</w:t>
      </w:r>
      <w:r w:rsidRPr="0020017B">
        <w:t>/</w:t>
      </w:r>
      <w:r w:rsidRPr="0020017B">
        <w:rPr>
          <w:lang w:val="en-US"/>
        </w:rPr>
        <w:t>WP</w:t>
      </w:r>
      <w:r w:rsidRPr="0020017B">
        <w:t xml:space="preserve">.15/2013/6 </w:t>
      </w:r>
    </w:p>
    <w:p w:rsidR="0020017B" w:rsidRPr="0020017B" w:rsidRDefault="0020017B" w:rsidP="0020017B">
      <w:pPr>
        <w:pStyle w:val="SingleTxt"/>
      </w:pPr>
      <w:r w:rsidRPr="0020017B">
        <w:t>37.</w:t>
      </w:r>
      <w:r w:rsidRPr="0020017B">
        <w:tab/>
        <w:t xml:space="preserve">Рабочая группа отметила, что с учетом числа подлежащих обсуждению документов количество дней для заседаний в рамках девяносто шестой, девяносто седьмой и девяносто восьмой сессий было сокращено. </w:t>
      </w:r>
    </w:p>
    <w:p w:rsidR="0020017B" w:rsidRPr="0020017B" w:rsidRDefault="0020017B" w:rsidP="0020017B">
      <w:pPr>
        <w:pStyle w:val="SingleTxt"/>
      </w:pPr>
      <w:r w:rsidRPr="0020017B">
        <w:t>38.</w:t>
      </w:r>
      <w:r w:rsidRPr="0020017B">
        <w:tab/>
        <w:t xml:space="preserve">Большинство делегаций, представители которых выступили по этому вопросу, сочли необходимым в течение следующего двухгодичного периода сохранить частотность заседаний. Кроме того, они сочли возможным уменьшить продолжительность сессий в ноябре 2016 года и в мае 2017 года. Количество дней, запланированных для сессий в мае 2016 года и в ноябре 2017 года, должно быть сохранено. Сессия в мае 2016 года </w:t>
      </w:r>
      <w:r w:rsidR="001841AF" w:rsidRPr="001841AF">
        <w:t>–</w:t>
      </w:r>
      <w:r w:rsidRPr="0020017B">
        <w:t xml:space="preserve"> это та сессия, в ходе которой, в случае необходимости, еще можно будет принять исправления к перечню поправок до их вступления в силу 1 января 2017 года. Сессия, которая состоится в ноябре 2017</w:t>
      </w:r>
      <w:r w:rsidR="001841AF">
        <w:rPr>
          <w:lang w:val="en-US"/>
        </w:rPr>
        <w:t> </w:t>
      </w:r>
      <w:r w:rsidRPr="0020017B">
        <w:t>года, является последней сессией, на которой теоретически могут быть приняты поправки, вступающие в силу 1 января 2019 года.</w:t>
      </w:r>
    </w:p>
    <w:p w:rsidR="0020017B" w:rsidRPr="0020017B" w:rsidRDefault="0020017B" w:rsidP="0020017B">
      <w:pPr>
        <w:pStyle w:val="SingleTxt"/>
      </w:pPr>
      <w:r w:rsidRPr="0020017B">
        <w:t>39.</w:t>
      </w:r>
      <w:r w:rsidRPr="0020017B">
        <w:tab/>
        <w:t xml:space="preserve">Рабочая группа согласилась сократить время, выделяемое на ее сессии в ноябре 2016 года и в мае 2017 года, до 8 заседаний продолжительностью полдня для каждой сессии вместо предусмотренных 10 заседаний такой продолжительности. </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B766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rPr>
          <w:lang w:val="en-US"/>
        </w:rPr>
        <w:t>IX</w:t>
      </w:r>
      <w:r w:rsidRPr="0020017B">
        <w:t>.</w:t>
      </w:r>
      <w:r w:rsidRPr="0020017B">
        <w:tab/>
        <w:t>Прочие вопросы (пункт 8 повестки дня)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t>А.</w:t>
      </w:r>
      <w:r w:rsidR="00B76682">
        <w:rPr>
          <w:lang w:bidi="ru-RU"/>
        </w:rPr>
        <w:tab/>
      </w:r>
      <w:r w:rsidRPr="0020017B">
        <w:rPr>
          <w:lang w:bidi="ru-RU"/>
        </w:rPr>
        <w:t>Доклад неофициальной рабочей группы по</w:t>
      </w:r>
      <w:r w:rsidR="00704EB4">
        <w:rPr>
          <w:lang w:bidi="ru-RU"/>
        </w:rPr>
        <w:t> </w:t>
      </w:r>
      <w:r w:rsidRPr="0020017B">
        <w:rPr>
          <w:lang w:bidi="ru-RU"/>
        </w:rPr>
        <w:t xml:space="preserve">электрооборудованию транспортных средств, </w:t>
      </w:r>
      <w:r w:rsidR="00704EB4">
        <w:rPr>
          <w:lang w:bidi="ru-RU"/>
        </w:rPr>
        <w:br/>
      </w:r>
      <w:r w:rsidRPr="0020017B">
        <w:rPr>
          <w:lang w:bidi="ru-RU"/>
        </w:rPr>
        <w:t xml:space="preserve">перевозящих опасные грузы </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1841AF">
        <w:rPr>
          <w:i/>
        </w:rPr>
        <w:lastRenderedPageBreak/>
        <w:t>Неофициальный документ</w:t>
      </w:r>
      <w:r w:rsidRPr="0020017B">
        <w:t>:</w:t>
      </w:r>
      <w:r w:rsidRPr="0020017B">
        <w:tab/>
      </w:r>
      <w:r w:rsidRPr="0020017B">
        <w:rPr>
          <w:lang w:val="en-US"/>
        </w:rPr>
        <w:t>INF</w:t>
      </w:r>
      <w:r w:rsidRPr="0020017B">
        <w:t>.5 (Нидерланды)</w:t>
      </w:r>
    </w:p>
    <w:p w:rsidR="0020017B" w:rsidRPr="0020017B" w:rsidRDefault="0020017B" w:rsidP="0020017B">
      <w:pPr>
        <w:pStyle w:val="SingleTxt"/>
      </w:pPr>
      <w:r w:rsidRPr="0020017B">
        <w:t>40.</w:t>
      </w:r>
      <w:r w:rsidRPr="0020017B">
        <w:tab/>
        <w:t xml:space="preserve">Рабочая группа с интересом восприняла доклад неофициальной рабочей группы по электрооборудованию транспортных средств и поблагодарила представителя Нидерландов и других членов этой неофициальной рабочей группы за проделанную работу. </w:t>
      </w:r>
    </w:p>
    <w:p w:rsidR="0020017B" w:rsidRPr="0020017B" w:rsidRDefault="001841AF" w:rsidP="0020017B">
      <w:pPr>
        <w:pStyle w:val="SingleTxt"/>
      </w:pPr>
      <w:r>
        <w:t>41.</w:t>
      </w:r>
      <w:r w:rsidR="0020017B" w:rsidRPr="0020017B">
        <w:tab/>
        <w:t>Рабочая группа отметила, что следующее заседание неофициальной рабочей группы состоится 2 и 3</w:t>
      </w:r>
      <w:r w:rsidR="0020017B" w:rsidRPr="0020017B">
        <w:rPr>
          <w:lang w:val="en-US"/>
        </w:rPr>
        <w:t> </w:t>
      </w:r>
      <w:r w:rsidR="0020017B" w:rsidRPr="0020017B">
        <w:t>июня 2015 года.</w:t>
      </w:r>
    </w:p>
    <w:p w:rsidR="0020017B" w:rsidRPr="0020017B" w:rsidRDefault="001841AF" w:rsidP="0020017B">
      <w:pPr>
        <w:pStyle w:val="SingleTxt"/>
      </w:pPr>
      <w:r>
        <w:t>42.</w:t>
      </w:r>
      <w:r w:rsidR="0020017B" w:rsidRPr="0020017B">
        <w:tab/>
        <w:t xml:space="preserve">Представитель Нидерландов отметил замечания, сформулированные в ходе сессии по проекту предлагаемых поправок, изложенных в приложении к докладу. Тем делегациям, которые пожелают это сделать, было предложено направить неофициальной рабочей группе дополнительные замечания через представителя Нидерландов, по возможности до </w:t>
      </w:r>
      <w:r w:rsidR="000807C3">
        <w:t>1</w:t>
      </w:r>
      <w:r w:rsidR="0020017B" w:rsidRPr="0020017B">
        <w:t xml:space="preserve">5 мая 2015 года. </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C6BC2">
        <w:rPr>
          <w:lang w:bidi="ru-RU"/>
        </w:rPr>
        <w:t>B</w:t>
      </w:r>
      <w:r w:rsidRPr="0020017B">
        <w:rPr>
          <w:lang w:bidi="ru-RU"/>
        </w:rPr>
        <w:t>.</w:t>
      </w:r>
      <w:r w:rsidR="00B76682">
        <w:rPr>
          <w:lang w:bidi="ru-RU"/>
        </w:rPr>
        <w:tab/>
      </w:r>
      <w:r w:rsidRPr="0020017B">
        <w:rPr>
          <w:lang w:bidi="ru-RU"/>
        </w:rPr>
        <w:t>Ограничения на движение транспортных средств в Каталонии</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1841AF">
        <w:rPr>
          <w:i/>
        </w:rPr>
        <w:t>Неофициальный документ</w:t>
      </w:r>
      <w:r w:rsidRPr="0020017B">
        <w:t>:</w:t>
      </w:r>
      <w:r w:rsidRPr="0020017B">
        <w:tab/>
      </w:r>
      <w:r w:rsidRPr="0020017B">
        <w:rPr>
          <w:lang w:val="en-US"/>
        </w:rPr>
        <w:t>INF</w:t>
      </w:r>
      <w:r w:rsidRPr="0020017B">
        <w:t>.6 (Испания)</w:t>
      </w:r>
    </w:p>
    <w:p w:rsidR="0020017B" w:rsidRPr="0020017B" w:rsidRDefault="0020017B" w:rsidP="0020017B">
      <w:pPr>
        <w:pStyle w:val="SingleTxt"/>
      </w:pPr>
      <w:r w:rsidRPr="0020017B">
        <w:t>43.</w:t>
      </w:r>
      <w:r w:rsidRPr="0020017B">
        <w:tab/>
        <w:t>Рабочая группа приняла к сведению информацию, препровожденную представителем Испании относительно требования использовать устройство расчета маршрута, предоставляемое каталонской транзитной службой, для определения обязательных маршрутов для движения транспортных средств, перевозящих опасные грузы в Каталонии, в тех случаях, когда перевозка начинается или заканчивается в Каталонии. Несколько делегаций обратились с просьбой разместить эту информацию и ссылку на приложение, позволяющее использовать такое устройство, на веб-сайте ЕЭК ООН.</w:t>
      </w:r>
    </w:p>
    <w:p w:rsidR="0020017B" w:rsidRPr="0020017B" w:rsidRDefault="0020017B" w:rsidP="0020017B">
      <w:pPr>
        <w:pStyle w:val="SingleTxt"/>
      </w:pPr>
      <w:r w:rsidRPr="0020017B">
        <w:t>44.</w:t>
      </w:r>
      <w:r w:rsidRPr="0020017B">
        <w:tab/>
        <w:t xml:space="preserve">Представитель Испании отметил связанную с этим обеспокоенность, высказанную некоторыми делегациями, которую он собирается довести до сведения соответствующего органа. </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B766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rPr>
          <w:lang w:val="en-US"/>
        </w:rPr>
        <w:t>X</w:t>
      </w:r>
      <w:r w:rsidRPr="0020017B">
        <w:t>.</w:t>
      </w:r>
      <w:r w:rsidR="00B76682">
        <w:tab/>
      </w:r>
      <w:r w:rsidRPr="0020017B">
        <w:t>Утверждение доклада (пункт 9 повестки дня)</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rPr>
          <w:b/>
        </w:rPr>
      </w:pPr>
      <w:r w:rsidRPr="0020017B">
        <w:t>45.</w:t>
      </w:r>
      <w:r w:rsidRPr="0020017B">
        <w:tab/>
        <w:t>Рабочая группа утвердила доклад о работе своей девяносто восьмой сессии и приложения к нему на основе проекта, подготовленного секретариатом.</w:t>
      </w:r>
    </w:p>
    <w:p w:rsidR="0020017B" w:rsidRPr="0020017B" w:rsidRDefault="0020017B" w:rsidP="00B766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br w:type="page"/>
      </w:r>
      <w:r w:rsidRPr="0020017B">
        <w:lastRenderedPageBreak/>
        <w:t xml:space="preserve">Приложение </w:t>
      </w:r>
      <w:r w:rsidRPr="0020017B">
        <w:rPr>
          <w:lang w:val="en-US"/>
        </w:rPr>
        <w:t>I</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B766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017B">
        <w:tab/>
      </w:r>
      <w:r w:rsidRPr="0020017B">
        <w:tab/>
        <w:t>Проекты поправок к приложениям А и В к ДОПОГ для</w:t>
      </w:r>
      <w:r w:rsidR="001841AF">
        <w:rPr>
          <w:lang w:val="en-US"/>
        </w:rPr>
        <w:t> </w:t>
      </w:r>
      <w:r w:rsidRPr="0020017B">
        <w:t>вступления в силу 1</w:t>
      </w:r>
      <w:r w:rsidR="00704EB4">
        <w:t xml:space="preserve"> </w:t>
      </w:r>
      <w:r w:rsidRPr="0020017B">
        <w:t>января 2017 года</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0017B">
        <w:rPr>
          <w:lang w:bidi="ru-RU"/>
        </w:rPr>
        <w:tab/>
        <w:t>Глава 1.4</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t xml:space="preserve">1.4.2.2.1 </w:t>
      </w:r>
      <w:r w:rsidRPr="0020017B">
        <w:rPr>
          <w:lang w:val="en-US"/>
        </w:rPr>
        <w:t>g</w:t>
      </w:r>
      <w:r w:rsidRPr="0020017B">
        <w:t>)</w:t>
      </w:r>
      <w:r w:rsidRPr="0020017B">
        <w:tab/>
        <w:t>Изменить следующим образом:</w:t>
      </w:r>
    </w:p>
    <w:p w:rsidR="0020017B" w:rsidRPr="0020017B" w:rsidRDefault="00704EB4" w:rsidP="0020017B">
      <w:pPr>
        <w:pStyle w:val="SingleTxt"/>
      </w:pPr>
      <w:r>
        <w:t>«</w:t>
      </w:r>
      <w:r w:rsidR="0020017B" w:rsidRPr="0020017B">
        <w:rPr>
          <w:lang w:val="en-US"/>
        </w:rPr>
        <w:t>g</w:t>
      </w:r>
      <w:r w:rsidR="0020017B" w:rsidRPr="0020017B">
        <w:t>)</w:t>
      </w:r>
      <w:r w:rsidR="001841AF" w:rsidRPr="00704EB4">
        <w:tab/>
      </w:r>
      <w:r w:rsidR="0020017B" w:rsidRPr="0020017B">
        <w:t>если обеспечено, что оборудование, предписанное в ДОПОГ для транспортных средств, экипажа и некоторых классов, находится на борту транспортного средства</w:t>
      </w:r>
      <w:r>
        <w:t>»</w:t>
      </w:r>
      <w:r w:rsidR="0020017B" w:rsidRPr="0020017B">
        <w:t>.</w:t>
      </w:r>
    </w:p>
    <w:p w:rsidR="0020017B" w:rsidRPr="0020017B" w:rsidRDefault="0020017B" w:rsidP="0020017B">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.15/2015/1 с внесенными поправками)</w:t>
      </w:r>
    </w:p>
    <w:p w:rsidR="0020017B" w:rsidRPr="0020017B" w:rsidRDefault="0020017B" w:rsidP="0020017B">
      <w:pPr>
        <w:pStyle w:val="SingleTxt"/>
      </w:pPr>
      <w:r w:rsidRPr="0020017B">
        <w:t>1.4.2.2.6</w:t>
      </w:r>
      <w:r w:rsidR="001841AF" w:rsidRPr="00704EB4">
        <w:tab/>
      </w:r>
      <w:r w:rsidRPr="0020017B">
        <w:t>Включить новый абзац следующего содержания:</w:t>
      </w:r>
    </w:p>
    <w:p w:rsidR="0020017B" w:rsidRPr="0020017B" w:rsidRDefault="00704EB4" w:rsidP="0020017B">
      <w:pPr>
        <w:pStyle w:val="SingleTxt"/>
      </w:pPr>
      <w:r>
        <w:t>«</w:t>
      </w:r>
      <w:r w:rsidR="0020017B" w:rsidRPr="0020017B">
        <w:t>1.4.2.2.6</w:t>
      </w:r>
      <w:r w:rsidR="001841AF" w:rsidRPr="00704EB4">
        <w:tab/>
      </w:r>
      <w:r w:rsidR="0020017B" w:rsidRPr="0020017B">
        <w:t>Перевозчик должен передать письменные инструкции, предусмотренные в ДОПОГ, экипажу транспортного средства</w:t>
      </w:r>
      <w:r>
        <w:t>»</w:t>
      </w:r>
      <w:r w:rsidR="0020017B" w:rsidRPr="0020017B">
        <w:t>.</w:t>
      </w:r>
    </w:p>
    <w:p w:rsidR="0020017B" w:rsidRPr="0020017B" w:rsidRDefault="0020017B" w:rsidP="0020017B">
      <w:pPr>
        <w:pStyle w:val="SingleTxt"/>
        <w:rPr>
          <w:i/>
          <w:iCs/>
        </w:rPr>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.15/2015/1 с внесенными поправками)</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0017B">
        <w:rPr>
          <w:lang w:bidi="ru-RU"/>
        </w:rPr>
        <w:tab/>
        <w:t>Глава 1.9</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pPr>
      <w:r w:rsidRPr="0020017B">
        <w:t>1.9.5.2.2</w:t>
      </w:r>
      <w:r w:rsidRPr="0020017B">
        <w:tab/>
        <w:t xml:space="preserve">Для категории туннелей </w:t>
      </w:r>
      <w:r w:rsidRPr="0020017B">
        <w:rPr>
          <w:lang w:val="en-US"/>
        </w:rPr>
        <w:t>E</w:t>
      </w:r>
      <w:r w:rsidRPr="0020017B">
        <w:t xml:space="preserve"> изменить абзац перед примечанием следующим образом: </w:t>
      </w:r>
    </w:p>
    <w:p w:rsidR="0020017B" w:rsidRPr="0020017B" w:rsidRDefault="00704EB4" w:rsidP="0020017B">
      <w:pPr>
        <w:pStyle w:val="SingleTxt"/>
      </w:pPr>
      <w:r>
        <w:t>«</w:t>
      </w:r>
      <w:r w:rsidR="0020017B" w:rsidRPr="0020017B">
        <w:t>Ограничение на перевозку всех опасных грузов, кроме опасных грузов под №</w:t>
      </w:r>
      <w:r w:rsidR="0020017B" w:rsidRPr="0020017B">
        <w:rPr>
          <w:lang w:val="en-US"/>
        </w:rPr>
        <w:t> </w:t>
      </w:r>
      <w:r w:rsidR="0020017B" w:rsidRPr="0020017B">
        <w:t>ООН 2814 (первая позиция в таблице А в главе 3.2)</w:t>
      </w:r>
      <w:r w:rsidR="0020017B" w:rsidRPr="001841AF">
        <w:rPr>
          <w:color w:val="943634" w:themeColor="accent2" w:themeShade="BF"/>
          <w:vertAlign w:val="superscript"/>
        </w:rPr>
        <w:footnoteReference w:customMarkFollows="1" w:id="1"/>
        <w:t>3</w:t>
      </w:r>
      <w:r w:rsidR="0020017B" w:rsidRPr="0020017B">
        <w:t xml:space="preserve"> и №</w:t>
      </w:r>
      <w:r w:rsidR="0020017B" w:rsidRPr="0020017B">
        <w:rPr>
          <w:lang w:val="en-US"/>
        </w:rPr>
        <w:t> </w:t>
      </w:r>
      <w:r w:rsidR="0020017B" w:rsidRPr="0020017B">
        <w:t>ООН 2900 (первая позиция в таблице А в главе 3.2)</w:t>
      </w:r>
      <w:r w:rsidR="0020017B" w:rsidRPr="001841AF">
        <w:rPr>
          <w:color w:val="943634" w:themeColor="accent2" w:themeShade="BF"/>
          <w:vertAlign w:val="superscript"/>
        </w:rPr>
        <w:footnoteReference w:customMarkFollows="1" w:id="2"/>
        <w:t>4</w:t>
      </w:r>
      <w:r w:rsidR="0020017B" w:rsidRPr="0020017B">
        <w:t>, кроме позиций под номерами ООН 2919, 3077, 3082, 3291, 3331, 3359 и 3373 и кроме всех опасных грузов в соответствии с положениями главы 3.4, если их количества превышают 8 т общей массы брутто на транспортную единицу</w:t>
      </w:r>
      <w:r>
        <w:t>»</w:t>
      </w:r>
      <w:r w:rsidR="0020017B" w:rsidRPr="0020017B">
        <w:t>.</w:t>
      </w:r>
    </w:p>
    <w:p w:rsidR="0020017B" w:rsidRPr="0020017B" w:rsidRDefault="0020017B" w:rsidP="0020017B">
      <w:pPr>
        <w:pStyle w:val="SingleTxt"/>
        <w:rPr>
          <w:i/>
          <w:iCs/>
        </w:rPr>
      </w:pPr>
      <w:r w:rsidRPr="0020017B">
        <w:rPr>
          <w:i/>
        </w:rPr>
        <w:t xml:space="preserve">(Справочные документы: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 xml:space="preserve">.15/2015/2 и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.15/2015/5)</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0017B">
        <w:rPr>
          <w:lang w:bidi="ru-RU"/>
        </w:rPr>
        <w:tab/>
        <w:t>Глава 2.1</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rPr>
          <w:iCs/>
        </w:rPr>
      </w:pPr>
      <w:r w:rsidRPr="0020017B">
        <w:t>2.1.3.5.5, сноска 2</w:t>
      </w:r>
      <w:r w:rsidRPr="0020017B">
        <w:tab/>
        <w:t>Изменить следующим образом:</w:t>
      </w:r>
    </w:p>
    <w:p w:rsidR="0020017B" w:rsidRPr="0020017B" w:rsidRDefault="0020017B" w:rsidP="0020017B">
      <w:pPr>
        <w:pStyle w:val="SingleTxt"/>
        <w:rPr>
          <w:iCs/>
        </w:rPr>
      </w:pPr>
      <w:r w:rsidRPr="0020017B">
        <w:t xml:space="preserve">Исключить </w:t>
      </w:r>
      <w:r w:rsidR="00704EB4">
        <w:t>«</w:t>
      </w:r>
      <w:r w:rsidRPr="0020017B">
        <w:t>(заменена директивой 2006/12/</w:t>
      </w:r>
      <w:r w:rsidRPr="0020017B">
        <w:rPr>
          <w:lang w:val="en-US"/>
        </w:rPr>
        <w:t>EC</w:t>
      </w:r>
      <w:r w:rsidRPr="0020017B">
        <w:t xml:space="preserve"> Европейского парламента и Совета (</w:t>
      </w:r>
      <w:r w:rsidRPr="0020017B">
        <w:rPr>
          <w:lang w:val="en-US"/>
        </w:rPr>
        <w:t>Official</w:t>
      </w:r>
      <w:r w:rsidRPr="0020017B">
        <w:t xml:space="preserve"> </w:t>
      </w:r>
      <w:r w:rsidRPr="0020017B">
        <w:rPr>
          <w:lang w:val="en-US"/>
        </w:rPr>
        <w:t>Journal</w:t>
      </w:r>
      <w:r w:rsidRPr="0020017B">
        <w:t xml:space="preserve"> </w:t>
      </w:r>
      <w:r w:rsidRPr="0020017B">
        <w:rPr>
          <w:lang w:val="en-US"/>
        </w:rPr>
        <w:t>of</w:t>
      </w:r>
      <w:r w:rsidRPr="0020017B">
        <w:t xml:space="preserve"> </w:t>
      </w:r>
      <w:r w:rsidRPr="0020017B">
        <w:rPr>
          <w:lang w:val="en-US"/>
        </w:rPr>
        <w:t>the</w:t>
      </w:r>
      <w:r w:rsidRPr="0020017B">
        <w:t xml:space="preserve"> </w:t>
      </w:r>
      <w:r w:rsidRPr="0020017B">
        <w:rPr>
          <w:lang w:val="en-US"/>
        </w:rPr>
        <w:t>European</w:t>
      </w:r>
      <w:r w:rsidRPr="0020017B">
        <w:t xml:space="preserve"> </w:t>
      </w:r>
      <w:r w:rsidRPr="0020017B">
        <w:rPr>
          <w:lang w:val="en-US"/>
        </w:rPr>
        <w:t>Union</w:t>
      </w:r>
      <w:r w:rsidRPr="0020017B">
        <w:t xml:space="preserve"> </w:t>
      </w:r>
      <w:r w:rsidRPr="0020017B">
        <w:rPr>
          <w:lang w:val="en-US"/>
        </w:rPr>
        <w:t>No</w:t>
      </w:r>
      <w:r w:rsidRPr="0020017B">
        <w:t xml:space="preserve">. </w:t>
      </w:r>
      <w:r w:rsidRPr="0020017B">
        <w:rPr>
          <w:lang w:val="en-US"/>
        </w:rPr>
        <w:t>L</w:t>
      </w:r>
      <w:r w:rsidRPr="0020017B">
        <w:t xml:space="preserve"> 114 </w:t>
      </w:r>
      <w:r w:rsidRPr="0020017B">
        <w:rPr>
          <w:lang w:val="en-US"/>
        </w:rPr>
        <w:t>of</w:t>
      </w:r>
      <w:r w:rsidRPr="0020017B">
        <w:t xml:space="preserve"> 27 </w:t>
      </w:r>
      <w:r w:rsidRPr="0020017B">
        <w:rPr>
          <w:lang w:val="en-US"/>
        </w:rPr>
        <w:t>April</w:t>
      </w:r>
      <w:r w:rsidRPr="0020017B">
        <w:t xml:space="preserve"> 2006, </w:t>
      </w:r>
      <w:r w:rsidRPr="0020017B">
        <w:rPr>
          <w:lang w:val="en-US"/>
        </w:rPr>
        <w:t>page</w:t>
      </w:r>
      <w:r w:rsidRPr="0020017B">
        <w:t xml:space="preserve"> 9)</w:t>
      </w:r>
      <w:proofErr w:type="gramStart"/>
      <w:r w:rsidRPr="0020017B">
        <w:t>)</w:t>
      </w:r>
      <w:r w:rsidR="00704EB4">
        <w:t>»</w:t>
      </w:r>
      <w:proofErr w:type="gramEnd"/>
      <w:r w:rsidRPr="0020017B">
        <w:t>.</w:t>
      </w:r>
    </w:p>
    <w:p w:rsidR="0020017B" w:rsidRPr="0020017B" w:rsidRDefault="0020017B" w:rsidP="0020017B">
      <w:pPr>
        <w:pStyle w:val="SingleTxt"/>
        <w:rPr>
          <w:iCs/>
        </w:rPr>
      </w:pPr>
      <w:r w:rsidRPr="0020017B">
        <w:t xml:space="preserve">В конце включить: </w:t>
      </w:r>
      <w:r w:rsidR="00704EB4">
        <w:t>«</w:t>
      </w:r>
      <w:r w:rsidRPr="0020017B">
        <w:t>; и Директива 2008/98/</w:t>
      </w:r>
      <w:r w:rsidRPr="0020017B">
        <w:rPr>
          <w:lang w:val="en-US"/>
        </w:rPr>
        <w:t>EC</w:t>
      </w:r>
      <w:r w:rsidRPr="0020017B">
        <w:t xml:space="preserve"> Европейского парламента и Совета по отходам от 19 ноября 2008 года, отменяющая некоторые директивы (</w:t>
      </w:r>
      <w:r w:rsidRPr="0020017B">
        <w:rPr>
          <w:lang w:val="en-US"/>
        </w:rPr>
        <w:t>Official</w:t>
      </w:r>
      <w:r w:rsidRPr="0020017B">
        <w:t xml:space="preserve"> </w:t>
      </w:r>
      <w:r w:rsidRPr="0020017B">
        <w:rPr>
          <w:lang w:val="en-US"/>
        </w:rPr>
        <w:t>Journal</w:t>
      </w:r>
      <w:r w:rsidRPr="0020017B">
        <w:t xml:space="preserve"> </w:t>
      </w:r>
      <w:r w:rsidRPr="0020017B">
        <w:rPr>
          <w:lang w:val="en-US"/>
        </w:rPr>
        <w:t>of</w:t>
      </w:r>
      <w:r w:rsidRPr="0020017B">
        <w:t xml:space="preserve"> </w:t>
      </w:r>
      <w:r w:rsidRPr="0020017B">
        <w:rPr>
          <w:lang w:val="en-US"/>
        </w:rPr>
        <w:t>the</w:t>
      </w:r>
      <w:r w:rsidRPr="0020017B">
        <w:t xml:space="preserve"> </w:t>
      </w:r>
      <w:r w:rsidRPr="0020017B">
        <w:rPr>
          <w:lang w:val="en-US"/>
        </w:rPr>
        <w:t>European</w:t>
      </w:r>
      <w:r w:rsidRPr="0020017B">
        <w:t xml:space="preserve"> </w:t>
      </w:r>
      <w:r w:rsidRPr="0020017B">
        <w:rPr>
          <w:lang w:val="en-US"/>
        </w:rPr>
        <w:t>Union</w:t>
      </w:r>
      <w:r w:rsidRPr="0020017B">
        <w:t xml:space="preserve"> </w:t>
      </w:r>
      <w:r w:rsidRPr="0020017B">
        <w:rPr>
          <w:lang w:val="en-US"/>
        </w:rPr>
        <w:t>No</w:t>
      </w:r>
      <w:r w:rsidRPr="0020017B">
        <w:t xml:space="preserve">. </w:t>
      </w:r>
      <w:r w:rsidRPr="0020017B">
        <w:rPr>
          <w:lang w:val="en-US"/>
        </w:rPr>
        <w:t>L</w:t>
      </w:r>
      <w:r w:rsidRPr="0020017B">
        <w:t xml:space="preserve">312 </w:t>
      </w:r>
      <w:r w:rsidRPr="0020017B">
        <w:rPr>
          <w:lang w:val="en-US"/>
        </w:rPr>
        <w:t>of</w:t>
      </w:r>
      <w:r w:rsidRPr="0020017B">
        <w:t xml:space="preserve"> 22 </w:t>
      </w:r>
      <w:r w:rsidRPr="0020017B">
        <w:rPr>
          <w:lang w:val="en-US"/>
        </w:rPr>
        <w:t>November</w:t>
      </w:r>
      <w:r w:rsidRPr="0020017B">
        <w:t xml:space="preserve"> 2008, </w:t>
      </w:r>
      <w:r w:rsidRPr="0020017B">
        <w:rPr>
          <w:lang w:val="en-US"/>
        </w:rPr>
        <w:t>pages</w:t>
      </w:r>
      <w:r w:rsidRPr="0020017B">
        <w:t xml:space="preserve"> 3-30</w:t>
      </w:r>
      <w:proofErr w:type="gramStart"/>
      <w:r w:rsidRPr="0020017B">
        <w:t>)</w:t>
      </w:r>
      <w:r w:rsidR="00704EB4">
        <w:t>»</w:t>
      </w:r>
      <w:proofErr w:type="gramEnd"/>
      <w:r w:rsidRPr="0020017B">
        <w:t>.</w:t>
      </w:r>
    </w:p>
    <w:p w:rsidR="0020017B" w:rsidRPr="0020017B" w:rsidRDefault="0020017B" w:rsidP="0020017B">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20017B">
        <w:rPr>
          <w:i/>
          <w:lang w:val="en-US"/>
        </w:rPr>
        <w:t>AC</w:t>
      </w:r>
      <w:r w:rsidRPr="0020017B">
        <w:rPr>
          <w:i/>
        </w:rPr>
        <w:t xml:space="preserve">.1/136, приложение </w:t>
      </w:r>
      <w:r w:rsidRPr="0020017B">
        <w:rPr>
          <w:i/>
          <w:lang w:val="en-US"/>
        </w:rPr>
        <w:t>II</w:t>
      </w:r>
      <w:r w:rsidRPr="0020017B">
        <w:rPr>
          <w:i/>
        </w:rPr>
        <w:t>)</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1841AF">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lastRenderedPageBreak/>
        <w:tab/>
      </w:r>
      <w:r w:rsidRPr="0020017B">
        <w:rPr>
          <w:lang w:bidi="ru-RU"/>
        </w:rPr>
        <w:tab/>
        <w:t>Глава 3.2, таблица А</w:t>
      </w:r>
    </w:p>
    <w:p w:rsidR="0020017B" w:rsidRPr="0020017B" w:rsidRDefault="0020017B" w:rsidP="001841AF">
      <w:pPr>
        <w:pStyle w:val="SingleTxt"/>
        <w:keepNext/>
        <w:keepLines/>
        <w:spacing w:after="0" w:line="120" w:lineRule="exact"/>
        <w:rPr>
          <w:sz w:val="10"/>
        </w:rPr>
      </w:pPr>
    </w:p>
    <w:p w:rsidR="0020017B" w:rsidRPr="0020017B" w:rsidRDefault="0020017B" w:rsidP="001841AF">
      <w:pPr>
        <w:pStyle w:val="SingleTxt"/>
        <w:keepNext/>
        <w:keepLines/>
        <w:spacing w:after="0" w:line="120" w:lineRule="exact"/>
        <w:rPr>
          <w:sz w:val="10"/>
        </w:rPr>
      </w:pPr>
    </w:p>
    <w:p w:rsidR="0020017B" w:rsidRPr="0020017B" w:rsidRDefault="0020017B" w:rsidP="001841AF">
      <w:pPr>
        <w:pStyle w:val="SingleTxt"/>
        <w:keepNext/>
        <w:keepLines/>
      </w:pPr>
      <w:r w:rsidRPr="0020017B">
        <w:t xml:space="preserve">В позиции для № ООН 1845 заменить </w:t>
      </w:r>
      <w:r w:rsidR="00704EB4">
        <w:t>«</w:t>
      </w:r>
      <w:r w:rsidRPr="0020017B">
        <w:t xml:space="preserve">НЕ ПОДПАДАЕТ ПОД ДЕЙСТВИЕ ДОПОГ </w:t>
      </w:r>
      <w:r w:rsidR="00704EB4">
        <w:t>–</w:t>
      </w:r>
      <w:r w:rsidRPr="0020017B">
        <w:t xml:space="preserve"> Если используется в качестве хладагента, см. раздел</w:t>
      </w:r>
      <w:r w:rsidRPr="0020017B">
        <w:rPr>
          <w:lang w:val="en-US"/>
        </w:rPr>
        <w:t> </w:t>
      </w:r>
      <w:r w:rsidRPr="0020017B">
        <w:t>5.5.3</w:t>
      </w:r>
      <w:r w:rsidR="00704EB4">
        <w:t>»</w:t>
      </w:r>
      <w:r w:rsidRPr="0020017B">
        <w:t xml:space="preserve"> на </w:t>
      </w:r>
      <w:r w:rsidR="00704EB4">
        <w:t>«</w:t>
      </w:r>
      <w:r w:rsidRPr="0020017B">
        <w:t>НЕ</w:t>
      </w:r>
      <w:r w:rsidR="001841AF">
        <w:rPr>
          <w:lang w:val="en-US"/>
        </w:rPr>
        <w:t> </w:t>
      </w:r>
      <w:r w:rsidRPr="0020017B">
        <w:t>ПОДПАДАЕТ ПОД ДЕЙСТВИЕ ДОПОГ, за исключением положений раздела 5.5.3</w:t>
      </w:r>
      <w:r w:rsidR="00704EB4">
        <w:t>»</w:t>
      </w:r>
      <w:r w:rsidRPr="0020017B">
        <w:t>.</w:t>
      </w:r>
    </w:p>
    <w:p w:rsidR="0020017B" w:rsidRPr="0020017B" w:rsidRDefault="0020017B" w:rsidP="0020017B">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20017B">
        <w:rPr>
          <w:i/>
          <w:lang w:val="en-US"/>
        </w:rPr>
        <w:t>AC</w:t>
      </w:r>
      <w:r w:rsidRPr="0020017B">
        <w:rPr>
          <w:i/>
        </w:rPr>
        <w:t xml:space="preserve">.1/136, приложение </w:t>
      </w:r>
      <w:r w:rsidRPr="0020017B">
        <w:rPr>
          <w:i/>
          <w:lang w:val="en-US"/>
        </w:rPr>
        <w:t>II</w:t>
      </w:r>
      <w:r w:rsidRPr="0020017B">
        <w:rPr>
          <w:i/>
        </w:rPr>
        <w:t>)</w:t>
      </w:r>
    </w:p>
    <w:p w:rsidR="0020017B" w:rsidRPr="0020017B" w:rsidRDefault="0020017B" w:rsidP="0020017B">
      <w:pPr>
        <w:pStyle w:val="SingleTxt"/>
      </w:pPr>
      <w:r w:rsidRPr="0020017B">
        <w:t xml:space="preserve">Для № ООН 2814 (первая позиция), 2900 (первая позиция), 3077 и 3082: В колонке 15 заменить </w:t>
      </w:r>
      <w:r w:rsidR="00704EB4">
        <w:t>«</w:t>
      </w:r>
      <w:r w:rsidRPr="0020017B">
        <w:t>(</w:t>
      </w:r>
      <w:r w:rsidRPr="0020017B">
        <w:rPr>
          <w:lang w:val="en-US"/>
        </w:rPr>
        <w:t>E</w:t>
      </w:r>
      <w:r w:rsidRPr="0020017B">
        <w:t>)</w:t>
      </w:r>
      <w:r w:rsidR="00704EB4">
        <w:t>»</w:t>
      </w:r>
      <w:r w:rsidRPr="0020017B">
        <w:t xml:space="preserve"> на </w:t>
      </w:r>
      <w:r w:rsidR="00704EB4">
        <w:t>«</w:t>
      </w:r>
      <w:r w:rsidRPr="0020017B">
        <w:t>(-)</w:t>
      </w:r>
      <w:r w:rsidR="00704EB4">
        <w:t>»</w:t>
      </w:r>
      <w:r w:rsidRPr="0020017B">
        <w:t>.</w:t>
      </w:r>
    </w:p>
    <w:p w:rsidR="0020017B" w:rsidRPr="0020017B" w:rsidRDefault="0020017B" w:rsidP="0020017B">
      <w:pPr>
        <w:pStyle w:val="SingleTxt"/>
        <w:rPr>
          <w:i/>
          <w:iCs/>
        </w:rPr>
      </w:pPr>
      <w:r w:rsidRPr="0020017B">
        <w:rPr>
          <w:i/>
        </w:rPr>
        <w:t xml:space="preserve">(Справочные документы: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 xml:space="preserve">.15/2015/2 и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.15/2015/5)</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0017B">
        <w:rPr>
          <w:lang w:bidi="ru-RU"/>
        </w:rPr>
        <w:tab/>
        <w:t>Глава 3.3</w:t>
      </w:r>
    </w:p>
    <w:p w:rsidR="0020017B" w:rsidRPr="0020017B" w:rsidRDefault="0020017B" w:rsidP="0020017B">
      <w:pPr>
        <w:pStyle w:val="SingleTxt"/>
        <w:spacing w:after="0" w:line="120" w:lineRule="exact"/>
        <w:rPr>
          <w:sz w:val="10"/>
        </w:rPr>
      </w:pPr>
    </w:p>
    <w:p w:rsidR="0020017B" w:rsidRPr="0020017B" w:rsidRDefault="0020017B" w:rsidP="0020017B">
      <w:pPr>
        <w:pStyle w:val="SingleTxt"/>
        <w:spacing w:after="0" w:line="120" w:lineRule="exact"/>
        <w:rPr>
          <w:sz w:val="10"/>
        </w:rPr>
      </w:pPr>
    </w:p>
    <w:p w:rsidR="0020017B" w:rsidRPr="0020017B" w:rsidRDefault="0020017B" w:rsidP="0020017B">
      <w:pPr>
        <w:pStyle w:val="SingleTxt"/>
        <w:rPr>
          <w:iCs/>
        </w:rPr>
      </w:pPr>
      <w:r w:rsidRPr="0020017B">
        <w:t>СП 581</w:t>
      </w:r>
      <w:r w:rsidRPr="0020017B">
        <w:tab/>
        <w:t>Изменить следующим образом:</w:t>
      </w:r>
    </w:p>
    <w:p w:rsidR="0020017B" w:rsidRPr="0020017B" w:rsidRDefault="006C026C" w:rsidP="0020017B">
      <w:pPr>
        <w:pStyle w:val="SingleTxt"/>
      </w:pPr>
      <w:r>
        <w:t>«</w:t>
      </w:r>
      <w:r w:rsidR="0020017B" w:rsidRPr="0020017B">
        <w:t>581</w:t>
      </w:r>
      <w:r w:rsidR="0020017B" w:rsidRPr="0020017B">
        <w:tab/>
        <w:t>Данная позиция охватывает смеси пропадиена с 1−4% метилацетилена, а</w:t>
      </w:r>
      <w:r>
        <w:t> </w:t>
      </w:r>
      <w:r w:rsidR="0020017B" w:rsidRPr="0020017B">
        <w:t>также следующие смеси:</w:t>
      </w:r>
    </w:p>
    <w:p w:rsidR="002C6BC2" w:rsidRPr="0020017B" w:rsidRDefault="002C6BC2" w:rsidP="002C6BC2">
      <w:pPr>
        <w:pStyle w:val="SingleTxt"/>
        <w:spacing w:after="0" w:line="120" w:lineRule="exact"/>
        <w:rPr>
          <w:sz w:val="10"/>
        </w:rPr>
      </w:pPr>
    </w:p>
    <w:tbl>
      <w:tblPr>
        <w:tblW w:w="7506" w:type="dxa"/>
        <w:tblInd w:w="1287" w:type="dxa"/>
        <w:tblBorders>
          <w:top w:val="single" w:sz="4" w:space="0" w:color="auto"/>
          <w:bottom w:val="single" w:sz="12" w:space="0" w:color="auto"/>
        </w:tblBorders>
        <w:tblLayout w:type="fixed"/>
        <w:tblCellMar>
          <w:left w:w="0" w:type="dxa"/>
          <w:right w:w="0" w:type="dxa"/>
        </w:tblCellMar>
        <w:tblLook w:val="04A0"/>
      </w:tblPr>
      <w:tblGrid>
        <w:gridCol w:w="529"/>
        <w:gridCol w:w="1737"/>
        <w:gridCol w:w="1738"/>
        <w:gridCol w:w="1737"/>
        <w:gridCol w:w="1765"/>
      </w:tblGrid>
      <w:tr w:rsidR="002C6BC2" w:rsidTr="006C026C">
        <w:trPr>
          <w:tblHeader/>
        </w:trPr>
        <w:tc>
          <w:tcPr>
            <w:tcW w:w="529" w:type="dxa"/>
            <w:vMerge w:val="restart"/>
            <w:tcBorders>
              <w:top w:val="single" w:sz="4" w:space="0" w:color="auto"/>
              <w:left w:val="nil"/>
              <w:bottom w:val="single" w:sz="12" w:space="0" w:color="auto"/>
              <w:right w:val="nil"/>
            </w:tcBorders>
            <w:vAlign w:val="bottom"/>
            <w:hideMark/>
          </w:tcPr>
          <w:p w:rsidR="002C6BC2" w:rsidRDefault="002C6BC2" w:rsidP="006C026C">
            <w:pPr>
              <w:spacing w:before="80" w:after="80" w:line="160" w:lineRule="exact"/>
              <w:ind w:right="43"/>
              <w:rPr>
                <w:i/>
                <w:sz w:val="16"/>
                <w:lang w:bidi="ru-RU"/>
              </w:rPr>
            </w:pPr>
            <w:r>
              <w:rPr>
                <w:i/>
                <w:sz w:val="16"/>
              </w:rPr>
              <w:t>Смесь</w:t>
            </w:r>
          </w:p>
        </w:tc>
        <w:tc>
          <w:tcPr>
            <w:tcW w:w="5212" w:type="dxa"/>
            <w:gridSpan w:val="3"/>
            <w:tcBorders>
              <w:top w:val="single" w:sz="4" w:space="0" w:color="auto"/>
              <w:left w:val="nil"/>
              <w:bottom w:val="single" w:sz="12" w:space="0" w:color="auto"/>
              <w:right w:val="nil"/>
            </w:tcBorders>
            <w:vAlign w:val="bottom"/>
            <w:hideMark/>
          </w:tcPr>
          <w:p w:rsidR="002C6BC2" w:rsidRDefault="002C6BC2" w:rsidP="006C026C">
            <w:pPr>
              <w:spacing w:before="80" w:after="80" w:line="160" w:lineRule="exact"/>
              <w:ind w:right="43"/>
              <w:jc w:val="center"/>
              <w:rPr>
                <w:i/>
                <w:sz w:val="16"/>
                <w:szCs w:val="16"/>
                <w:lang w:bidi="ru-RU"/>
              </w:rPr>
            </w:pPr>
            <w:r>
              <w:rPr>
                <w:i/>
                <w:sz w:val="16"/>
              </w:rPr>
              <w:t>Содержание, % по объему</w:t>
            </w:r>
          </w:p>
        </w:tc>
        <w:tc>
          <w:tcPr>
            <w:tcW w:w="1765" w:type="dxa"/>
            <w:vMerge w:val="restart"/>
            <w:tcBorders>
              <w:top w:val="single" w:sz="4" w:space="0" w:color="auto"/>
              <w:left w:val="nil"/>
              <w:bottom w:val="single" w:sz="12" w:space="0" w:color="auto"/>
              <w:right w:val="nil"/>
            </w:tcBorders>
            <w:vAlign w:val="bottom"/>
            <w:hideMark/>
          </w:tcPr>
          <w:p w:rsidR="002C6BC2" w:rsidRDefault="002C6BC2" w:rsidP="004F3232">
            <w:pPr>
              <w:spacing w:before="80" w:after="80" w:line="160" w:lineRule="exact"/>
              <w:ind w:right="43"/>
              <w:jc w:val="right"/>
              <w:rPr>
                <w:i/>
                <w:sz w:val="16"/>
                <w:szCs w:val="16"/>
                <w:lang w:bidi="ru-RU"/>
              </w:rPr>
            </w:pPr>
            <w:r>
              <w:rPr>
                <w:i/>
                <w:sz w:val="16"/>
              </w:rPr>
              <w:t xml:space="preserve">Допускаемое </w:t>
            </w:r>
            <w:r w:rsidR="004F3232">
              <w:rPr>
                <w:i/>
                <w:sz w:val="16"/>
              </w:rPr>
              <w:br/>
            </w:r>
            <w:r>
              <w:rPr>
                <w:i/>
                <w:sz w:val="16"/>
              </w:rPr>
              <w:t xml:space="preserve">техническое </w:t>
            </w:r>
            <w:r w:rsidR="004F3232">
              <w:rPr>
                <w:i/>
                <w:sz w:val="16"/>
              </w:rPr>
              <w:br/>
            </w:r>
            <w:r>
              <w:rPr>
                <w:i/>
                <w:sz w:val="16"/>
              </w:rPr>
              <w:t xml:space="preserve">наименование </w:t>
            </w:r>
            <w:r w:rsidR="004F3232">
              <w:rPr>
                <w:i/>
                <w:sz w:val="16"/>
              </w:rPr>
              <w:br/>
            </w:r>
            <w:r>
              <w:rPr>
                <w:i/>
                <w:sz w:val="16"/>
              </w:rPr>
              <w:t>для</w:t>
            </w:r>
            <w:r w:rsidR="004F3232">
              <w:rPr>
                <w:i/>
                <w:sz w:val="16"/>
              </w:rPr>
              <w:t xml:space="preserve"> </w:t>
            </w:r>
            <w:r>
              <w:rPr>
                <w:i/>
                <w:sz w:val="16"/>
              </w:rPr>
              <w:t xml:space="preserve">целей </w:t>
            </w:r>
            <w:r w:rsidR="004F3232">
              <w:rPr>
                <w:i/>
                <w:sz w:val="16"/>
              </w:rPr>
              <w:br/>
            </w:r>
            <w:r>
              <w:rPr>
                <w:i/>
                <w:sz w:val="16"/>
              </w:rPr>
              <w:t>подраздела 5.4.1.1</w:t>
            </w:r>
          </w:p>
        </w:tc>
      </w:tr>
      <w:tr w:rsidR="002C6BC2" w:rsidTr="006C026C">
        <w:trPr>
          <w:tblHeader/>
        </w:trPr>
        <w:tc>
          <w:tcPr>
            <w:tcW w:w="529" w:type="dxa"/>
            <w:vMerge/>
            <w:tcBorders>
              <w:top w:val="single" w:sz="4" w:space="0" w:color="auto"/>
              <w:left w:val="nil"/>
              <w:bottom w:val="single" w:sz="12" w:space="0" w:color="auto"/>
              <w:right w:val="nil"/>
            </w:tcBorders>
            <w:vAlign w:val="center"/>
            <w:hideMark/>
          </w:tcPr>
          <w:p w:rsidR="002C6BC2" w:rsidRDefault="002C6BC2" w:rsidP="006C026C">
            <w:pPr>
              <w:spacing w:before="80" w:after="80" w:line="160" w:lineRule="exact"/>
              <w:ind w:right="43"/>
              <w:rPr>
                <w:i/>
                <w:sz w:val="16"/>
                <w:lang w:bidi="ru-RU"/>
              </w:rPr>
            </w:pPr>
          </w:p>
        </w:tc>
        <w:tc>
          <w:tcPr>
            <w:tcW w:w="1737" w:type="dxa"/>
            <w:tcBorders>
              <w:top w:val="single" w:sz="12" w:space="0" w:color="auto"/>
              <w:left w:val="nil"/>
              <w:bottom w:val="single" w:sz="12" w:space="0" w:color="auto"/>
              <w:right w:val="nil"/>
            </w:tcBorders>
            <w:vAlign w:val="bottom"/>
            <w:hideMark/>
          </w:tcPr>
          <w:p w:rsidR="002C6BC2" w:rsidRDefault="002C6BC2" w:rsidP="006C026C">
            <w:pPr>
              <w:spacing w:before="80" w:after="80" w:line="160" w:lineRule="exact"/>
              <w:ind w:right="43"/>
              <w:jc w:val="right"/>
              <w:rPr>
                <w:i/>
                <w:sz w:val="16"/>
                <w:szCs w:val="16"/>
                <w:lang w:bidi="ru-RU"/>
              </w:rPr>
            </w:pPr>
            <w:r>
              <w:rPr>
                <w:i/>
                <w:sz w:val="16"/>
              </w:rPr>
              <w:t xml:space="preserve">метилацетилена и пропадиена, не более </w:t>
            </w:r>
          </w:p>
        </w:tc>
        <w:tc>
          <w:tcPr>
            <w:tcW w:w="1738" w:type="dxa"/>
            <w:tcBorders>
              <w:top w:val="single" w:sz="12" w:space="0" w:color="auto"/>
              <w:left w:val="nil"/>
              <w:bottom w:val="single" w:sz="12" w:space="0" w:color="auto"/>
              <w:right w:val="nil"/>
            </w:tcBorders>
            <w:vAlign w:val="bottom"/>
            <w:hideMark/>
          </w:tcPr>
          <w:p w:rsidR="002C6BC2" w:rsidRDefault="002C6BC2" w:rsidP="006C026C">
            <w:pPr>
              <w:spacing w:before="80" w:after="80" w:line="160" w:lineRule="exact"/>
              <w:ind w:right="43"/>
              <w:jc w:val="right"/>
              <w:rPr>
                <w:i/>
                <w:sz w:val="16"/>
                <w:szCs w:val="16"/>
                <w:lang w:bidi="ru-RU"/>
              </w:rPr>
            </w:pPr>
            <w:r>
              <w:rPr>
                <w:i/>
                <w:sz w:val="16"/>
              </w:rPr>
              <w:t xml:space="preserve">пропана и пропилена, не более </w:t>
            </w:r>
          </w:p>
        </w:tc>
        <w:tc>
          <w:tcPr>
            <w:tcW w:w="1737" w:type="dxa"/>
            <w:tcBorders>
              <w:top w:val="single" w:sz="12" w:space="0" w:color="auto"/>
              <w:left w:val="nil"/>
              <w:bottom w:val="single" w:sz="12" w:space="0" w:color="auto"/>
              <w:right w:val="nil"/>
            </w:tcBorders>
            <w:vAlign w:val="bottom"/>
            <w:hideMark/>
          </w:tcPr>
          <w:p w:rsidR="002C6BC2" w:rsidRDefault="002C6BC2" w:rsidP="006C026C">
            <w:pPr>
              <w:spacing w:before="80" w:after="80" w:line="160" w:lineRule="exact"/>
              <w:ind w:right="43"/>
              <w:jc w:val="right"/>
              <w:rPr>
                <w:i/>
                <w:sz w:val="16"/>
                <w:szCs w:val="16"/>
                <w:lang w:bidi="ru-RU"/>
              </w:rPr>
            </w:pPr>
            <w:r>
              <w:rPr>
                <w:i/>
                <w:sz w:val="16"/>
              </w:rPr>
              <w:t>насыщенных углеводородов С</w:t>
            </w:r>
            <w:r>
              <w:rPr>
                <w:i/>
                <w:sz w:val="16"/>
                <w:vertAlign w:val="subscript"/>
              </w:rPr>
              <w:t>4</w:t>
            </w:r>
            <w:r>
              <w:rPr>
                <w:i/>
                <w:sz w:val="16"/>
              </w:rPr>
              <w:t>, не менее</w:t>
            </w:r>
          </w:p>
        </w:tc>
        <w:tc>
          <w:tcPr>
            <w:tcW w:w="1765" w:type="dxa"/>
            <w:vMerge/>
            <w:tcBorders>
              <w:top w:val="single" w:sz="4" w:space="0" w:color="auto"/>
              <w:left w:val="nil"/>
              <w:bottom w:val="single" w:sz="12" w:space="0" w:color="auto"/>
              <w:right w:val="nil"/>
            </w:tcBorders>
            <w:vAlign w:val="center"/>
            <w:hideMark/>
          </w:tcPr>
          <w:p w:rsidR="002C6BC2" w:rsidRDefault="002C6BC2" w:rsidP="006C026C">
            <w:pPr>
              <w:spacing w:before="80" w:after="80" w:line="160" w:lineRule="exact"/>
              <w:ind w:right="43"/>
              <w:rPr>
                <w:i/>
                <w:sz w:val="16"/>
                <w:szCs w:val="16"/>
                <w:lang w:bidi="ru-RU"/>
              </w:rPr>
            </w:pPr>
          </w:p>
        </w:tc>
      </w:tr>
      <w:tr w:rsidR="002C6BC2" w:rsidTr="006C026C">
        <w:tc>
          <w:tcPr>
            <w:tcW w:w="529" w:type="dxa"/>
            <w:tcBorders>
              <w:top w:val="single" w:sz="12" w:space="0" w:color="auto"/>
              <w:left w:val="nil"/>
              <w:bottom w:val="nil"/>
              <w:right w:val="nil"/>
            </w:tcBorders>
            <w:tcMar>
              <w:left w:w="43" w:type="dxa"/>
              <w:right w:w="43" w:type="dxa"/>
            </w:tcMar>
            <w:vAlign w:val="bottom"/>
            <w:hideMark/>
          </w:tcPr>
          <w:p w:rsidR="002C6BC2" w:rsidRDefault="002C6BC2" w:rsidP="006C026C">
            <w:pPr>
              <w:spacing w:before="40" w:after="80"/>
              <w:ind w:right="43"/>
              <w:rPr>
                <w:sz w:val="18"/>
                <w:lang w:bidi="ru-RU"/>
              </w:rPr>
            </w:pPr>
            <w:r>
              <w:rPr>
                <w:sz w:val="18"/>
              </w:rPr>
              <w:t>P1</w:t>
            </w:r>
          </w:p>
        </w:tc>
        <w:tc>
          <w:tcPr>
            <w:tcW w:w="1737" w:type="dxa"/>
            <w:tcBorders>
              <w:top w:val="single" w:sz="12" w:space="0" w:color="auto"/>
              <w:left w:val="nil"/>
              <w:bottom w:val="nil"/>
              <w:right w:val="nil"/>
            </w:tcBorders>
            <w:tcMar>
              <w:left w:w="43" w:type="dxa"/>
              <w:right w:w="43" w:type="dxa"/>
            </w:tcMar>
            <w:vAlign w:val="bottom"/>
            <w:hideMark/>
          </w:tcPr>
          <w:p w:rsidR="002C6BC2" w:rsidRDefault="002C6BC2" w:rsidP="006C026C">
            <w:pPr>
              <w:spacing w:before="40" w:after="80"/>
              <w:ind w:right="43"/>
              <w:jc w:val="right"/>
              <w:rPr>
                <w:sz w:val="18"/>
                <w:lang w:bidi="ru-RU"/>
              </w:rPr>
            </w:pPr>
            <w:r>
              <w:rPr>
                <w:sz w:val="18"/>
              </w:rPr>
              <w:t>63</w:t>
            </w:r>
          </w:p>
        </w:tc>
        <w:tc>
          <w:tcPr>
            <w:tcW w:w="1738" w:type="dxa"/>
            <w:tcBorders>
              <w:top w:val="single" w:sz="12" w:space="0" w:color="auto"/>
              <w:left w:val="nil"/>
              <w:bottom w:val="nil"/>
              <w:right w:val="nil"/>
            </w:tcBorders>
            <w:tcMar>
              <w:left w:w="43" w:type="dxa"/>
              <w:right w:w="43" w:type="dxa"/>
            </w:tcMar>
            <w:vAlign w:val="bottom"/>
            <w:hideMark/>
          </w:tcPr>
          <w:p w:rsidR="002C6BC2" w:rsidRDefault="002C6BC2" w:rsidP="006C026C">
            <w:pPr>
              <w:spacing w:before="40" w:after="80"/>
              <w:ind w:right="43"/>
              <w:jc w:val="right"/>
              <w:rPr>
                <w:sz w:val="18"/>
                <w:lang w:bidi="ru-RU"/>
              </w:rPr>
            </w:pPr>
            <w:r>
              <w:rPr>
                <w:sz w:val="18"/>
              </w:rPr>
              <w:t>24</w:t>
            </w:r>
          </w:p>
        </w:tc>
        <w:tc>
          <w:tcPr>
            <w:tcW w:w="1737" w:type="dxa"/>
            <w:tcBorders>
              <w:top w:val="single" w:sz="12" w:space="0" w:color="auto"/>
              <w:left w:val="nil"/>
              <w:bottom w:val="nil"/>
              <w:right w:val="nil"/>
            </w:tcBorders>
            <w:tcMar>
              <w:left w:w="43" w:type="dxa"/>
              <w:right w:w="43" w:type="dxa"/>
            </w:tcMar>
            <w:vAlign w:val="bottom"/>
            <w:hideMark/>
          </w:tcPr>
          <w:p w:rsidR="002C6BC2" w:rsidRDefault="002C6BC2" w:rsidP="006C026C">
            <w:pPr>
              <w:spacing w:before="40" w:after="80"/>
              <w:ind w:right="43"/>
              <w:jc w:val="right"/>
              <w:rPr>
                <w:sz w:val="18"/>
                <w:lang w:bidi="ru-RU"/>
              </w:rPr>
            </w:pPr>
            <w:r>
              <w:rPr>
                <w:sz w:val="18"/>
              </w:rPr>
              <w:t>14</w:t>
            </w:r>
          </w:p>
        </w:tc>
        <w:tc>
          <w:tcPr>
            <w:tcW w:w="1765" w:type="dxa"/>
            <w:tcBorders>
              <w:top w:val="single" w:sz="12" w:space="0" w:color="auto"/>
              <w:left w:val="nil"/>
              <w:bottom w:val="nil"/>
              <w:right w:val="nil"/>
            </w:tcBorders>
            <w:tcMar>
              <w:left w:w="43" w:type="dxa"/>
              <w:right w:w="43" w:type="dxa"/>
            </w:tcMar>
            <w:vAlign w:val="bottom"/>
            <w:hideMark/>
          </w:tcPr>
          <w:p w:rsidR="002C6BC2" w:rsidRDefault="00704EB4" w:rsidP="006C026C">
            <w:pPr>
              <w:spacing w:before="40" w:after="80"/>
              <w:ind w:right="43"/>
              <w:jc w:val="right"/>
              <w:rPr>
                <w:sz w:val="18"/>
                <w:lang w:bidi="ru-RU"/>
              </w:rPr>
            </w:pPr>
            <w:r>
              <w:rPr>
                <w:sz w:val="18"/>
              </w:rPr>
              <w:t>«</w:t>
            </w:r>
            <w:r w:rsidR="002C6BC2">
              <w:rPr>
                <w:sz w:val="18"/>
              </w:rPr>
              <w:t>Смесь Р1</w:t>
            </w:r>
            <w:r>
              <w:rPr>
                <w:sz w:val="18"/>
              </w:rPr>
              <w:t>»</w:t>
            </w:r>
          </w:p>
        </w:tc>
      </w:tr>
      <w:tr w:rsidR="002C6BC2" w:rsidTr="006C026C">
        <w:tc>
          <w:tcPr>
            <w:tcW w:w="529" w:type="dxa"/>
            <w:tcBorders>
              <w:top w:val="nil"/>
              <w:left w:val="nil"/>
              <w:bottom w:val="single" w:sz="12" w:space="0" w:color="auto"/>
              <w:right w:val="nil"/>
            </w:tcBorders>
            <w:tcMar>
              <w:left w:w="43" w:type="dxa"/>
              <w:right w:w="43" w:type="dxa"/>
            </w:tcMar>
            <w:vAlign w:val="bottom"/>
            <w:hideMark/>
          </w:tcPr>
          <w:p w:rsidR="002C6BC2" w:rsidRDefault="002C6BC2" w:rsidP="006C026C">
            <w:pPr>
              <w:spacing w:before="40" w:after="80"/>
              <w:ind w:right="43"/>
              <w:rPr>
                <w:sz w:val="18"/>
                <w:lang w:bidi="ru-RU"/>
              </w:rPr>
            </w:pPr>
            <w:r>
              <w:rPr>
                <w:sz w:val="18"/>
              </w:rPr>
              <w:t>P2</w:t>
            </w:r>
          </w:p>
        </w:tc>
        <w:tc>
          <w:tcPr>
            <w:tcW w:w="1737" w:type="dxa"/>
            <w:tcBorders>
              <w:top w:val="nil"/>
              <w:left w:val="nil"/>
              <w:bottom w:val="single" w:sz="12" w:space="0" w:color="auto"/>
              <w:right w:val="nil"/>
            </w:tcBorders>
            <w:tcMar>
              <w:left w:w="43" w:type="dxa"/>
              <w:right w:w="43" w:type="dxa"/>
            </w:tcMar>
            <w:vAlign w:val="bottom"/>
            <w:hideMark/>
          </w:tcPr>
          <w:p w:rsidR="002C6BC2" w:rsidRDefault="002C6BC2" w:rsidP="006C026C">
            <w:pPr>
              <w:spacing w:before="40" w:after="80"/>
              <w:ind w:right="43"/>
              <w:jc w:val="right"/>
              <w:rPr>
                <w:sz w:val="18"/>
                <w:lang w:bidi="ru-RU"/>
              </w:rPr>
            </w:pPr>
            <w:r>
              <w:rPr>
                <w:sz w:val="18"/>
              </w:rPr>
              <w:t>48</w:t>
            </w:r>
          </w:p>
        </w:tc>
        <w:tc>
          <w:tcPr>
            <w:tcW w:w="1738" w:type="dxa"/>
            <w:tcBorders>
              <w:top w:val="nil"/>
              <w:left w:val="nil"/>
              <w:bottom w:val="single" w:sz="12" w:space="0" w:color="auto"/>
              <w:right w:val="nil"/>
            </w:tcBorders>
            <w:tcMar>
              <w:left w:w="43" w:type="dxa"/>
              <w:right w:w="43" w:type="dxa"/>
            </w:tcMar>
            <w:vAlign w:val="bottom"/>
            <w:hideMark/>
          </w:tcPr>
          <w:p w:rsidR="002C6BC2" w:rsidRDefault="002C6BC2" w:rsidP="006C026C">
            <w:pPr>
              <w:spacing w:before="40" w:after="80"/>
              <w:ind w:right="43"/>
              <w:jc w:val="right"/>
              <w:rPr>
                <w:sz w:val="18"/>
                <w:lang w:bidi="ru-RU"/>
              </w:rPr>
            </w:pPr>
            <w:r>
              <w:rPr>
                <w:sz w:val="18"/>
              </w:rPr>
              <w:t>50</w:t>
            </w:r>
          </w:p>
        </w:tc>
        <w:tc>
          <w:tcPr>
            <w:tcW w:w="1737" w:type="dxa"/>
            <w:tcBorders>
              <w:top w:val="nil"/>
              <w:left w:val="nil"/>
              <w:bottom w:val="single" w:sz="12" w:space="0" w:color="auto"/>
              <w:right w:val="nil"/>
            </w:tcBorders>
            <w:tcMar>
              <w:left w:w="43" w:type="dxa"/>
              <w:right w:w="43" w:type="dxa"/>
            </w:tcMar>
            <w:vAlign w:val="bottom"/>
            <w:hideMark/>
          </w:tcPr>
          <w:p w:rsidR="002C6BC2" w:rsidRDefault="002C6BC2" w:rsidP="006C026C">
            <w:pPr>
              <w:spacing w:before="40" w:after="80"/>
              <w:ind w:right="43"/>
              <w:jc w:val="right"/>
              <w:rPr>
                <w:sz w:val="18"/>
                <w:lang w:bidi="ru-RU"/>
              </w:rPr>
            </w:pPr>
            <w:r>
              <w:rPr>
                <w:sz w:val="18"/>
              </w:rPr>
              <w:t>5</w:t>
            </w:r>
          </w:p>
        </w:tc>
        <w:tc>
          <w:tcPr>
            <w:tcW w:w="1765" w:type="dxa"/>
            <w:tcBorders>
              <w:top w:val="nil"/>
              <w:left w:val="nil"/>
              <w:bottom w:val="single" w:sz="12" w:space="0" w:color="auto"/>
              <w:right w:val="nil"/>
            </w:tcBorders>
            <w:tcMar>
              <w:left w:w="43" w:type="dxa"/>
              <w:right w:w="43" w:type="dxa"/>
            </w:tcMar>
            <w:vAlign w:val="bottom"/>
            <w:hideMark/>
          </w:tcPr>
          <w:p w:rsidR="002C6BC2" w:rsidRDefault="00704EB4" w:rsidP="006C026C">
            <w:pPr>
              <w:spacing w:before="40" w:after="80"/>
              <w:ind w:right="43"/>
              <w:jc w:val="right"/>
              <w:rPr>
                <w:sz w:val="18"/>
                <w:lang w:bidi="ru-RU"/>
              </w:rPr>
            </w:pPr>
            <w:r>
              <w:rPr>
                <w:sz w:val="18"/>
              </w:rPr>
              <w:t>«</w:t>
            </w:r>
            <w:r w:rsidR="002C6BC2">
              <w:rPr>
                <w:sz w:val="18"/>
              </w:rPr>
              <w:t>Смесь Р2</w:t>
            </w:r>
            <w:r>
              <w:rPr>
                <w:sz w:val="18"/>
              </w:rPr>
              <w:t>»</w:t>
            </w:r>
          </w:p>
        </w:tc>
      </w:tr>
    </w:tbl>
    <w:p w:rsidR="0020017B" w:rsidRPr="002C6BC2" w:rsidRDefault="006C026C" w:rsidP="002C6BC2">
      <w:pPr>
        <w:pStyle w:val="SingleTxt"/>
        <w:jc w:val="right"/>
      </w:pPr>
      <w:r>
        <w:t>»</w:t>
      </w:r>
    </w:p>
    <w:p w:rsidR="002C6BC2" w:rsidRPr="0020017B" w:rsidRDefault="002C6BC2" w:rsidP="002C6BC2">
      <w:pPr>
        <w:pStyle w:val="SingleTxt"/>
        <w:spacing w:after="0" w:line="120" w:lineRule="exact"/>
        <w:rPr>
          <w:sz w:val="10"/>
        </w:rPr>
      </w:pPr>
    </w:p>
    <w:p w:rsidR="002C6BC2" w:rsidRPr="002C6BC2" w:rsidRDefault="002C6BC2" w:rsidP="002C6BC2">
      <w:pPr>
        <w:pStyle w:val="SingleTxt"/>
        <w:rPr>
          <w:iCs/>
        </w:rPr>
      </w:pPr>
      <w:r w:rsidRPr="002C6BC2">
        <w:rPr>
          <w:i/>
        </w:rPr>
        <w:t xml:space="preserve">(Справочный документ: </w:t>
      </w:r>
      <w:r w:rsidRPr="002C6BC2">
        <w:rPr>
          <w:i/>
          <w:lang w:val="en-US"/>
        </w:rPr>
        <w:t>ECE</w:t>
      </w:r>
      <w:r w:rsidRPr="002C6BC2">
        <w:rPr>
          <w:i/>
        </w:rPr>
        <w:t>/</w:t>
      </w:r>
      <w:r w:rsidRPr="002C6BC2">
        <w:rPr>
          <w:i/>
          <w:lang w:val="en-US"/>
        </w:rPr>
        <w:t>TRANS</w:t>
      </w:r>
      <w:r w:rsidRPr="002C6BC2">
        <w:rPr>
          <w:i/>
        </w:rPr>
        <w:t>/</w:t>
      </w:r>
      <w:r w:rsidRPr="002C6BC2">
        <w:rPr>
          <w:i/>
          <w:lang w:val="en-US"/>
        </w:rPr>
        <w:t>WP</w:t>
      </w:r>
      <w:r w:rsidRPr="002C6BC2">
        <w:rPr>
          <w:i/>
        </w:rPr>
        <w:t>.15/</w:t>
      </w:r>
      <w:r w:rsidRPr="002C6BC2">
        <w:rPr>
          <w:i/>
          <w:lang w:val="en-US"/>
        </w:rPr>
        <w:t>AC</w:t>
      </w:r>
      <w:r w:rsidRPr="002C6BC2">
        <w:rPr>
          <w:i/>
        </w:rPr>
        <w:t xml:space="preserve">.1/136, приложение </w:t>
      </w:r>
      <w:r w:rsidRPr="002C6BC2">
        <w:rPr>
          <w:i/>
          <w:lang w:val="en-US"/>
        </w:rPr>
        <w:t>II</w:t>
      </w:r>
      <w:r w:rsidRPr="002C6BC2">
        <w:rPr>
          <w:i/>
        </w:rPr>
        <w:t>)</w:t>
      </w:r>
    </w:p>
    <w:p w:rsidR="002C6BC2" w:rsidRPr="002C6BC2" w:rsidRDefault="002C6BC2" w:rsidP="002C6BC2">
      <w:pPr>
        <w:pStyle w:val="SingleTxt"/>
        <w:rPr>
          <w:iCs/>
        </w:rPr>
      </w:pPr>
      <w:r w:rsidRPr="002C6BC2">
        <w:t xml:space="preserve">СП 658 </w:t>
      </w:r>
      <w:r w:rsidRPr="002C6BC2">
        <w:rPr>
          <w:lang w:val="en-US"/>
        </w:rPr>
        <w:t>b</w:t>
      </w:r>
      <w:r w:rsidRPr="002C6BC2">
        <w:t>)</w:t>
      </w:r>
      <w:r w:rsidRPr="002C6BC2">
        <w:tab/>
        <w:t xml:space="preserve">После слов </w:t>
      </w:r>
      <w:r w:rsidR="00704EB4">
        <w:t>«</w:t>
      </w:r>
      <w:r w:rsidRPr="002C6BC2">
        <w:t>в одном транспортном средстве</w:t>
      </w:r>
      <w:r w:rsidR="00704EB4">
        <w:t>»</w:t>
      </w:r>
      <w:r w:rsidRPr="002C6BC2">
        <w:t xml:space="preserve"> включить слова </w:t>
      </w:r>
      <w:r w:rsidR="00704EB4">
        <w:t>«</w:t>
      </w:r>
      <w:r w:rsidRPr="002C6BC2">
        <w:t>или</w:t>
      </w:r>
      <w:r w:rsidR="00E1523D">
        <w:t> </w:t>
      </w:r>
      <w:r w:rsidRPr="002C6BC2">
        <w:t>большом контейнере</w:t>
      </w:r>
      <w:r w:rsidR="00704EB4">
        <w:t>»</w:t>
      </w:r>
      <w:r w:rsidRPr="002C6BC2">
        <w:t>.</w:t>
      </w:r>
    </w:p>
    <w:p w:rsidR="002C6BC2" w:rsidRPr="002C6BC2" w:rsidRDefault="002C6BC2" w:rsidP="002C6BC2">
      <w:pPr>
        <w:pStyle w:val="SingleTxt"/>
        <w:rPr>
          <w:i/>
          <w:iCs/>
          <w:lang w:bidi="ru-RU"/>
        </w:rPr>
      </w:pPr>
      <w:r w:rsidRPr="002C6BC2">
        <w:rPr>
          <w:i/>
          <w:lang w:bidi="ru-RU"/>
        </w:rPr>
        <w:t xml:space="preserve">(Справочный документ: </w:t>
      </w:r>
      <w:r w:rsidRPr="002C6BC2">
        <w:rPr>
          <w:i/>
          <w:lang w:val="en-US" w:bidi="ru-RU"/>
        </w:rPr>
        <w:t>ECE</w:t>
      </w:r>
      <w:r w:rsidRPr="002C6BC2">
        <w:rPr>
          <w:i/>
          <w:lang w:bidi="ru-RU"/>
        </w:rPr>
        <w:t>/</w:t>
      </w:r>
      <w:r w:rsidRPr="002C6BC2">
        <w:rPr>
          <w:i/>
          <w:lang w:val="en-US" w:bidi="ru-RU"/>
        </w:rPr>
        <w:t>TRANS</w:t>
      </w:r>
      <w:r w:rsidRPr="002C6BC2">
        <w:rPr>
          <w:i/>
          <w:lang w:bidi="ru-RU"/>
        </w:rPr>
        <w:t>/</w:t>
      </w:r>
      <w:r w:rsidRPr="002C6BC2">
        <w:rPr>
          <w:i/>
          <w:lang w:val="en-US" w:bidi="ru-RU"/>
        </w:rPr>
        <w:t>WP</w:t>
      </w:r>
      <w:r w:rsidRPr="002C6BC2">
        <w:rPr>
          <w:i/>
          <w:lang w:bidi="ru-RU"/>
        </w:rPr>
        <w:t>.15/</w:t>
      </w:r>
      <w:r w:rsidRPr="002C6BC2">
        <w:rPr>
          <w:i/>
          <w:lang w:val="en-US" w:bidi="ru-RU"/>
        </w:rPr>
        <w:t>AC</w:t>
      </w:r>
      <w:r w:rsidRPr="002C6BC2">
        <w:rPr>
          <w:i/>
          <w:lang w:bidi="ru-RU"/>
        </w:rPr>
        <w:t xml:space="preserve">.1/136, приложение </w:t>
      </w:r>
      <w:r w:rsidRPr="002C6BC2">
        <w:rPr>
          <w:i/>
          <w:lang w:val="en-US" w:bidi="ru-RU"/>
        </w:rPr>
        <w:t>II</w:t>
      </w:r>
      <w:r w:rsidRPr="002C6BC2">
        <w:rPr>
          <w:i/>
          <w:lang w:bidi="ru-RU"/>
        </w:rPr>
        <w:t>)</w:t>
      </w:r>
    </w:p>
    <w:p w:rsidR="002C6BC2" w:rsidRPr="002C6BC2" w:rsidRDefault="002C6BC2" w:rsidP="002C6BC2">
      <w:pPr>
        <w:pStyle w:val="SingleTxt"/>
        <w:rPr>
          <w:lang w:bidi="ru-RU"/>
        </w:rPr>
      </w:pPr>
      <w:r w:rsidRPr="002C6BC2">
        <w:rPr>
          <w:lang w:bidi="ru-RU"/>
        </w:rPr>
        <w:t>СП 664</w:t>
      </w:r>
      <w:r w:rsidRPr="002C6BC2">
        <w:rPr>
          <w:lang w:bidi="ru-RU"/>
        </w:rPr>
        <w:tab/>
        <w:t xml:space="preserve">Изменить последнее предложение пункта </w:t>
      </w:r>
      <w:r w:rsidRPr="002C6BC2">
        <w:rPr>
          <w:lang w:val="en-US" w:bidi="ru-RU"/>
        </w:rPr>
        <w:t>a</w:t>
      </w:r>
      <w:r w:rsidRPr="002C6BC2">
        <w:rPr>
          <w:lang w:bidi="ru-RU"/>
        </w:rPr>
        <w:t xml:space="preserve">) </w:t>
      </w:r>
      <w:r w:rsidRPr="002C6BC2">
        <w:rPr>
          <w:lang w:val="en-US" w:bidi="ru-RU"/>
        </w:rPr>
        <w:t>ii</w:t>
      </w:r>
      <w:r w:rsidRPr="002C6BC2">
        <w:rPr>
          <w:lang w:bidi="ru-RU"/>
        </w:rPr>
        <w:t>) следующим образом:</w:t>
      </w:r>
    </w:p>
    <w:p w:rsidR="002C6BC2" w:rsidRPr="002C6BC2" w:rsidRDefault="00704EB4" w:rsidP="002C6BC2">
      <w:pPr>
        <w:pStyle w:val="SingleTxt"/>
      </w:pPr>
      <w:r>
        <w:t>«</w:t>
      </w:r>
      <w:r w:rsidR="002C6BC2" w:rsidRPr="002C6BC2">
        <w:t>Сварочные работы надлежит производить в соответствии с положениями первого абзаца пункта 6.8.2.1.23, за исключением того, что могут применяться другие соответствующие способы подтверждения качества сварки</w:t>
      </w:r>
      <w:r>
        <w:t>»</w:t>
      </w:r>
      <w:r w:rsidR="002C6BC2" w:rsidRPr="002C6BC2">
        <w:t>.</w:t>
      </w:r>
    </w:p>
    <w:p w:rsidR="002C6BC2" w:rsidRPr="002C6BC2" w:rsidRDefault="002C6BC2" w:rsidP="002C6BC2">
      <w:pPr>
        <w:pStyle w:val="SingleTxt"/>
        <w:rPr>
          <w:i/>
          <w:iCs/>
        </w:rPr>
      </w:pPr>
      <w:r w:rsidRPr="002C6BC2">
        <w:rPr>
          <w:i/>
        </w:rPr>
        <w:t xml:space="preserve">(Справочный документ: неофициальный документ </w:t>
      </w:r>
      <w:r w:rsidRPr="002C6BC2">
        <w:rPr>
          <w:i/>
          <w:lang w:val="en-US"/>
        </w:rPr>
        <w:t>INF</w:t>
      </w:r>
      <w:r w:rsidRPr="002C6BC2">
        <w:rPr>
          <w:i/>
        </w:rPr>
        <w:t>.13)</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C6BC2">
        <w:rPr>
          <w:lang w:bidi="ru-RU"/>
        </w:rPr>
        <w:tab/>
      </w:r>
      <w:r w:rsidRPr="002C6BC2">
        <w:rPr>
          <w:lang w:bidi="ru-RU"/>
        </w:rPr>
        <w:tab/>
        <w:t>Глава 5.5</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SingleTxt"/>
      </w:pPr>
      <w:r w:rsidRPr="002C6BC2">
        <w:t>5.5.3.1.1</w:t>
      </w:r>
      <w:r w:rsidRPr="002C6BC2">
        <w:tab/>
        <w:t>Изменить следующим образом:</w:t>
      </w:r>
    </w:p>
    <w:p w:rsidR="002C6BC2" w:rsidRPr="002C6BC2" w:rsidRDefault="00704EB4" w:rsidP="002C6BC2">
      <w:pPr>
        <w:pStyle w:val="SingleTxt"/>
      </w:pPr>
      <w:r>
        <w:t>«</w:t>
      </w:r>
      <w:r w:rsidR="002C6BC2" w:rsidRPr="002C6BC2">
        <w:t>5.5.3.1.1</w:t>
      </w:r>
      <w:r w:rsidR="002C6BC2" w:rsidRPr="002C6BC2">
        <w:tab/>
        <w:t>Настоящий раздел не применяется к веществам, которые могут использоваться для целей охлаждения или кондиционирования, когда они перевозятся в качестве опасных грузов, за исключением перевозки сухого льда (№</w:t>
      </w:r>
      <w:r w:rsidR="002C6BC2" w:rsidRPr="002C6BC2">
        <w:rPr>
          <w:lang w:val="en-US"/>
        </w:rPr>
        <w:t> </w:t>
      </w:r>
      <w:r w:rsidR="002C6BC2" w:rsidRPr="002C6BC2">
        <w:t>ООН</w:t>
      </w:r>
      <w:r w:rsidR="002C6BC2" w:rsidRPr="002C6BC2">
        <w:rPr>
          <w:lang w:val="en-US"/>
        </w:rPr>
        <w:t> </w:t>
      </w:r>
      <w:r w:rsidR="002C6BC2" w:rsidRPr="002C6BC2">
        <w:t>1845). Когда эти вещества перевозятся в качестве груза, они должны перевозиться под соответствующей позицией таблицы А главы 3.2 согласно соответствующим условиям перевозки.</w:t>
      </w:r>
    </w:p>
    <w:p w:rsidR="002C6BC2" w:rsidRPr="002C6BC2" w:rsidRDefault="002C6BC2" w:rsidP="002C6BC2">
      <w:pPr>
        <w:pStyle w:val="SingleTxt"/>
        <w:rPr>
          <w:iCs/>
        </w:rPr>
      </w:pPr>
      <w:r w:rsidRPr="002C6BC2">
        <w:t>В случае № ООН 1845 условия перевозки, указанные в настоящем разделе, за</w:t>
      </w:r>
      <w:r w:rsidRPr="002C6BC2">
        <w:rPr>
          <w:lang w:val="en-US"/>
        </w:rPr>
        <w:t> </w:t>
      </w:r>
      <w:r w:rsidRPr="002C6BC2">
        <w:t xml:space="preserve">исключением пункта 5.5.3.3.1, применяются ко всем видам перевозки в </w:t>
      </w:r>
      <w:r w:rsidRPr="002C6BC2">
        <w:lastRenderedPageBreak/>
        <w:t>качестве хладагента, кондиционирующего реагента или груза. В случае перевозки</w:t>
      </w:r>
      <w:r w:rsidRPr="002C6BC2">
        <w:rPr>
          <w:lang w:val="en-US"/>
        </w:rPr>
        <w:t> </w:t>
      </w:r>
      <w:r w:rsidRPr="002C6BC2">
        <w:t>№</w:t>
      </w:r>
      <w:r w:rsidRPr="002C6BC2">
        <w:rPr>
          <w:lang w:val="en-US"/>
        </w:rPr>
        <w:t> </w:t>
      </w:r>
      <w:r w:rsidRPr="002C6BC2">
        <w:t>ООН 1845 никакие другие положения ДОПОГ не применяются</w:t>
      </w:r>
      <w:r w:rsidR="00704EB4">
        <w:t>»</w:t>
      </w:r>
      <w:r w:rsidRPr="002C6BC2">
        <w:t>.</w:t>
      </w:r>
    </w:p>
    <w:p w:rsidR="002C6BC2" w:rsidRPr="002C6BC2" w:rsidRDefault="002C6BC2" w:rsidP="002C6BC2">
      <w:pPr>
        <w:pStyle w:val="SingleTxt"/>
        <w:rPr>
          <w:i/>
        </w:rPr>
      </w:pPr>
      <w:r w:rsidRPr="002C6BC2">
        <w:rPr>
          <w:i/>
        </w:rPr>
        <w:t xml:space="preserve">(Справочный документ: </w:t>
      </w:r>
      <w:r w:rsidRPr="002C6BC2">
        <w:rPr>
          <w:i/>
          <w:lang w:val="en-US"/>
        </w:rPr>
        <w:t>ECE</w:t>
      </w:r>
      <w:r w:rsidRPr="002C6BC2">
        <w:rPr>
          <w:i/>
        </w:rPr>
        <w:t>/</w:t>
      </w:r>
      <w:r w:rsidRPr="002C6BC2">
        <w:rPr>
          <w:i/>
          <w:lang w:val="en-US"/>
        </w:rPr>
        <w:t>TRANS</w:t>
      </w:r>
      <w:r w:rsidRPr="002C6BC2">
        <w:rPr>
          <w:i/>
        </w:rPr>
        <w:t>/</w:t>
      </w:r>
      <w:r w:rsidRPr="002C6BC2">
        <w:rPr>
          <w:i/>
          <w:lang w:val="en-US"/>
        </w:rPr>
        <w:t>WP</w:t>
      </w:r>
      <w:r w:rsidRPr="002C6BC2">
        <w:rPr>
          <w:i/>
        </w:rPr>
        <w:t>.15/</w:t>
      </w:r>
      <w:r w:rsidRPr="002C6BC2">
        <w:rPr>
          <w:i/>
          <w:lang w:val="en-US"/>
        </w:rPr>
        <w:t>AC</w:t>
      </w:r>
      <w:r w:rsidRPr="002C6BC2">
        <w:rPr>
          <w:i/>
        </w:rPr>
        <w:t xml:space="preserve">.1/136, приложение </w:t>
      </w:r>
      <w:r w:rsidRPr="002C6BC2">
        <w:rPr>
          <w:i/>
          <w:lang w:val="en-US"/>
        </w:rPr>
        <w:t>II</w:t>
      </w:r>
      <w:r w:rsidRPr="002C6BC2">
        <w:rPr>
          <w:i/>
        </w:rPr>
        <w:t>)</w:t>
      </w:r>
    </w:p>
    <w:p w:rsidR="002C6BC2" w:rsidRPr="002C6BC2" w:rsidRDefault="002C6BC2" w:rsidP="002C6BC2">
      <w:pPr>
        <w:pStyle w:val="SingleTxt"/>
      </w:pPr>
      <w:r w:rsidRPr="002C6BC2">
        <w:t>5.5.3.1.5</w:t>
      </w:r>
      <w:r w:rsidRPr="002C6BC2">
        <w:tab/>
        <w:t>Изменить конец следующим образом:</w:t>
      </w:r>
    </w:p>
    <w:p w:rsidR="002C6BC2" w:rsidRPr="002C6BC2" w:rsidRDefault="00704EB4" w:rsidP="002C6BC2">
      <w:pPr>
        <w:pStyle w:val="SingleTxt"/>
      </w:pPr>
      <w:r>
        <w:t>«</w:t>
      </w:r>
      <w:r w:rsidR="002C6BC2" w:rsidRPr="002C6BC2">
        <w:t>...продолжительности процесса перевозки, типов используемых средств удержания и предельных значений концентрации газа, указанных в примечании к пункту 5.5.3.3.3</w:t>
      </w:r>
      <w:r>
        <w:t>»</w:t>
      </w:r>
      <w:r w:rsidR="002C6BC2" w:rsidRPr="002C6BC2">
        <w:t>.</w:t>
      </w:r>
    </w:p>
    <w:p w:rsidR="002C6BC2" w:rsidRPr="002C6BC2" w:rsidRDefault="002C6BC2" w:rsidP="002C6BC2">
      <w:pPr>
        <w:pStyle w:val="SingleTxt"/>
        <w:rPr>
          <w:i/>
        </w:rPr>
      </w:pPr>
      <w:r w:rsidRPr="002C6BC2">
        <w:rPr>
          <w:i/>
        </w:rPr>
        <w:t xml:space="preserve">(Справочный документ: </w:t>
      </w:r>
      <w:r w:rsidRPr="002C6BC2">
        <w:rPr>
          <w:i/>
          <w:lang w:val="en-US"/>
        </w:rPr>
        <w:t>ECE</w:t>
      </w:r>
      <w:r w:rsidRPr="002C6BC2">
        <w:rPr>
          <w:i/>
        </w:rPr>
        <w:t>/</w:t>
      </w:r>
      <w:r w:rsidRPr="002C6BC2">
        <w:rPr>
          <w:i/>
          <w:lang w:val="en-US"/>
        </w:rPr>
        <w:t>TRANS</w:t>
      </w:r>
      <w:r w:rsidRPr="002C6BC2">
        <w:rPr>
          <w:i/>
        </w:rPr>
        <w:t>/</w:t>
      </w:r>
      <w:r w:rsidRPr="002C6BC2">
        <w:rPr>
          <w:i/>
          <w:lang w:val="en-US"/>
        </w:rPr>
        <w:t>WP</w:t>
      </w:r>
      <w:r w:rsidRPr="002C6BC2">
        <w:rPr>
          <w:i/>
        </w:rPr>
        <w:t>.15/</w:t>
      </w:r>
      <w:r w:rsidRPr="002C6BC2">
        <w:rPr>
          <w:i/>
          <w:lang w:val="en-US"/>
        </w:rPr>
        <w:t>AC</w:t>
      </w:r>
      <w:r w:rsidRPr="002C6BC2">
        <w:rPr>
          <w:i/>
        </w:rPr>
        <w:t xml:space="preserve">.1/136, приложение </w:t>
      </w:r>
      <w:r w:rsidRPr="002C6BC2">
        <w:rPr>
          <w:i/>
          <w:lang w:val="en-US"/>
        </w:rPr>
        <w:t>II</w:t>
      </w:r>
      <w:r w:rsidRPr="002C6BC2">
        <w:rPr>
          <w:i/>
        </w:rPr>
        <w:t>)</w:t>
      </w:r>
    </w:p>
    <w:p w:rsidR="002C6BC2" w:rsidRPr="002C6BC2" w:rsidRDefault="002C6BC2" w:rsidP="002C6BC2">
      <w:pPr>
        <w:pStyle w:val="SingleTxt"/>
      </w:pPr>
      <w:r w:rsidRPr="002C6BC2">
        <w:t>5.5.3.3.3</w:t>
      </w:r>
      <w:r w:rsidRPr="002C6BC2">
        <w:tab/>
        <w:t>Изменить следующим образом:</w:t>
      </w:r>
    </w:p>
    <w:p w:rsidR="002C6BC2" w:rsidRPr="002C6BC2" w:rsidRDefault="00704EB4" w:rsidP="002C6BC2">
      <w:pPr>
        <w:pStyle w:val="SingleTxt"/>
      </w:pPr>
      <w:r>
        <w:t>«</w:t>
      </w:r>
      <w:r w:rsidR="002C6BC2" w:rsidRPr="002C6BC2">
        <w:t>5.5.3.3.3</w:t>
      </w:r>
      <w:r w:rsidR="002C6BC2" w:rsidRPr="002C6BC2">
        <w:tab/>
        <w:t>Упаковки, содержащие хладагент или кондиционирующий реагент, должны перевозиться в хорошо вентилируемых транспортных средствах и контейнерах. В этом случае маркировка, предусмотренная в подразделе 5.5.3.6, не требуется.</w:t>
      </w:r>
    </w:p>
    <w:p w:rsidR="002C6BC2" w:rsidRPr="002C6BC2" w:rsidRDefault="002C6BC2" w:rsidP="002C6BC2">
      <w:pPr>
        <w:pStyle w:val="SingleTxt"/>
      </w:pPr>
      <w:r w:rsidRPr="002C6BC2">
        <w:t>Вентиляция не требуется, а маркировка, предусмотренная в подразделе 5.5.3.6, требуется, если:</w:t>
      </w:r>
    </w:p>
    <w:p w:rsidR="002C6BC2" w:rsidRPr="002C6BC2" w:rsidRDefault="002C6BC2" w:rsidP="00E1523D">
      <w:pPr>
        <w:pStyle w:val="Bullet2"/>
        <w:numPr>
          <w:ilvl w:val="0"/>
          <w:numId w:val="11"/>
        </w:numPr>
        <w:ind w:left="2232"/>
      </w:pPr>
      <w:r w:rsidRPr="002C6BC2">
        <w:t>исключен газообмен между грузовым отделением и кабиной водителя; или</w:t>
      </w:r>
    </w:p>
    <w:p w:rsidR="002C6BC2" w:rsidRPr="002C6BC2" w:rsidRDefault="002C6BC2" w:rsidP="00E1523D">
      <w:pPr>
        <w:pStyle w:val="Bullet2"/>
        <w:numPr>
          <w:ilvl w:val="0"/>
          <w:numId w:val="11"/>
        </w:numPr>
        <w:ind w:left="2232"/>
      </w:pPr>
      <w:r w:rsidRPr="002C6BC2">
        <w:t>речь идет о грузовом отделении в изотермических транспортных средствах, транспортных средствах-ледниках или транспортных средствах-рефрижераторах, определяемых, например, в Соглашении о международных перевозках скоропортящихся пищевых продуктов и о специальных транспортных средствах, предназначенных для этих перевозок</w:t>
      </w:r>
      <w:r w:rsidRPr="002C6BC2">
        <w:rPr>
          <w:lang w:val="en-US"/>
        </w:rPr>
        <w:t> </w:t>
      </w:r>
      <w:r w:rsidRPr="002C6BC2">
        <w:t>(СПС), в</w:t>
      </w:r>
      <w:r w:rsidR="00660C19">
        <w:t xml:space="preserve"> </w:t>
      </w:r>
      <w:r w:rsidRPr="002C6BC2">
        <w:t>случае которых это требование выполняется.</w:t>
      </w:r>
    </w:p>
    <w:p w:rsidR="002C6BC2" w:rsidRPr="002C6BC2" w:rsidRDefault="002C6BC2" w:rsidP="002C6BC2">
      <w:pPr>
        <w:pStyle w:val="SingleTxt"/>
        <w:rPr>
          <w:i/>
        </w:rPr>
      </w:pPr>
      <w:r w:rsidRPr="002C6BC2">
        <w:rPr>
          <w:b/>
          <w:i/>
        </w:rPr>
        <w:t>ПРИМЕЧАНИЕ:</w:t>
      </w:r>
      <w:r w:rsidRPr="002C6BC2">
        <w:rPr>
          <w:i/>
        </w:rPr>
        <w:t xml:space="preserve"> В данном контексте </w:t>
      </w:r>
      <w:r w:rsidR="00704EB4">
        <w:rPr>
          <w:i/>
        </w:rPr>
        <w:t>«</w:t>
      </w:r>
      <w:r w:rsidRPr="002C6BC2">
        <w:rPr>
          <w:i/>
        </w:rPr>
        <w:t>хорошо вентилируемые</w:t>
      </w:r>
      <w:r w:rsidR="00704EB4">
        <w:rPr>
          <w:i/>
        </w:rPr>
        <w:t>»</w:t>
      </w:r>
      <w:r w:rsidRPr="002C6BC2">
        <w:rPr>
          <w:i/>
        </w:rPr>
        <w:t xml:space="preserve"> означает, что имеется атмосфера, в которой концентрация диоксида углерода составляет менее 0,5% по объему, а концентрация кислорода превышает 19,5% по объему</w:t>
      </w:r>
      <w:r w:rsidR="00704EB4">
        <w:rPr>
          <w:i/>
        </w:rPr>
        <w:t>»</w:t>
      </w:r>
      <w:r w:rsidRPr="002C6BC2">
        <w:rPr>
          <w:i/>
        </w:rPr>
        <w:t>.</w:t>
      </w:r>
    </w:p>
    <w:p w:rsidR="002C6BC2" w:rsidRPr="002C6BC2" w:rsidRDefault="002C6BC2" w:rsidP="002C6BC2">
      <w:pPr>
        <w:pStyle w:val="SingleTxt"/>
        <w:rPr>
          <w:i/>
          <w:iCs/>
        </w:rPr>
      </w:pPr>
      <w:r w:rsidRPr="002C6BC2">
        <w:rPr>
          <w:i/>
        </w:rPr>
        <w:t xml:space="preserve">(Справочный документ: </w:t>
      </w:r>
      <w:r w:rsidRPr="002C6BC2">
        <w:rPr>
          <w:i/>
          <w:lang w:val="en-US"/>
        </w:rPr>
        <w:t>ECE</w:t>
      </w:r>
      <w:r w:rsidRPr="002C6BC2">
        <w:rPr>
          <w:i/>
        </w:rPr>
        <w:t>/</w:t>
      </w:r>
      <w:r w:rsidRPr="002C6BC2">
        <w:rPr>
          <w:i/>
          <w:lang w:val="en-US"/>
        </w:rPr>
        <w:t>TRANS</w:t>
      </w:r>
      <w:r w:rsidRPr="002C6BC2">
        <w:rPr>
          <w:i/>
        </w:rPr>
        <w:t>/</w:t>
      </w:r>
      <w:r w:rsidRPr="002C6BC2">
        <w:rPr>
          <w:i/>
          <w:lang w:val="en-US"/>
        </w:rPr>
        <w:t>WP</w:t>
      </w:r>
      <w:r w:rsidRPr="002C6BC2">
        <w:rPr>
          <w:i/>
        </w:rPr>
        <w:t>.15/</w:t>
      </w:r>
      <w:r w:rsidRPr="002C6BC2">
        <w:rPr>
          <w:i/>
          <w:lang w:val="en-US"/>
        </w:rPr>
        <w:t>AC</w:t>
      </w:r>
      <w:r w:rsidRPr="002C6BC2">
        <w:rPr>
          <w:i/>
        </w:rPr>
        <w:t xml:space="preserve">.1/136, приложение </w:t>
      </w:r>
      <w:r w:rsidRPr="002C6BC2">
        <w:rPr>
          <w:i/>
          <w:lang w:val="en-US"/>
        </w:rPr>
        <w:t>II</w:t>
      </w:r>
      <w:r w:rsidRPr="002C6BC2">
        <w:rPr>
          <w:i/>
        </w:rPr>
        <w:t>)</w:t>
      </w:r>
    </w:p>
    <w:p w:rsidR="002C6BC2" w:rsidRPr="002C6BC2" w:rsidRDefault="002C6BC2" w:rsidP="002C6BC2">
      <w:pPr>
        <w:pStyle w:val="SingleTxt"/>
      </w:pPr>
      <w:r w:rsidRPr="002C6BC2">
        <w:t>5.5.3.6.1</w:t>
      </w:r>
      <w:r w:rsidRPr="002C6BC2">
        <w:tab/>
        <w:t>Изменить следующим образом:</w:t>
      </w:r>
    </w:p>
    <w:p w:rsidR="002C6BC2" w:rsidRPr="002C6BC2" w:rsidRDefault="00704EB4" w:rsidP="002C6BC2">
      <w:pPr>
        <w:pStyle w:val="SingleTxt"/>
      </w:pPr>
      <w:r>
        <w:t>«</w:t>
      </w:r>
      <w:r w:rsidR="002C6BC2" w:rsidRPr="002C6BC2">
        <w:t>5.5.3.6.1</w:t>
      </w:r>
      <w:r w:rsidR="002C6BC2" w:rsidRPr="002C6BC2">
        <w:tab/>
        <w:t>На плохо вентилируемых транспортных средствах и контейнерах, содержащих опасные грузы, используемые для целей охлаждения или кондиционирования, должен иметься предупреждающий знак, указанный в пункте 5.5.3.6.2; он должен быть размещен в каждой точке входа в месте, в котором он будет хорошо виден для лиц, открывающих транспортное средство или контейнер или входящих в него. Этот знак должен сохраняться на транспортном средстве или контейнере до тех пор, пока не будут выполнены следующие условия:</w:t>
      </w:r>
    </w:p>
    <w:p w:rsidR="002C6BC2" w:rsidRPr="002C6BC2" w:rsidRDefault="00660C19" w:rsidP="00660C19">
      <w:pPr>
        <w:pStyle w:val="SingleTxt"/>
        <w:ind w:left="2218" w:hanging="951"/>
      </w:pPr>
      <w:r>
        <w:tab/>
      </w:r>
      <w:r w:rsidR="002C6BC2" w:rsidRPr="002C6BC2">
        <w:rPr>
          <w:lang w:val="en-US"/>
        </w:rPr>
        <w:t>a</w:t>
      </w:r>
      <w:r w:rsidR="002C6BC2" w:rsidRPr="002C6BC2">
        <w:t>)</w:t>
      </w:r>
      <w:r>
        <w:tab/>
      </w:r>
      <w:proofErr w:type="gramStart"/>
      <w:r w:rsidR="002C6BC2" w:rsidRPr="002C6BC2">
        <w:t>транспортное</w:t>
      </w:r>
      <w:proofErr w:type="gramEnd"/>
      <w:r w:rsidR="002C6BC2" w:rsidRPr="002C6BC2">
        <w:t xml:space="preserve"> средство или контейнер был(о) проветрен(о) с целью удаления вредных концентраций хладагента или кондиционирующего реагента; и</w:t>
      </w:r>
    </w:p>
    <w:p w:rsidR="002C6BC2" w:rsidRPr="002C6BC2" w:rsidRDefault="00660C19" w:rsidP="002C6BC2">
      <w:pPr>
        <w:pStyle w:val="SingleTxt"/>
      </w:pPr>
      <w:r>
        <w:tab/>
      </w:r>
      <w:r w:rsidR="002C6BC2" w:rsidRPr="002C6BC2">
        <w:rPr>
          <w:lang w:val="en-US"/>
        </w:rPr>
        <w:t>b</w:t>
      </w:r>
      <w:r w:rsidR="002C6BC2" w:rsidRPr="002C6BC2">
        <w:t>)</w:t>
      </w:r>
      <w:r>
        <w:tab/>
      </w:r>
      <w:proofErr w:type="gramStart"/>
      <w:r w:rsidR="002C6BC2" w:rsidRPr="002C6BC2">
        <w:t>охлажденные</w:t>
      </w:r>
      <w:proofErr w:type="gramEnd"/>
      <w:r w:rsidR="002C6BC2" w:rsidRPr="002C6BC2">
        <w:t xml:space="preserve"> или кондиционированные грузы были выгружены.</w:t>
      </w:r>
    </w:p>
    <w:p w:rsidR="002C6BC2" w:rsidRPr="002C6BC2" w:rsidRDefault="002C6BC2" w:rsidP="002C6BC2">
      <w:pPr>
        <w:pStyle w:val="SingleTxt"/>
      </w:pPr>
      <w:r w:rsidRPr="002C6BC2">
        <w:t>До тех пор пока на транспортном средстве или контейнере размещен указанный знак, перед входом в него должны быть приняты меры предосторожности. Необходимость вентиляции через загрузочные двери или с помощью других средств (например, принудительной вентиляции) должна оцениваться, и этот вопрос должен быть включен в программу подготовки соответствующих лиц</w:t>
      </w:r>
      <w:r w:rsidR="00704EB4">
        <w:t>»</w:t>
      </w:r>
      <w:r w:rsidRPr="002C6BC2">
        <w:t>.</w:t>
      </w:r>
    </w:p>
    <w:p w:rsidR="002C6BC2" w:rsidRPr="002C6BC2" w:rsidRDefault="002C6BC2" w:rsidP="002C6BC2">
      <w:pPr>
        <w:pStyle w:val="SingleTxt"/>
        <w:rPr>
          <w:i/>
          <w:iCs/>
        </w:rPr>
      </w:pPr>
      <w:r w:rsidRPr="002C6BC2">
        <w:rPr>
          <w:i/>
        </w:rPr>
        <w:t xml:space="preserve">(Справочный документ: </w:t>
      </w:r>
      <w:r w:rsidRPr="002C6BC2">
        <w:rPr>
          <w:i/>
          <w:lang w:val="en-US"/>
        </w:rPr>
        <w:t>ECE</w:t>
      </w:r>
      <w:r w:rsidRPr="002C6BC2">
        <w:rPr>
          <w:i/>
        </w:rPr>
        <w:t>/</w:t>
      </w:r>
      <w:r w:rsidRPr="002C6BC2">
        <w:rPr>
          <w:i/>
          <w:lang w:val="en-US"/>
        </w:rPr>
        <w:t>TRANS</w:t>
      </w:r>
      <w:r w:rsidRPr="002C6BC2">
        <w:rPr>
          <w:i/>
        </w:rPr>
        <w:t>/</w:t>
      </w:r>
      <w:r w:rsidRPr="002C6BC2">
        <w:rPr>
          <w:i/>
          <w:lang w:val="en-US"/>
        </w:rPr>
        <w:t>WP</w:t>
      </w:r>
      <w:r w:rsidRPr="002C6BC2">
        <w:rPr>
          <w:i/>
        </w:rPr>
        <w:t>.15/</w:t>
      </w:r>
      <w:r w:rsidRPr="002C6BC2">
        <w:rPr>
          <w:i/>
          <w:lang w:val="en-US"/>
        </w:rPr>
        <w:t>AC</w:t>
      </w:r>
      <w:r w:rsidRPr="002C6BC2">
        <w:rPr>
          <w:i/>
        </w:rPr>
        <w:t xml:space="preserve">.1/136, приложение </w:t>
      </w:r>
      <w:r w:rsidRPr="002C6BC2">
        <w:rPr>
          <w:i/>
          <w:lang w:val="en-US"/>
        </w:rPr>
        <w:t>II</w:t>
      </w:r>
      <w:r w:rsidRPr="002C6BC2">
        <w:rPr>
          <w:i/>
        </w:rPr>
        <w:t>)</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C6BC2">
        <w:rPr>
          <w:lang w:bidi="ru-RU"/>
        </w:rPr>
        <w:tab/>
      </w:r>
      <w:r w:rsidRPr="002C6BC2">
        <w:rPr>
          <w:lang w:bidi="ru-RU"/>
        </w:rPr>
        <w:tab/>
        <w:t>Глава 6.8</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SingleTxt"/>
      </w:pPr>
      <w:r w:rsidRPr="002C6BC2">
        <w:t>6.8.2.6.1</w:t>
      </w:r>
      <w:r w:rsidRPr="002C6BC2">
        <w:tab/>
        <w:t>Изменить таблицу следующим образом:</w:t>
      </w:r>
    </w:p>
    <w:p w:rsidR="002C6BC2" w:rsidRPr="00704EB4" w:rsidRDefault="002C6BC2" w:rsidP="002C6BC2">
      <w:pPr>
        <w:pStyle w:val="SingleTxt"/>
        <w:rPr>
          <w:i/>
        </w:rPr>
      </w:pPr>
      <w:r w:rsidRPr="00704EB4">
        <w:t>Исключить следующие заголовки:</w:t>
      </w:r>
    </w:p>
    <w:p w:rsidR="002C6BC2" w:rsidRPr="002C6BC2" w:rsidRDefault="00704EB4" w:rsidP="002C6BC2">
      <w:pPr>
        <w:pStyle w:val="SingleTxt"/>
        <w:rPr>
          <w:i/>
        </w:rPr>
      </w:pPr>
      <w:r>
        <w:rPr>
          <w:i/>
        </w:rPr>
        <w:t>«</w:t>
      </w:r>
      <w:r w:rsidR="002C6BC2" w:rsidRPr="002C6BC2">
        <w:rPr>
          <w:i/>
        </w:rPr>
        <w:t>Для всех цистерн</w:t>
      </w:r>
      <w:r>
        <w:rPr>
          <w:i/>
        </w:rPr>
        <w:t>»</w:t>
      </w:r>
      <w:r w:rsidR="002C6BC2" w:rsidRPr="002C6BC2">
        <w:rPr>
          <w:i/>
        </w:rPr>
        <w:t>;</w:t>
      </w:r>
    </w:p>
    <w:p w:rsidR="002C6BC2" w:rsidRPr="002C6BC2" w:rsidRDefault="00704EB4" w:rsidP="002C6BC2">
      <w:pPr>
        <w:pStyle w:val="SingleTxt"/>
        <w:rPr>
          <w:i/>
        </w:rPr>
      </w:pPr>
      <w:r>
        <w:rPr>
          <w:i/>
        </w:rPr>
        <w:t>«</w:t>
      </w:r>
      <w:r w:rsidR="002C6BC2" w:rsidRPr="002C6BC2">
        <w:rPr>
          <w:i/>
        </w:rPr>
        <w:t>Для цистерн, имеющих максимальное рабочее давление не более 50 кПа и...</w:t>
      </w:r>
      <w:r>
        <w:rPr>
          <w:i/>
        </w:rPr>
        <w:t>»</w:t>
      </w:r>
      <w:r w:rsidR="002C6BC2" w:rsidRPr="002C6BC2">
        <w:rPr>
          <w:i/>
        </w:rPr>
        <w:t>;</w:t>
      </w:r>
    </w:p>
    <w:p w:rsidR="002C6BC2" w:rsidRPr="002C6BC2" w:rsidRDefault="00704EB4" w:rsidP="002C6BC2">
      <w:pPr>
        <w:pStyle w:val="SingleTxt"/>
        <w:rPr>
          <w:i/>
        </w:rPr>
      </w:pPr>
      <w:r>
        <w:rPr>
          <w:i/>
        </w:rPr>
        <w:t>«</w:t>
      </w:r>
      <w:r w:rsidR="002C6BC2" w:rsidRPr="002C6BC2">
        <w:rPr>
          <w:i/>
        </w:rPr>
        <w:t>Для цистерн, предназначенных для газов класса 2</w:t>
      </w:r>
      <w:r>
        <w:rPr>
          <w:i/>
        </w:rPr>
        <w:t>»</w:t>
      </w:r>
      <w:r w:rsidR="002C6BC2" w:rsidRPr="002C6BC2">
        <w:rPr>
          <w:i/>
        </w:rPr>
        <w:t>; и</w:t>
      </w:r>
    </w:p>
    <w:p w:rsidR="002C6BC2" w:rsidRPr="002C6BC2" w:rsidRDefault="00704EB4" w:rsidP="002C6BC2">
      <w:pPr>
        <w:pStyle w:val="SingleTxt"/>
        <w:rPr>
          <w:i/>
        </w:rPr>
      </w:pPr>
      <w:r>
        <w:rPr>
          <w:i/>
        </w:rPr>
        <w:t>«</w:t>
      </w:r>
      <w:r w:rsidR="002C6BC2" w:rsidRPr="002C6BC2">
        <w:rPr>
          <w:i/>
        </w:rPr>
        <w:t>Для цистерн, предназначенных для перевозки жидких нефтепродуктов и...</w:t>
      </w:r>
      <w:r>
        <w:rPr>
          <w:i/>
        </w:rPr>
        <w:t>»</w:t>
      </w:r>
      <w:r w:rsidR="002C6BC2" w:rsidRPr="002C6BC2">
        <w:rPr>
          <w:i/>
        </w:rPr>
        <w:t>.</w:t>
      </w:r>
    </w:p>
    <w:p w:rsidR="002C6BC2" w:rsidRPr="002C6BC2" w:rsidRDefault="002C6BC2" w:rsidP="002C6BC2">
      <w:pPr>
        <w:pStyle w:val="SingleTxt"/>
      </w:pPr>
      <w:r w:rsidRPr="002C6BC2">
        <w:t>Добавить следующие заголовки:</w:t>
      </w:r>
    </w:p>
    <w:p w:rsidR="002C6BC2" w:rsidRPr="002C6BC2" w:rsidRDefault="00704EB4" w:rsidP="002C6BC2">
      <w:pPr>
        <w:pStyle w:val="SingleTxt"/>
        <w:rPr>
          <w:i/>
          <w:iCs/>
        </w:rPr>
      </w:pPr>
      <w:r>
        <w:rPr>
          <w:i/>
        </w:rPr>
        <w:t>«</w:t>
      </w:r>
      <w:r w:rsidR="002C6BC2" w:rsidRPr="002C6BC2">
        <w:rPr>
          <w:i/>
        </w:rPr>
        <w:t>Для конструкции и изготовления цистерн</w:t>
      </w:r>
      <w:r>
        <w:rPr>
          <w:i/>
        </w:rPr>
        <w:t>»</w:t>
      </w:r>
      <w:r w:rsidR="002C6BC2" w:rsidRPr="002C6BC2">
        <w:rPr>
          <w:i/>
        </w:rPr>
        <w:t>; и</w:t>
      </w:r>
    </w:p>
    <w:p w:rsidR="002C6BC2" w:rsidRPr="002C6BC2" w:rsidRDefault="00704EB4" w:rsidP="002C6BC2">
      <w:pPr>
        <w:pStyle w:val="SingleTxt"/>
        <w:rPr>
          <w:i/>
          <w:iCs/>
        </w:rPr>
      </w:pPr>
      <w:r>
        <w:rPr>
          <w:i/>
        </w:rPr>
        <w:t>«</w:t>
      </w:r>
      <w:r w:rsidR="002C6BC2" w:rsidRPr="002C6BC2">
        <w:rPr>
          <w:i/>
        </w:rPr>
        <w:t>Для оборудования</w:t>
      </w:r>
      <w:r>
        <w:rPr>
          <w:i/>
        </w:rPr>
        <w:t>»</w:t>
      </w:r>
      <w:r w:rsidR="002C6BC2" w:rsidRPr="002C6BC2">
        <w:rPr>
          <w:i/>
        </w:rPr>
        <w:t>.</w:t>
      </w:r>
    </w:p>
    <w:p w:rsidR="002C6BC2" w:rsidRPr="002C6BC2" w:rsidRDefault="002C6BC2" w:rsidP="002C6BC2">
      <w:pPr>
        <w:pStyle w:val="SingleTxt"/>
      </w:pPr>
      <w:r w:rsidRPr="002C6BC2">
        <w:t xml:space="preserve">Под заголовком </w:t>
      </w:r>
      <w:r w:rsidR="00704EB4">
        <w:t>«</w:t>
      </w:r>
      <w:r w:rsidRPr="002C6BC2">
        <w:t>Для конструкции и изготовления цистерн</w:t>
      </w:r>
      <w:r w:rsidR="00704EB4">
        <w:t>»</w:t>
      </w:r>
      <w:r w:rsidRPr="002C6BC2">
        <w:t xml:space="preserve"> добавить строки, соответствующие </w:t>
      </w:r>
      <w:r w:rsidRPr="002C6BC2">
        <w:rPr>
          <w:lang w:val="en-US"/>
        </w:rPr>
        <w:t>EN </w:t>
      </w:r>
      <w:r w:rsidRPr="002C6BC2">
        <w:t xml:space="preserve">14025:2003 + </w:t>
      </w:r>
      <w:r w:rsidRPr="002C6BC2">
        <w:rPr>
          <w:lang w:val="en-US"/>
        </w:rPr>
        <w:t>AC</w:t>
      </w:r>
      <w:r w:rsidRPr="002C6BC2">
        <w:t xml:space="preserve">:2005, </w:t>
      </w:r>
      <w:r w:rsidRPr="002C6BC2">
        <w:rPr>
          <w:lang w:val="en-US"/>
        </w:rPr>
        <w:t>EN</w:t>
      </w:r>
      <w:r w:rsidRPr="002C6BC2">
        <w:t xml:space="preserve"> 14025:2008, </w:t>
      </w:r>
      <w:r w:rsidRPr="002C6BC2">
        <w:rPr>
          <w:lang w:val="en-US"/>
        </w:rPr>
        <w:t>EN</w:t>
      </w:r>
      <w:r w:rsidRPr="002C6BC2">
        <w:t xml:space="preserve"> 14025:2013, </w:t>
      </w:r>
      <w:r w:rsidRPr="002C6BC2">
        <w:rPr>
          <w:lang w:val="en-US"/>
        </w:rPr>
        <w:t>EN </w:t>
      </w:r>
      <w:r w:rsidRPr="002C6BC2">
        <w:t xml:space="preserve">13094:2004, </w:t>
      </w:r>
      <w:r w:rsidRPr="002C6BC2">
        <w:rPr>
          <w:lang w:val="en-US"/>
        </w:rPr>
        <w:t>EN</w:t>
      </w:r>
      <w:r w:rsidRPr="002C6BC2">
        <w:t xml:space="preserve"> 13094:2008 + </w:t>
      </w:r>
      <w:r w:rsidRPr="002C6BC2">
        <w:rPr>
          <w:lang w:val="en-US"/>
        </w:rPr>
        <w:t>AC</w:t>
      </w:r>
      <w:r w:rsidRPr="002C6BC2">
        <w:t xml:space="preserve">:2008, </w:t>
      </w:r>
      <w:r w:rsidRPr="002C6BC2">
        <w:rPr>
          <w:lang w:val="en-US"/>
        </w:rPr>
        <w:t>EN</w:t>
      </w:r>
      <w:r w:rsidRPr="002C6BC2">
        <w:t xml:space="preserve"> 12493:2001 (за</w:t>
      </w:r>
      <w:r w:rsidRPr="002C6BC2">
        <w:rPr>
          <w:lang w:val="en-US"/>
        </w:rPr>
        <w:t> </w:t>
      </w:r>
      <w:r w:rsidRPr="002C6BC2">
        <w:t xml:space="preserve">исключением приложения </w:t>
      </w:r>
      <w:r w:rsidRPr="002C6BC2">
        <w:rPr>
          <w:lang w:val="en-US"/>
        </w:rPr>
        <w:t>C</w:t>
      </w:r>
      <w:r w:rsidRPr="002C6BC2">
        <w:t xml:space="preserve">), </w:t>
      </w:r>
      <w:r w:rsidRPr="002C6BC2">
        <w:rPr>
          <w:lang w:val="en-US"/>
        </w:rPr>
        <w:t>EN</w:t>
      </w:r>
      <w:r w:rsidRPr="002C6BC2">
        <w:t xml:space="preserve"> 12493:2008 (за исключением приложения </w:t>
      </w:r>
      <w:r w:rsidRPr="002C6BC2">
        <w:rPr>
          <w:lang w:val="en-US"/>
        </w:rPr>
        <w:t>C</w:t>
      </w:r>
      <w:r w:rsidRPr="002C6BC2">
        <w:t xml:space="preserve">), </w:t>
      </w:r>
      <w:r w:rsidRPr="002C6BC2">
        <w:rPr>
          <w:lang w:val="en-US"/>
        </w:rPr>
        <w:t>EN</w:t>
      </w:r>
      <w:r w:rsidRPr="002C6BC2">
        <w:t xml:space="preserve"> 12493:2008 + </w:t>
      </w:r>
      <w:r w:rsidRPr="002C6BC2">
        <w:rPr>
          <w:lang w:val="en-US"/>
        </w:rPr>
        <w:t>A</w:t>
      </w:r>
      <w:r w:rsidRPr="002C6BC2">
        <w:t xml:space="preserve">1:2012 (за исключением приложения </w:t>
      </w:r>
      <w:r w:rsidRPr="002C6BC2">
        <w:rPr>
          <w:lang w:val="en-US"/>
        </w:rPr>
        <w:t>C</w:t>
      </w:r>
      <w:r w:rsidRPr="002C6BC2">
        <w:t xml:space="preserve">), </w:t>
      </w:r>
      <w:r w:rsidRPr="002C6BC2">
        <w:rPr>
          <w:lang w:val="en-US"/>
        </w:rPr>
        <w:t>EN</w:t>
      </w:r>
      <w:r w:rsidRPr="002C6BC2">
        <w:t xml:space="preserve"> 12493:2013 (за</w:t>
      </w:r>
      <w:r w:rsidRPr="002C6BC2">
        <w:rPr>
          <w:lang w:val="en-US"/>
        </w:rPr>
        <w:t> </w:t>
      </w:r>
      <w:r w:rsidRPr="002C6BC2">
        <w:t xml:space="preserve">исключением приложения </w:t>
      </w:r>
      <w:r w:rsidRPr="002C6BC2">
        <w:rPr>
          <w:lang w:val="en-US"/>
        </w:rPr>
        <w:t>C</w:t>
      </w:r>
      <w:r w:rsidRPr="002C6BC2">
        <w:t xml:space="preserve">), </w:t>
      </w:r>
      <w:r w:rsidRPr="002C6BC2">
        <w:rPr>
          <w:lang w:val="en-US"/>
        </w:rPr>
        <w:t>EN</w:t>
      </w:r>
      <w:r w:rsidRPr="002C6BC2">
        <w:t xml:space="preserve"> 13530-2:2002, </w:t>
      </w:r>
      <w:r w:rsidRPr="002C6BC2">
        <w:rPr>
          <w:lang w:val="en-US"/>
        </w:rPr>
        <w:t>EN</w:t>
      </w:r>
      <w:r w:rsidRPr="002C6BC2">
        <w:t xml:space="preserve"> 13530-2:2002 + </w:t>
      </w:r>
      <w:r w:rsidRPr="002C6BC2">
        <w:rPr>
          <w:lang w:val="en-US"/>
        </w:rPr>
        <w:t>A</w:t>
      </w:r>
      <w:r w:rsidRPr="002C6BC2">
        <w:t xml:space="preserve">1:2004, </w:t>
      </w:r>
      <w:r w:rsidRPr="002C6BC2">
        <w:rPr>
          <w:lang w:val="en-US"/>
        </w:rPr>
        <w:t>EN </w:t>
      </w:r>
      <w:r w:rsidRPr="002C6BC2">
        <w:t>14398-2:2003 (за</w:t>
      </w:r>
      <w:r w:rsidR="00660C19">
        <w:t> </w:t>
      </w:r>
      <w:r w:rsidRPr="002C6BC2">
        <w:t xml:space="preserve">исключением таблицы 1) и </w:t>
      </w:r>
      <w:r w:rsidRPr="002C6BC2">
        <w:rPr>
          <w:lang w:val="en-US"/>
        </w:rPr>
        <w:t>EN</w:t>
      </w:r>
      <w:r w:rsidRPr="002C6BC2">
        <w:t xml:space="preserve"> 14398-2:2003 + </w:t>
      </w:r>
      <w:r w:rsidRPr="002C6BC2">
        <w:rPr>
          <w:lang w:val="en-US"/>
        </w:rPr>
        <w:t>A</w:t>
      </w:r>
      <w:r w:rsidRPr="002C6BC2">
        <w:t>2:2008.</w:t>
      </w:r>
    </w:p>
    <w:p w:rsidR="002C6BC2" w:rsidRPr="002C6BC2" w:rsidRDefault="002C6BC2" w:rsidP="002C6BC2">
      <w:pPr>
        <w:pStyle w:val="SingleTxt"/>
      </w:pPr>
      <w:r w:rsidRPr="002C6BC2">
        <w:t xml:space="preserve">Под заголовком </w:t>
      </w:r>
      <w:r w:rsidR="00704EB4">
        <w:t>«</w:t>
      </w:r>
      <w:r w:rsidRPr="002C6BC2">
        <w:t>Для оборудования</w:t>
      </w:r>
      <w:r w:rsidR="00704EB4">
        <w:t>»</w:t>
      </w:r>
      <w:r w:rsidRPr="002C6BC2">
        <w:t xml:space="preserve"> добавить строки, соответствующие </w:t>
      </w:r>
      <w:r w:rsidRPr="002C6BC2">
        <w:rPr>
          <w:lang w:val="en-US"/>
        </w:rPr>
        <w:t>EN </w:t>
      </w:r>
      <w:r w:rsidRPr="002C6BC2">
        <w:t xml:space="preserve">14432:2006, </w:t>
      </w:r>
      <w:r w:rsidRPr="002C6BC2">
        <w:rPr>
          <w:lang w:val="en-US"/>
        </w:rPr>
        <w:t>EN</w:t>
      </w:r>
      <w:r w:rsidRPr="002C6BC2">
        <w:t xml:space="preserve"> 14433:2006, </w:t>
      </w:r>
      <w:r w:rsidRPr="002C6BC2">
        <w:rPr>
          <w:lang w:val="en-US"/>
        </w:rPr>
        <w:t>EN</w:t>
      </w:r>
      <w:r w:rsidRPr="002C6BC2">
        <w:t xml:space="preserve"> 12252:2000, </w:t>
      </w:r>
      <w:r w:rsidRPr="002C6BC2">
        <w:rPr>
          <w:lang w:val="en-US"/>
        </w:rPr>
        <w:t>EN</w:t>
      </w:r>
      <w:r w:rsidRPr="002C6BC2">
        <w:t xml:space="preserve"> 12252:2005 + </w:t>
      </w:r>
      <w:r w:rsidRPr="002C6BC2">
        <w:rPr>
          <w:lang w:val="en-US"/>
        </w:rPr>
        <w:t>A</w:t>
      </w:r>
      <w:r w:rsidRPr="002C6BC2">
        <w:t xml:space="preserve">1:2008, </w:t>
      </w:r>
      <w:r w:rsidRPr="002C6BC2">
        <w:rPr>
          <w:lang w:val="en-US"/>
        </w:rPr>
        <w:t>EN</w:t>
      </w:r>
      <w:r w:rsidR="00660C19">
        <w:t> </w:t>
      </w:r>
      <w:r w:rsidRPr="002C6BC2">
        <w:t xml:space="preserve">14129:2014, </w:t>
      </w:r>
      <w:r w:rsidRPr="002C6BC2">
        <w:rPr>
          <w:lang w:val="en-US"/>
        </w:rPr>
        <w:t>EN</w:t>
      </w:r>
      <w:r w:rsidRPr="002C6BC2">
        <w:t xml:space="preserve"> 1626:2008 (за исключением категории клапанов</w:t>
      </w:r>
      <w:r w:rsidRPr="002C6BC2">
        <w:rPr>
          <w:lang w:val="en-US"/>
        </w:rPr>
        <w:t> B</w:t>
      </w:r>
      <w:r w:rsidRPr="002C6BC2">
        <w:t xml:space="preserve">), </w:t>
      </w:r>
      <w:r w:rsidRPr="002C6BC2">
        <w:rPr>
          <w:lang w:val="en-US"/>
        </w:rPr>
        <w:t>EN</w:t>
      </w:r>
      <w:r w:rsidR="00660C19">
        <w:t> </w:t>
      </w:r>
      <w:r w:rsidRPr="002C6BC2">
        <w:t xml:space="preserve">13082:2001, </w:t>
      </w:r>
      <w:r w:rsidRPr="002C6BC2">
        <w:rPr>
          <w:lang w:val="en-US"/>
        </w:rPr>
        <w:t>EN</w:t>
      </w:r>
      <w:r w:rsidRPr="002C6BC2">
        <w:t xml:space="preserve"> 13082:2008, + </w:t>
      </w:r>
      <w:r w:rsidRPr="002C6BC2">
        <w:rPr>
          <w:lang w:val="en-US"/>
        </w:rPr>
        <w:t>A</w:t>
      </w:r>
      <w:r w:rsidRPr="002C6BC2">
        <w:t xml:space="preserve">1:2012, </w:t>
      </w:r>
      <w:r w:rsidRPr="002C6BC2">
        <w:rPr>
          <w:lang w:val="en-US"/>
        </w:rPr>
        <w:t>EN</w:t>
      </w:r>
      <w:r w:rsidRPr="002C6BC2">
        <w:t xml:space="preserve"> 13308:2002, </w:t>
      </w:r>
      <w:r w:rsidRPr="002C6BC2">
        <w:rPr>
          <w:lang w:val="en-US"/>
        </w:rPr>
        <w:t>EN </w:t>
      </w:r>
      <w:r w:rsidRPr="002C6BC2">
        <w:t xml:space="preserve">13314:2002, </w:t>
      </w:r>
      <w:r w:rsidRPr="002C6BC2">
        <w:rPr>
          <w:lang w:val="en-US"/>
        </w:rPr>
        <w:t>EN</w:t>
      </w:r>
      <w:r w:rsidR="00660C19">
        <w:t> </w:t>
      </w:r>
      <w:r w:rsidRPr="002C6BC2">
        <w:t xml:space="preserve">13316:2002, </w:t>
      </w:r>
      <w:r w:rsidRPr="002C6BC2">
        <w:rPr>
          <w:lang w:val="en-US"/>
        </w:rPr>
        <w:t>EN</w:t>
      </w:r>
      <w:r w:rsidRPr="002C6BC2">
        <w:t xml:space="preserve"> 13317:2002 (за исключением рисунка и таблицы В.2 в приложении В), </w:t>
      </w:r>
      <w:r w:rsidRPr="002C6BC2">
        <w:rPr>
          <w:lang w:val="en-US"/>
        </w:rPr>
        <w:t>EN</w:t>
      </w:r>
      <w:r w:rsidRPr="002C6BC2">
        <w:t xml:space="preserve"> 13317:2002 + </w:t>
      </w:r>
      <w:r w:rsidRPr="002C6BC2">
        <w:rPr>
          <w:lang w:val="en-US"/>
        </w:rPr>
        <w:t>A</w:t>
      </w:r>
      <w:r w:rsidRPr="002C6BC2">
        <w:t xml:space="preserve">1:2006, </w:t>
      </w:r>
      <w:r w:rsidRPr="002C6BC2">
        <w:rPr>
          <w:lang w:val="en-US"/>
        </w:rPr>
        <w:t>EN</w:t>
      </w:r>
      <w:r w:rsidRPr="002C6BC2">
        <w:t xml:space="preserve"> 14595:2005 и </w:t>
      </w:r>
      <w:r w:rsidRPr="002C6BC2">
        <w:rPr>
          <w:lang w:val="en-US"/>
        </w:rPr>
        <w:t>EN </w:t>
      </w:r>
      <w:r w:rsidRPr="002C6BC2">
        <w:t>16257:2012.</w:t>
      </w:r>
    </w:p>
    <w:p w:rsidR="002C6BC2" w:rsidRPr="002C6BC2" w:rsidRDefault="002C6BC2" w:rsidP="002C6BC2">
      <w:pPr>
        <w:pStyle w:val="SingleTxt"/>
        <w:rPr>
          <w:i/>
        </w:rPr>
      </w:pPr>
      <w:r w:rsidRPr="002C6BC2">
        <w:rPr>
          <w:i/>
        </w:rPr>
        <w:t xml:space="preserve">(Справочный документ: </w:t>
      </w:r>
      <w:r w:rsidRPr="002C6BC2">
        <w:rPr>
          <w:i/>
          <w:lang w:val="en-US"/>
        </w:rPr>
        <w:t>ECE</w:t>
      </w:r>
      <w:r w:rsidRPr="002C6BC2">
        <w:rPr>
          <w:i/>
        </w:rPr>
        <w:t>/</w:t>
      </w:r>
      <w:r w:rsidRPr="002C6BC2">
        <w:rPr>
          <w:i/>
          <w:lang w:val="en-US"/>
        </w:rPr>
        <w:t>TRANS</w:t>
      </w:r>
      <w:r w:rsidRPr="002C6BC2">
        <w:rPr>
          <w:i/>
        </w:rPr>
        <w:t>/</w:t>
      </w:r>
      <w:r w:rsidRPr="002C6BC2">
        <w:rPr>
          <w:i/>
          <w:lang w:val="en-US"/>
        </w:rPr>
        <w:t>WP</w:t>
      </w:r>
      <w:r w:rsidRPr="002C6BC2">
        <w:rPr>
          <w:i/>
        </w:rPr>
        <w:t>.15/</w:t>
      </w:r>
      <w:r w:rsidRPr="002C6BC2">
        <w:rPr>
          <w:i/>
          <w:lang w:val="en-US"/>
        </w:rPr>
        <w:t>AC</w:t>
      </w:r>
      <w:r w:rsidRPr="002C6BC2">
        <w:rPr>
          <w:i/>
        </w:rPr>
        <w:t xml:space="preserve">.1/136, приложение </w:t>
      </w:r>
      <w:r w:rsidRPr="002C6BC2">
        <w:rPr>
          <w:i/>
          <w:lang w:val="en-US"/>
        </w:rPr>
        <w:t>II</w:t>
      </w:r>
      <w:r w:rsidRPr="002C6BC2">
        <w:rPr>
          <w:i/>
        </w:rPr>
        <w:t>)</w:t>
      </w:r>
    </w:p>
    <w:p w:rsidR="002C6BC2" w:rsidRPr="002C6BC2" w:rsidRDefault="002C6BC2" w:rsidP="002C6BC2">
      <w:pPr>
        <w:pStyle w:val="SingleTxt"/>
      </w:pPr>
      <w:r w:rsidRPr="002C6BC2">
        <w:t>6.8.2.6.1</w:t>
      </w:r>
      <w:r w:rsidRPr="002C6BC2">
        <w:tab/>
        <w:t xml:space="preserve">В таблице под заголовком </w:t>
      </w:r>
      <w:r w:rsidR="00704EB4">
        <w:t>«</w:t>
      </w:r>
      <w:r w:rsidRPr="002C6BC2">
        <w:t>Для оборудования</w:t>
      </w:r>
      <w:r w:rsidR="00704EB4">
        <w:t>»</w:t>
      </w:r>
      <w:r w:rsidRPr="002C6BC2">
        <w:t xml:space="preserve"> после </w:t>
      </w:r>
      <w:r w:rsidRPr="002C6BC2">
        <w:rPr>
          <w:lang w:val="en-US"/>
        </w:rPr>
        <w:t>EN </w:t>
      </w:r>
      <w:r w:rsidRPr="002C6BC2">
        <w:t>1626:2008 добавить следующую новую строку:</w:t>
      </w:r>
    </w:p>
    <w:p w:rsidR="002C6BC2" w:rsidRPr="002C6BC2" w:rsidRDefault="002C6BC2" w:rsidP="002C6BC2">
      <w:pPr>
        <w:pStyle w:val="SingleTxt"/>
        <w:spacing w:after="0" w:line="120" w:lineRule="exact"/>
        <w:rPr>
          <w:sz w:val="10"/>
        </w:rPr>
      </w:pPr>
    </w:p>
    <w:p w:rsidR="002C6BC2" w:rsidRPr="002C6BC2" w:rsidRDefault="002C6BC2" w:rsidP="002C6BC2">
      <w:pPr>
        <w:pStyle w:val="SingleTxt"/>
        <w:spacing w:after="0" w:line="120" w:lineRule="exact"/>
        <w:rPr>
          <w:sz w:val="10"/>
        </w:rPr>
      </w:pPr>
    </w:p>
    <w:tbl>
      <w:tblPr>
        <w:tblW w:w="1000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1878"/>
        <w:gridCol w:w="4341"/>
        <w:gridCol w:w="1502"/>
        <w:gridCol w:w="1360"/>
        <w:gridCol w:w="922"/>
      </w:tblGrid>
      <w:tr w:rsidR="00A9160C" w:rsidTr="000807C3">
        <w:trPr>
          <w:cantSplit/>
          <w:tblHeader/>
        </w:trPr>
        <w:tc>
          <w:tcPr>
            <w:tcW w:w="938"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2C6BC2" w:rsidRPr="000807C3" w:rsidRDefault="002C6BC2" w:rsidP="00A9160C">
            <w:pPr>
              <w:keepNext/>
              <w:keepLines/>
              <w:suppressAutoHyphens/>
              <w:spacing w:before="40" w:after="80"/>
              <w:ind w:right="43"/>
              <w:jc w:val="center"/>
              <w:rPr>
                <w:bCs/>
                <w:caps/>
                <w:szCs w:val="20"/>
                <w:lang w:bidi="ru-RU"/>
              </w:rPr>
            </w:pPr>
            <w:r w:rsidRPr="000807C3">
              <w:rPr>
                <w:caps/>
                <w:szCs w:val="20"/>
              </w:rPr>
              <w:t>(1)</w:t>
            </w:r>
          </w:p>
        </w:tc>
        <w:tc>
          <w:tcPr>
            <w:tcW w:w="2170"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2C6BC2" w:rsidRPr="000807C3" w:rsidRDefault="002C6BC2" w:rsidP="00A9160C">
            <w:pPr>
              <w:keepNext/>
              <w:keepLines/>
              <w:suppressAutoHyphens/>
              <w:spacing w:before="40" w:after="80"/>
              <w:ind w:right="43"/>
              <w:jc w:val="center"/>
              <w:rPr>
                <w:bCs/>
                <w:caps/>
                <w:szCs w:val="20"/>
                <w:lang w:bidi="ru-RU"/>
              </w:rPr>
            </w:pPr>
            <w:r w:rsidRPr="000807C3">
              <w:rPr>
                <w:caps/>
                <w:szCs w:val="20"/>
              </w:rPr>
              <w:t>(2)</w:t>
            </w:r>
          </w:p>
        </w:tc>
        <w:tc>
          <w:tcPr>
            <w:tcW w:w="751"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2C6BC2" w:rsidRPr="000807C3" w:rsidRDefault="002C6BC2" w:rsidP="00A9160C">
            <w:pPr>
              <w:keepNext/>
              <w:keepLines/>
              <w:suppressAutoHyphens/>
              <w:spacing w:before="40" w:after="80"/>
              <w:ind w:right="43"/>
              <w:jc w:val="center"/>
              <w:rPr>
                <w:bCs/>
                <w:caps/>
                <w:szCs w:val="20"/>
                <w:lang w:bidi="ru-RU"/>
              </w:rPr>
            </w:pPr>
            <w:r w:rsidRPr="000807C3">
              <w:rPr>
                <w:caps/>
                <w:szCs w:val="20"/>
              </w:rPr>
              <w:t>(3)</w:t>
            </w:r>
          </w:p>
        </w:tc>
        <w:tc>
          <w:tcPr>
            <w:tcW w:w="680"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2C6BC2" w:rsidRPr="000807C3" w:rsidRDefault="002C6BC2" w:rsidP="00A9160C">
            <w:pPr>
              <w:keepNext/>
              <w:keepLines/>
              <w:suppressAutoHyphens/>
              <w:spacing w:before="40" w:after="80"/>
              <w:ind w:right="43"/>
              <w:jc w:val="center"/>
              <w:rPr>
                <w:bCs/>
                <w:caps/>
                <w:szCs w:val="20"/>
                <w:lang w:bidi="ru-RU"/>
              </w:rPr>
            </w:pPr>
            <w:r w:rsidRPr="000807C3">
              <w:rPr>
                <w:caps/>
                <w:szCs w:val="20"/>
              </w:rPr>
              <w:t>(4)</w:t>
            </w:r>
          </w:p>
        </w:tc>
        <w:tc>
          <w:tcPr>
            <w:tcW w:w="462"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2C6BC2" w:rsidRPr="000807C3" w:rsidRDefault="002C6BC2" w:rsidP="00A9160C">
            <w:pPr>
              <w:keepNext/>
              <w:keepLines/>
              <w:suppressAutoHyphens/>
              <w:spacing w:before="40" w:after="80"/>
              <w:ind w:right="43"/>
              <w:jc w:val="center"/>
              <w:rPr>
                <w:bCs/>
                <w:caps/>
                <w:szCs w:val="20"/>
                <w:lang w:bidi="ru-RU"/>
              </w:rPr>
            </w:pPr>
            <w:r w:rsidRPr="000807C3">
              <w:rPr>
                <w:caps/>
                <w:szCs w:val="20"/>
              </w:rPr>
              <w:t>(5)</w:t>
            </w:r>
          </w:p>
        </w:tc>
      </w:tr>
      <w:tr w:rsidR="00A9160C" w:rsidTr="000807C3">
        <w:trPr>
          <w:cantSplit/>
        </w:trPr>
        <w:tc>
          <w:tcPr>
            <w:tcW w:w="938" w:type="pct"/>
            <w:tcBorders>
              <w:top w:val="single" w:sz="6" w:space="0" w:color="auto"/>
              <w:left w:val="single" w:sz="6" w:space="0" w:color="auto"/>
              <w:bottom w:val="single" w:sz="6" w:space="0" w:color="auto"/>
              <w:right w:val="single" w:sz="6" w:space="0" w:color="auto"/>
            </w:tcBorders>
            <w:tcMar>
              <w:left w:w="43" w:type="dxa"/>
              <w:right w:w="43" w:type="dxa"/>
            </w:tcMar>
          </w:tcPr>
          <w:p w:rsidR="002C6BC2" w:rsidRPr="000807C3" w:rsidRDefault="002C6BC2" w:rsidP="00A9160C">
            <w:pPr>
              <w:keepNext/>
              <w:keepLines/>
              <w:tabs>
                <w:tab w:val="center" w:pos="4320"/>
                <w:tab w:val="right" w:pos="8640"/>
              </w:tabs>
              <w:spacing w:before="40" w:after="80"/>
              <w:ind w:right="43"/>
              <w:jc w:val="center"/>
              <w:rPr>
                <w:szCs w:val="20"/>
                <w:lang w:bidi="ru-RU"/>
              </w:rPr>
            </w:pPr>
            <w:r w:rsidRPr="000807C3">
              <w:rPr>
                <w:szCs w:val="20"/>
              </w:rPr>
              <w:t>EN 13648-1:2008</w:t>
            </w:r>
          </w:p>
        </w:tc>
        <w:tc>
          <w:tcPr>
            <w:tcW w:w="2170"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2C6BC2" w:rsidRPr="000807C3" w:rsidRDefault="002C6BC2" w:rsidP="00A9160C">
            <w:pPr>
              <w:keepNext/>
              <w:keepLines/>
              <w:suppressAutoHyphens/>
              <w:spacing w:before="40" w:after="80"/>
              <w:ind w:right="43"/>
              <w:rPr>
                <w:szCs w:val="20"/>
                <w:lang w:bidi="ru-RU"/>
              </w:rPr>
            </w:pPr>
            <w:r w:rsidRPr="000807C3">
              <w:rPr>
                <w:szCs w:val="20"/>
              </w:rPr>
              <w:t xml:space="preserve">Криогенные сосуды </w:t>
            </w:r>
            <w:r w:rsidR="00A9160C" w:rsidRPr="000807C3">
              <w:rPr>
                <w:szCs w:val="20"/>
              </w:rPr>
              <w:t>–</w:t>
            </w:r>
            <w:r w:rsidRPr="000807C3">
              <w:rPr>
                <w:szCs w:val="20"/>
              </w:rPr>
              <w:t xml:space="preserve"> Предохранительные устройства для защиты от избыточного давления </w:t>
            </w:r>
            <w:r w:rsidR="00A9160C" w:rsidRPr="000807C3">
              <w:rPr>
                <w:szCs w:val="20"/>
              </w:rPr>
              <w:t>–</w:t>
            </w:r>
            <w:r w:rsidRPr="000807C3">
              <w:rPr>
                <w:szCs w:val="20"/>
              </w:rPr>
              <w:t xml:space="preserve"> Часть 1: Предохранительные клапаны для криогенной техники </w:t>
            </w:r>
          </w:p>
        </w:tc>
        <w:tc>
          <w:tcPr>
            <w:tcW w:w="751"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2C6BC2" w:rsidRPr="000807C3" w:rsidRDefault="002C6BC2" w:rsidP="00A9160C">
            <w:pPr>
              <w:keepNext/>
              <w:keepLines/>
              <w:suppressAutoHyphens/>
              <w:spacing w:before="40" w:after="80"/>
              <w:ind w:right="43"/>
              <w:jc w:val="center"/>
              <w:rPr>
                <w:szCs w:val="20"/>
                <w:lang w:bidi="ru-RU"/>
              </w:rPr>
            </w:pPr>
            <w:r w:rsidRPr="000807C3">
              <w:rPr>
                <w:szCs w:val="20"/>
              </w:rPr>
              <w:t>6.8.2.4, 6.8.3.2.12 и 6.8.3.4</w:t>
            </w:r>
          </w:p>
        </w:tc>
        <w:tc>
          <w:tcPr>
            <w:tcW w:w="680"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2C6BC2" w:rsidRPr="000807C3" w:rsidRDefault="002C6BC2" w:rsidP="00A9160C">
            <w:pPr>
              <w:keepNext/>
              <w:keepLines/>
              <w:suppressAutoHyphens/>
              <w:spacing w:before="40" w:after="80"/>
              <w:ind w:right="43"/>
              <w:jc w:val="center"/>
              <w:rPr>
                <w:szCs w:val="20"/>
                <w:lang w:bidi="ru-RU"/>
              </w:rPr>
            </w:pPr>
            <w:r w:rsidRPr="000807C3">
              <w:rPr>
                <w:szCs w:val="20"/>
              </w:rPr>
              <w:t>До дальнейшего указания</w:t>
            </w:r>
          </w:p>
        </w:tc>
        <w:tc>
          <w:tcPr>
            <w:tcW w:w="462" w:type="pct"/>
            <w:tcBorders>
              <w:top w:val="single" w:sz="6" w:space="0" w:color="auto"/>
              <w:left w:val="single" w:sz="6" w:space="0" w:color="auto"/>
              <w:bottom w:val="single" w:sz="6" w:space="0" w:color="auto"/>
              <w:right w:val="single" w:sz="6" w:space="0" w:color="auto"/>
            </w:tcBorders>
            <w:tcMar>
              <w:left w:w="43" w:type="dxa"/>
              <w:right w:w="43" w:type="dxa"/>
            </w:tcMar>
          </w:tcPr>
          <w:p w:rsidR="002C6BC2" w:rsidRPr="000807C3" w:rsidRDefault="002C6BC2" w:rsidP="00A9160C">
            <w:pPr>
              <w:keepNext/>
              <w:keepLines/>
              <w:suppressAutoHyphens/>
              <w:spacing w:before="40" w:after="80"/>
              <w:ind w:right="43"/>
              <w:jc w:val="center"/>
              <w:rPr>
                <w:szCs w:val="20"/>
                <w:lang w:bidi="ru-RU"/>
              </w:rPr>
            </w:pPr>
          </w:p>
        </w:tc>
      </w:tr>
    </w:tbl>
    <w:p w:rsidR="002C6BC2" w:rsidRPr="002C6BC2" w:rsidRDefault="002C6BC2" w:rsidP="002C6BC2">
      <w:pPr>
        <w:pStyle w:val="SingleTxt"/>
        <w:spacing w:after="0" w:line="120" w:lineRule="exact"/>
        <w:rPr>
          <w:sz w:val="10"/>
        </w:rPr>
      </w:pPr>
    </w:p>
    <w:p w:rsidR="002C6BC2" w:rsidRPr="002C6BC2" w:rsidRDefault="002C6BC2" w:rsidP="002C6BC2">
      <w:pPr>
        <w:pStyle w:val="SingleTxt"/>
        <w:spacing w:after="0" w:line="120" w:lineRule="exact"/>
        <w:rPr>
          <w:sz w:val="10"/>
        </w:rPr>
      </w:pPr>
    </w:p>
    <w:p w:rsidR="002C6BC2" w:rsidRPr="002C6BC2" w:rsidRDefault="002C6BC2" w:rsidP="002C6BC2">
      <w:pPr>
        <w:pStyle w:val="SingleTxt"/>
        <w:rPr>
          <w:lang w:bidi="ru-RU"/>
        </w:rPr>
      </w:pPr>
      <w:r w:rsidRPr="002C6BC2">
        <w:rPr>
          <w:i/>
          <w:lang w:bidi="ru-RU"/>
        </w:rPr>
        <w:t>(Справочный документ: ECE/TRANS/WP.15/AC.1/136, приложение II)</w:t>
      </w:r>
    </w:p>
    <w:p w:rsidR="002C6BC2" w:rsidRPr="002C6BC2" w:rsidRDefault="002C6BC2" w:rsidP="002C6BC2">
      <w:pPr>
        <w:pStyle w:val="SingleTxt"/>
        <w:rPr>
          <w:lang w:bidi="ru-RU"/>
        </w:rPr>
      </w:pPr>
      <w:r w:rsidRPr="002C6BC2">
        <w:rPr>
          <w:lang w:bidi="ru-RU"/>
        </w:rPr>
        <w:t>6.8.2.6.1</w:t>
      </w:r>
      <w:r w:rsidRPr="002C6BC2">
        <w:rPr>
          <w:lang w:bidi="ru-RU"/>
        </w:rPr>
        <w:tab/>
        <w:t>Изменить следующим образом:</w:t>
      </w:r>
    </w:p>
    <w:p w:rsidR="002C6BC2" w:rsidRPr="002C6BC2" w:rsidRDefault="002C6BC2" w:rsidP="002C6BC2">
      <w:pPr>
        <w:pStyle w:val="SingleTxt"/>
        <w:rPr>
          <w:lang w:bidi="ru-RU"/>
        </w:rPr>
      </w:pPr>
      <w:r w:rsidRPr="002C6BC2">
        <w:rPr>
          <w:lang w:bidi="ru-RU"/>
        </w:rPr>
        <w:t xml:space="preserve">Для стандарта </w:t>
      </w:r>
      <w:r w:rsidR="00704EB4">
        <w:rPr>
          <w:lang w:bidi="ru-RU"/>
        </w:rPr>
        <w:t>«</w:t>
      </w:r>
      <w:r w:rsidRPr="002C6BC2">
        <w:rPr>
          <w:lang w:bidi="ru-RU"/>
        </w:rPr>
        <w:t>EN 12493:2013</w:t>
      </w:r>
      <w:r w:rsidR="00704EB4">
        <w:rPr>
          <w:lang w:bidi="ru-RU"/>
        </w:rPr>
        <w:t>»</w:t>
      </w:r>
      <w:r w:rsidRPr="002C6BC2">
        <w:rPr>
          <w:lang w:bidi="ru-RU"/>
        </w:rPr>
        <w:t xml:space="preserve"> в колонке (4) заменить </w:t>
      </w:r>
      <w:r w:rsidR="00704EB4">
        <w:rPr>
          <w:lang w:bidi="ru-RU"/>
        </w:rPr>
        <w:t>«</w:t>
      </w:r>
      <w:r w:rsidRPr="002C6BC2">
        <w:rPr>
          <w:lang w:bidi="ru-RU"/>
        </w:rPr>
        <w:t>До дальнейшего указания</w:t>
      </w:r>
      <w:r w:rsidR="00704EB4">
        <w:rPr>
          <w:lang w:bidi="ru-RU"/>
        </w:rPr>
        <w:t>»</w:t>
      </w:r>
      <w:r w:rsidRPr="002C6BC2">
        <w:rPr>
          <w:lang w:bidi="ru-RU"/>
        </w:rPr>
        <w:t xml:space="preserve"> на </w:t>
      </w:r>
      <w:r w:rsidR="00704EB4">
        <w:rPr>
          <w:lang w:bidi="ru-RU"/>
        </w:rPr>
        <w:t>«</w:t>
      </w:r>
      <w:r w:rsidRPr="002C6BC2">
        <w:rPr>
          <w:lang w:bidi="ru-RU"/>
        </w:rPr>
        <w:t>С 1 января 2015 года до 31 декабря 2017 года</w:t>
      </w:r>
      <w:r w:rsidR="00704EB4">
        <w:rPr>
          <w:lang w:bidi="ru-RU"/>
        </w:rPr>
        <w:t>»</w:t>
      </w:r>
      <w:r w:rsidRPr="002C6BC2">
        <w:rPr>
          <w:lang w:bidi="ru-RU"/>
        </w:rPr>
        <w:t>.</w:t>
      </w:r>
    </w:p>
    <w:p w:rsidR="002C6BC2" w:rsidRPr="002C6BC2" w:rsidRDefault="002C6BC2" w:rsidP="002C6BC2">
      <w:pPr>
        <w:pStyle w:val="SingleTxt"/>
        <w:rPr>
          <w:lang w:bidi="ru-RU"/>
        </w:rPr>
      </w:pPr>
      <w:r w:rsidRPr="002C6BC2">
        <w:rPr>
          <w:lang w:bidi="ru-RU"/>
        </w:rPr>
        <w:t xml:space="preserve">Для стандарта </w:t>
      </w:r>
      <w:r w:rsidR="00704EB4">
        <w:rPr>
          <w:lang w:bidi="ru-RU"/>
        </w:rPr>
        <w:t>«</w:t>
      </w:r>
      <w:r w:rsidRPr="002C6BC2">
        <w:rPr>
          <w:lang w:bidi="ru-RU"/>
        </w:rPr>
        <w:t>EN 12493:2013</w:t>
      </w:r>
      <w:r w:rsidR="00704EB4">
        <w:rPr>
          <w:lang w:bidi="ru-RU"/>
        </w:rPr>
        <w:t>»</w:t>
      </w:r>
      <w:r w:rsidRPr="002C6BC2">
        <w:rPr>
          <w:lang w:bidi="ru-RU"/>
        </w:rPr>
        <w:t xml:space="preserve"> в колонке (5) включить </w:t>
      </w:r>
      <w:r w:rsidR="00704EB4">
        <w:rPr>
          <w:lang w:bidi="ru-RU"/>
        </w:rPr>
        <w:t>«</w:t>
      </w:r>
      <w:r w:rsidRPr="002C6BC2">
        <w:rPr>
          <w:lang w:bidi="ru-RU"/>
        </w:rPr>
        <w:t>31 декабря 2018 года</w:t>
      </w:r>
      <w:r w:rsidR="00704EB4">
        <w:rPr>
          <w:lang w:bidi="ru-RU"/>
        </w:rPr>
        <w:t>»</w:t>
      </w:r>
      <w:r w:rsidRPr="002C6BC2">
        <w:rPr>
          <w:lang w:bidi="ru-RU"/>
        </w:rPr>
        <w:t>.</w:t>
      </w:r>
    </w:p>
    <w:p w:rsidR="002C6BC2" w:rsidRPr="002C6BC2" w:rsidRDefault="002C6BC2" w:rsidP="00A9160C">
      <w:pPr>
        <w:pStyle w:val="SingleTxt"/>
        <w:keepNext/>
        <w:rPr>
          <w:lang w:bidi="ru-RU"/>
        </w:rPr>
      </w:pPr>
      <w:r w:rsidRPr="002C6BC2">
        <w:rPr>
          <w:lang w:bidi="ru-RU"/>
        </w:rPr>
        <w:lastRenderedPageBreak/>
        <w:t xml:space="preserve">После стандарта </w:t>
      </w:r>
      <w:r w:rsidR="00704EB4">
        <w:rPr>
          <w:lang w:bidi="ru-RU"/>
        </w:rPr>
        <w:t>«</w:t>
      </w:r>
      <w:r w:rsidRPr="002C6BC2">
        <w:rPr>
          <w:lang w:bidi="ru-RU"/>
        </w:rPr>
        <w:t>EN 12493:2013</w:t>
      </w:r>
      <w:r w:rsidR="00704EB4">
        <w:rPr>
          <w:lang w:bidi="ru-RU"/>
        </w:rPr>
        <w:t>»</w:t>
      </w:r>
      <w:r w:rsidRPr="002C6BC2">
        <w:rPr>
          <w:lang w:bidi="ru-RU"/>
        </w:rPr>
        <w:t xml:space="preserve"> включить следующий новый стандарт:</w:t>
      </w:r>
    </w:p>
    <w:p w:rsidR="002C6BC2" w:rsidRDefault="002C6BC2" w:rsidP="00A9160C">
      <w:pPr>
        <w:pStyle w:val="SingleTxt"/>
        <w:keepNext/>
        <w:spacing w:after="0" w:line="120" w:lineRule="exact"/>
        <w:rPr>
          <w:sz w:val="10"/>
        </w:rPr>
      </w:pPr>
    </w:p>
    <w:p w:rsidR="00704EB4" w:rsidRDefault="00704EB4" w:rsidP="00A9160C">
      <w:pPr>
        <w:pStyle w:val="SingleTxt"/>
        <w:keepNext/>
        <w:spacing w:after="0" w:line="120" w:lineRule="exact"/>
        <w:rPr>
          <w:sz w:val="10"/>
        </w:rPr>
      </w:pPr>
    </w:p>
    <w:tbl>
      <w:tblPr>
        <w:tblW w:w="92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4428"/>
        <w:gridCol w:w="1080"/>
        <w:gridCol w:w="1341"/>
        <w:gridCol w:w="693"/>
      </w:tblGrid>
      <w:tr w:rsidR="00C24562" w:rsidTr="00A9160C">
        <w:tc>
          <w:tcPr>
            <w:tcW w:w="17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04EB4" w:rsidRDefault="00704EB4" w:rsidP="00A9160C">
            <w:pPr>
              <w:keepNext/>
              <w:tabs>
                <w:tab w:val="left" w:pos="1418"/>
              </w:tabs>
              <w:suppressAutoHyphens/>
              <w:spacing w:before="40" w:after="80"/>
              <w:ind w:right="43"/>
              <w:jc w:val="center"/>
              <w:rPr>
                <w:rFonts w:cs="Arial"/>
                <w:lang w:bidi="ru-RU"/>
              </w:rPr>
            </w:pPr>
            <w:r>
              <w:t>(1)</w:t>
            </w:r>
          </w:p>
        </w:tc>
        <w:tc>
          <w:tcPr>
            <w:tcW w:w="44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04EB4" w:rsidRDefault="00704EB4" w:rsidP="00A9160C">
            <w:pPr>
              <w:keepNext/>
              <w:tabs>
                <w:tab w:val="left" w:pos="1418"/>
              </w:tabs>
              <w:suppressAutoHyphens/>
              <w:spacing w:before="40" w:after="80"/>
              <w:ind w:right="43"/>
              <w:jc w:val="center"/>
              <w:rPr>
                <w:rFonts w:cs="Arial"/>
                <w:lang w:bidi="ru-RU"/>
              </w:rPr>
            </w:pPr>
            <w:r>
              <w:t>(2)</w:t>
            </w:r>
          </w:p>
        </w:tc>
        <w:tc>
          <w:tcPr>
            <w:tcW w:w="108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04EB4" w:rsidRDefault="00704EB4" w:rsidP="00A9160C">
            <w:pPr>
              <w:keepNext/>
              <w:tabs>
                <w:tab w:val="left" w:pos="1418"/>
              </w:tabs>
              <w:suppressAutoHyphens/>
              <w:spacing w:before="40" w:after="80"/>
              <w:ind w:right="43"/>
              <w:jc w:val="center"/>
              <w:rPr>
                <w:rFonts w:cs="Arial"/>
                <w:lang w:bidi="ru-RU"/>
              </w:rPr>
            </w:pPr>
            <w:r>
              <w:t>(3)</w:t>
            </w:r>
          </w:p>
        </w:tc>
        <w:tc>
          <w:tcPr>
            <w:tcW w:w="134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04EB4" w:rsidRDefault="00704EB4" w:rsidP="00A9160C">
            <w:pPr>
              <w:keepNext/>
              <w:tabs>
                <w:tab w:val="left" w:pos="1418"/>
              </w:tabs>
              <w:suppressAutoHyphens/>
              <w:spacing w:before="40" w:after="80"/>
              <w:ind w:right="43"/>
              <w:jc w:val="center"/>
              <w:rPr>
                <w:rFonts w:cs="Arial"/>
                <w:lang w:bidi="ru-RU"/>
              </w:rPr>
            </w:pPr>
            <w:r>
              <w:t>(4)</w:t>
            </w:r>
          </w:p>
        </w:tc>
        <w:tc>
          <w:tcPr>
            <w:tcW w:w="69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04EB4" w:rsidRDefault="00704EB4" w:rsidP="00A9160C">
            <w:pPr>
              <w:keepNext/>
              <w:tabs>
                <w:tab w:val="left" w:pos="1418"/>
              </w:tabs>
              <w:suppressAutoHyphens/>
              <w:spacing w:before="40" w:after="80"/>
              <w:ind w:right="43"/>
              <w:jc w:val="center"/>
              <w:rPr>
                <w:rFonts w:cs="Arial"/>
                <w:lang w:bidi="ru-RU"/>
              </w:rPr>
            </w:pPr>
            <w:r>
              <w:t>(5)</w:t>
            </w:r>
          </w:p>
        </w:tc>
      </w:tr>
      <w:tr w:rsidR="00C24562" w:rsidTr="00A9160C">
        <w:tc>
          <w:tcPr>
            <w:tcW w:w="17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04EB4" w:rsidRDefault="00704EB4" w:rsidP="00A9160C">
            <w:pPr>
              <w:keepNext/>
              <w:tabs>
                <w:tab w:val="left" w:pos="1418"/>
              </w:tabs>
              <w:suppressAutoHyphens/>
              <w:spacing w:before="40" w:after="80"/>
              <w:ind w:right="43"/>
              <w:rPr>
                <w:rFonts w:cs="Arial"/>
                <w:lang w:bidi="ru-RU"/>
              </w:rPr>
            </w:pPr>
            <w:r>
              <w:t xml:space="preserve">EN 12493:2013 + A1:2014 </w:t>
            </w:r>
            <w:r w:rsidR="00C24562">
              <w:br/>
            </w:r>
            <w:r>
              <w:t>(за исключением приложения C)</w:t>
            </w:r>
          </w:p>
        </w:tc>
        <w:tc>
          <w:tcPr>
            <w:tcW w:w="44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04EB4" w:rsidRPr="0020152D" w:rsidRDefault="00704EB4" w:rsidP="00A9160C">
            <w:pPr>
              <w:keepNext/>
              <w:tabs>
                <w:tab w:val="left" w:pos="625"/>
              </w:tabs>
              <w:spacing w:before="40" w:after="80"/>
              <w:ind w:right="43"/>
            </w:pPr>
            <w:r>
              <w:t xml:space="preserve">Оборудование и вспомогательные приспособления для СНГ </w:t>
            </w:r>
            <w:r w:rsidR="00C24562">
              <w:t>–</w:t>
            </w:r>
            <w:r>
              <w:t xml:space="preserve"> Сварные стальные цистерны для сжиженного нефтяного газа (СНГ) </w:t>
            </w:r>
            <w:r w:rsidR="00C24562">
              <w:t>–</w:t>
            </w:r>
            <w:r>
              <w:t xml:space="preserve"> </w:t>
            </w:r>
            <w:r w:rsidR="0020152D">
              <w:br/>
            </w:r>
            <w:r>
              <w:t xml:space="preserve">Автоцистерны </w:t>
            </w:r>
            <w:r w:rsidR="00C24562">
              <w:t>–</w:t>
            </w:r>
            <w:r>
              <w:t xml:space="preserve"> Конструкция и изготовление</w:t>
            </w:r>
          </w:p>
          <w:p w:rsidR="00704EB4" w:rsidRDefault="00704EB4" w:rsidP="00A9160C">
            <w:pPr>
              <w:keepNext/>
              <w:tabs>
                <w:tab w:val="left" w:pos="1418"/>
              </w:tabs>
              <w:suppressAutoHyphens/>
              <w:spacing w:before="40" w:after="80"/>
              <w:ind w:right="43"/>
              <w:jc w:val="both"/>
              <w:rPr>
                <w:rFonts w:cs="Arial"/>
                <w:lang w:bidi="ru-RU"/>
              </w:rPr>
            </w:pPr>
            <w:r>
              <w:rPr>
                <w:b/>
                <w:i/>
              </w:rPr>
              <w:t xml:space="preserve">ПРИМЕЧАНИЕ: </w:t>
            </w:r>
            <w:r w:rsidR="00C24562">
              <w:rPr>
                <w:i/>
              </w:rPr>
              <w:t>«</w:t>
            </w:r>
            <w:r>
              <w:rPr>
                <w:i/>
              </w:rPr>
              <w:t>Автоцистерны</w:t>
            </w:r>
            <w:r w:rsidR="00C24562">
              <w:rPr>
                <w:i/>
              </w:rPr>
              <w:t>»</w:t>
            </w:r>
            <w:r>
              <w:rPr>
                <w:i/>
              </w:rPr>
              <w:t xml:space="preserve"> следует понимать как </w:t>
            </w:r>
            <w:r w:rsidR="00C24562">
              <w:rPr>
                <w:i/>
              </w:rPr>
              <w:t>«</w:t>
            </w:r>
            <w:r>
              <w:rPr>
                <w:i/>
              </w:rPr>
              <w:t>встроенные цистерны</w:t>
            </w:r>
            <w:r w:rsidR="00C24562">
              <w:rPr>
                <w:i/>
              </w:rPr>
              <w:t>»</w:t>
            </w:r>
            <w:r>
              <w:rPr>
                <w:i/>
              </w:rPr>
              <w:t xml:space="preserve"> и</w:t>
            </w:r>
            <w:r w:rsidR="00C24562">
              <w:rPr>
                <w:i/>
              </w:rPr>
              <w:t> «</w:t>
            </w:r>
            <w:r>
              <w:rPr>
                <w:i/>
              </w:rPr>
              <w:t>съемные цистерны</w:t>
            </w:r>
            <w:r w:rsidR="00C24562">
              <w:rPr>
                <w:i/>
              </w:rPr>
              <w:t>»</w:t>
            </w:r>
            <w:r>
              <w:rPr>
                <w:i/>
              </w:rPr>
              <w:t xml:space="preserve"> по смыслу ДОПОГ.</w:t>
            </w:r>
          </w:p>
        </w:tc>
        <w:tc>
          <w:tcPr>
            <w:tcW w:w="108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04EB4" w:rsidRDefault="00704EB4" w:rsidP="00A9160C">
            <w:pPr>
              <w:keepNext/>
              <w:tabs>
                <w:tab w:val="left" w:pos="1418"/>
              </w:tabs>
              <w:suppressAutoHyphens/>
              <w:spacing w:before="40" w:after="80"/>
              <w:ind w:right="43"/>
              <w:jc w:val="center"/>
              <w:rPr>
                <w:rFonts w:cs="Arial"/>
                <w:lang w:bidi="ru-RU"/>
              </w:rPr>
            </w:pPr>
            <w:r>
              <w:t>6.8.2.1, 6.8.2.5, 6.8.3.1, 6.8.3.5, 6.8.5.1</w:t>
            </w:r>
            <w:r w:rsidR="00C24562">
              <w:t>–</w:t>
            </w:r>
            <w:r>
              <w:t>6.8.5.3</w:t>
            </w:r>
          </w:p>
        </w:tc>
        <w:tc>
          <w:tcPr>
            <w:tcW w:w="134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04EB4" w:rsidRDefault="00704EB4" w:rsidP="00A9160C">
            <w:pPr>
              <w:keepNext/>
              <w:tabs>
                <w:tab w:val="left" w:pos="1418"/>
              </w:tabs>
              <w:suppressAutoHyphens/>
              <w:spacing w:before="40" w:after="80"/>
              <w:ind w:right="43"/>
              <w:jc w:val="center"/>
              <w:rPr>
                <w:rFonts w:cs="Arial"/>
                <w:lang w:bidi="ru-RU"/>
              </w:rPr>
            </w:pPr>
            <w:r>
              <w:t>До дальнейшего указания</w:t>
            </w:r>
          </w:p>
        </w:tc>
        <w:tc>
          <w:tcPr>
            <w:tcW w:w="693" w:type="dxa"/>
            <w:tcBorders>
              <w:top w:val="single" w:sz="4" w:space="0" w:color="auto"/>
              <w:left w:val="single" w:sz="4" w:space="0" w:color="auto"/>
              <w:bottom w:val="single" w:sz="4" w:space="0" w:color="auto"/>
              <w:right w:val="single" w:sz="4" w:space="0" w:color="auto"/>
            </w:tcBorders>
            <w:tcMar>
              <w:left w:w="43" w:type="dxa"/>
              <w:right w:w="43" w:type="dxa"/>
            </w:tcMar>
          </w:tcPr>
          <w:p w:rsidR="00704EB4" w:rsidRDefault="00704EB4" w:rsidP="00A9160C">
            <w:pPr>
              <w:keepNext/>
              <w:tabs>
                <w:tab w:val="left" w:pos="1418"/>
              </w:tabs>
              <w:suppressAutoHyphens/>
              <w:spacing w:before="40" w:after="80"/>
              <w:ind w:right="43"/>
              <w:rPr>
                <w:rFonts w:cs="Arial"/>
                <w:lang w:bidi="ru-RU"/>
              </w:rPr>
            </w:pPr>
          </w:p>
        </w:tc>
      </w:tr>
    </w:tbl>
    <w:p w:rsidR="002C6BC2" w:rsidRPr="002C6BC2" w:rsidRDefault="002C6BC2" w:rsidP="002C6BC2">
      <w:pPr>
        <w:pStyle w:val="SingleTxt"/>
        <w:spacing w:after="0" w:line="120" w:lineRule="exact"/>
        <w:rPr>
          <w:sz w:val="10"/>
        </w:rPr>
      </w:pPr>
    </w:p>
    <w:p w:rsidR="002C6BC2" w:rsidRPr="002C6BC2" w:rsidRDefault="002C6BC2" w:rsidP="002C6BC2">
      <w:pPr>
        <w:pStyle w:val="SingleTxt"/>
        <w:spacing w:after="0" w:line="120" w:lineRule="exact"/>
        <w:rPr>
          <w:sz w:val="10"/>
        </w:rPr>
      </w:pPr>
    </w:p>
    <w:p w:rsidR="002C6BC2" w:rsidRPr="002C6BC2" w:rsidRDefault="002C6BC2" w:rsidP="002C6BC2">
      <w:pPr>
        <w:pStyle w:val="SingleTxt"/>
        <w:rPr>
          <w:i/>
          <w:iCs/>
        </w:rPr>
      </w:pPr>
      <w:r w:rsidRPr="002C6BC2">
        <w:rPr>
          <w:i/>
        </w:rPr>
        <w:t xml:space="preserve">(Справочный документ: неофициальный документ </w:t>
      </w:r>
      <w:r w:rsidRPr="002C6BC2">
        <w:rPr>
          <w:i/>
          <w:lang w:val="en-US"/>
        </w:rPr>
        <w:t>INF</w:t>
      </w:r>
      <w:r w:rsidRPr="002C6BC2">
        <w:rPr>
          <w:i/>
        </w:rPr>
        <w:t>.13)</w:t>
      </w:r>
    </w:p>
    <w:p w:rsidR="002C6BC2" w:rsidRPr="002C6BC2" w:rsidRDefault="002C6BC2" w:rsidP="002C6BC2">
      <w:pPr>
        <w:pStyle w:val="SingleTxt"/>
        <w:rPr>
          <w:bCs/>
        </w:rPr>
      </w:pPr>
      <w:r w:rsidRPr="002C6BC2">
        <w:t xml:space="preserve">6.8.4 </w:t>
      </w:r>
      <w:r w:rsidRPr="000E72F9">
        <w:rPr>
          <w:lang w:val="fr-FR"/>
        </w:rPr>
        <w:t>TT</w:t>
      </w:r>
      <w:r w:rsidRPr="002C6BC2">
        <w:t>11</w:t>
      </w:r>
      <w:r w:rsidRPr="002C6BC2">
        <w:tab/>
      </w:r>
      <w:r w:rsidR="000807C3">
        <w:tab/>
      </w:r>
      <w:r w:rsidRPr="002C6BC2">
        <w:t xml:space="preserve">Заменить </w:t>
      </w:r>
      <w:r w:rsidR="00704EB4">
        <w:t>«</w:t>
      </w:r>
      <w:r w:rsidRPr="000E72F9">
        <w:rPr>
          <w:lang w:val="fr-FR"/>
        </w:rPr>
        <w:t>EN</w:t>
      </w:r>
      <w:r w:rsidRPr="002C6BC2">
        <w:t xml:space="preserve"> 12493:2013</w:t>
      </w:r>
      <w:r w:rsidR="00704EB4">
        <w:t>»</w:t>
      </w:r>
      <w:r w:rsidRPr="002C6BC2">
        <w:t xml:space="preserve"> на </w:t>
      </w:r>
      <w:r w:rsidR="00704EB4">
        <w:t>«</w:t>
      </w:r>
      <w:r w:rsidRPr="000E72F9">
        <w:rPr>
          <w:lang w:val="fr-FR"/>
        </w:rPr>
        <w:t>EN</w:t>
      </w:r>
      <w:r w:rsidRPr="002C6BC2">
        <w:t xml:space="preserve"> 12493:2013 + </w:t>
      </w:r>
      <w:r w:rsidRPr="000E72F9">
        <w:rPr>
          <w:lang w:val="fr-FR"/>
        </w:rPr>
        <w:t>A</w:t>
      </w:r>
      <w:r w:rsidRPr="002C6BC2">
        <w:t>1:2014</w:t>
      </w:r>
      <w:r w:rsidR="00704EB4">
        <w:t>»</w:t>
      </w:r>
      <w:r w:rsidRPr="002C6BC2">
        <w:t>.</w:t>
      </w:r>
    </w:p>
    <w:p w:rsidR="00B76682" w:rsidRDefault="002C6BC2" w:rsidP="002C6BC2">
      <w:pPr>
        <w:pStyle w:val="SingleTxt"/>
        <w:rPr>
          <w:i/>
        </w:rPr>
      </w:pPr>
      <w:r w:rsidRPr="002C6BC2">
        <w:rPr>
          <w:i/>
        </w:rPr>
        <w:t xml:space="preserve">(Справочный документ: неофициальный документ </w:t>
      </w:r>
      <w:r w:rsidRPr="002C6BC2">
        <w:rPr>
          <w:i/>
          <w:lang w:val="en-US"/>
        </w:rPr>
        <w:t>INF</w:t>
      </w:r>
      <w:r w:rsidRPr="002C6BC2">
        <w:rPr>
          <w:i/>
        </w:rPr>
        <w:t>.13)</w:t>
      </w:r>
    </w:p>
    <w:p w:rsidR="00B76682" w:rsidRPr="00B76682" w:rsidRDefault="00B76682" w:rsidP="00B76682">
      <w:pPr>
        <w:pStyle w:val="SingleTxt"/>
        <w:spacing w:after="0" w:line="120" w:lineRule="exact"/>
        <w:rPr>
          <w:i/>
          <w:sz w:val="10"/>
        </w:rPr>
      </w:pPr>
    </w:p>
    <w:p w:rsidR="00B76682" w:rsidRPr="00B76682" w:rsidRDefault="00B76682" w:rsidP="00B76682">
      <w:pPr>
        <w:pStyle w:val="SingleTxt"/>
        <w:spacing w:after="0" w:line="120" w:lineRule="exact"/>
        <w:rPr>
          <w:i/>
          <w:sz w:val="10"/>
        </w:rPr>
      </w:pPr>
    </w:p>
    <w:p w:rsidR="002C6BC2" w:rsidRPr="002C6BC2" w:rsidRDefault="00B76682" w:rsidP="00B766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br w:type="page"/>
      </w:r>
      <w:r w:rsidR="002C6BC2" w:rsidRPr="002C6BC2">
        <w:lastRenderedPageBreak/>
        <w:t xml:space="preserve">Приложение </w:t>
      </w:r>
      <w:r w:rsidR="002C6BC2" w:rsidRPr="002C6BC2">
        <w:rPr>
          <w:lang w:val="en-US"/>
        </w:rPr>
        <w:t>II</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B766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6BC2">
        <w:tab/>
      </w:r>
      <w:r w:rsidRPr="002C6BC2">
        <w:tab/>
        <w:t xml:space="preserve">Проекты поправок к приложениям А и В к ДОПОГ </w:t>
      </w:r>
      <w:r w:rsidR="00B76682">
        <w:br/>
      </w:r>
      <w:r w:rsidRPr="002C6BC2">
        <w:t>(для скорейшего вступления в силу)</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C6BC2">
        <w:rPr>
          <w:lang w:bidi="ru-RU"/>
        </w:rPr>
        <w:tab/>
      </w:r>
      <w:r w:rsidRPr="002C6BC2">
        <w:rPr>
          <w:lang w:bidi="ru-RU"/>
        </w:rPr>
        <w:tab/>
        <w:t>Глава 2.2</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SingleTxt"/>
      </w:pPr>
      <w:r w:rsidRPr="002C6BC2">
        <w:t>2.2.52.1.17</w:t>
      </w:r>
      <w:r w:rsidR="00660C19">
        <w:tab/>
      </w:r>
      <w:r w:rsidRPr="002C6BC2">
        <w:t xml:space="preserve">В примечании заменить </w:t>
      </w:r>
      <w:r w:rsidR="00704EB4">
        <w:t>«</w:t>
      </w:r>
      <w:r w:rsidRPr="002C6BC2">
        <w:t xml:space="preserve">Руководстве по испытаниям и критериям, часть </w:t>
      </w:r>
      <w:r w:rsidRPr="002C6BC2">
        <w:rPr>
          <w:lang w:val="en-US"/>
        </w:rPr>
        <w:t>II</w:t>
      </w:r>
      <w:r w:rsidRPr="002C6BC2">
        <w:t>, разделы 20 и 28.4</w:t>
      </w:r>
      <w:r w:rsidR="00704EB4">
        <w:t>»</w:t>
      </w:r>
      <w:r w:rsidRPr="002C6BC2">
        <w:t xml:space="preserve"> на </w:t>
      </w:r>
      <w:r w:rsidR="00704EB4">
        <w:t>«</w:t>
      </w:r>
      <w:r w:rsidRPr="002C6BC2">
        <w:t>Руководстве по испытаниям и критериям, часть</w:t>
      </w:r>
      <w:r w:rsidRPr="002C6BC2">
        <w:rPr>
          <w:lang w:val="en-US"/>
        </w:rPr>
        <w:t> II</w:t>
      </w:r>
      <w:r w:rsidRPr="002C6BC2">
        <w:t>, раздел 20, и в описании испытания серии Е в разделе 25</w:t>
      </w:r>
      <w:r w:rsidR="00704EB4">
        <w:t>»</w:t>
      </w:r>
      <w:r w:rsidRPr="002C6BC2">
        <w:t>.</w:t>
      </w:r>
    </w:p>
    <w:p w:rsidR="002C6BC2" w:rsidRPr="002C6BC2" w:rsidRDefault="002C6BC2" w:rsidP="002C6BC2">
      <w:pPr>
        <w:pStyle w:val="SingleTxt"/>
        <w:rPr>
          <w:i/>
        </w:rPr>
      </w:pPr>
      <w:r w:rsidRPr="002C6BC2">
        <w:rPr>
          <w:i/>
        </w:rPr>
        <w:t xml:space="preserve">(Справочный документ: неофициальный документ </w:t>
      </w:r>
      <w:r w:rsidRPr="002C6BC2">
        <w:rPr>
          <w:i/>
          <w:lang w:val="en-US"/>
        </w:rPr>
        <w:t>INF</w:t>
      </w:r>
      <w:r w:rsidRPr="002C6BC2">
        <w:rPr>
          <w:i/>
        </w:rPr>
        <w:t>.13)</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C6BC2">
        <w:rPr>
          <w:lang w:bidi="ru-RU"/>
        </w:rPr>
        <w:tab/>
      </w:r>
      <w:r w:rsidRPr="002C6BC2">
        <w:rPr>
          <w:lang w:bidi="ru-RU"/>
        </w:rPr>
        <w:tab/>
        <w:t>Глава 3.3</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SingleTxt"/>
      </w:pPr>
      <w:r w:rsidRPr="002C6BC2">
        <w:t>СП 529</w:t>
      </w:r>
      <w:r w:rsidRPr="002C6BC2">
        <w:tab/>
        <w:t xml:space="preserve">Изменить последнее предложение следующим образом: </w:t>
      </w:r>
      <w:r w:rsidR="00704EB4">
        <w:t>«</w:t>
      </w:r>
      <w:r w:rsidRPr="002C6BC2">
        <w:t>Хлорид ртути (каломель) является веществом класса 6.1 (№ ООН 2025)</w:t>
      </w:r>
      <w:r w:rsidR="00704EB4">
        <w:t>»</w:t>
      </w:r>
      <w:r w:rsidRPr="002C6BC2">
        <w:t>.</w:t>
      </w:r>
    </w:p>
    <w:p w:rsidR="002C6BC2" w:rsidRPr="002C6BC2" w:rsidRDefault="002C6BC2" w:rsidP="002C6BC2">
      <w:pPr>
        <w:pStyle w:val="SingleTxt"/>
        <w:rPr>
          <w:i/>
        </w:rPr>
      </w:pPr>
      <w:r w:rsidRPr="002C6BC2">
        <w:rPr>
          <w:i/>
        </w:rPr>
        <w:t xml:space="preserve">(Справочный документ: неофициальный документ </w:t>
      </w:r>
      <w:r w:rsidRPr="002C6BC2">
        <w:rPr>
          <w:i/>
          <w:lang w:val="en-US"/>
        </w:rPr>
        <w:t>INF</w:t>
      </w:r>
      <w:r w:rsidRPr="002C6BC2">
        <w:rPr>
          <w:i/>
        </w:rPr>
        <w:t>.13)</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C6BC2">
        <w:rPr>
          <w:lang w:bidi="ru-RU"/>
        </w:rPr>
        <w:tab/>
      </w:r>
      <w:r w:rsidRPr="002C6BC2">
        <w:rPr>
          <w:lang w:bidi="ru-RU"/>
        </w:rPr>
        <w:tab/>
        <w:t>Глава 6.2</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SingleTxt"/>
      </w:pPr>
      <w:r w:rsidRPr="002C6BC2">
        <w:t>6.2.2.4</w:t>
      </w:r>
      <w:r w:rsidR="00660C19">
        <w:tab/>
      </w:r>
      <w:r w:rsidRPr="002C6BC2">
        <w:t xml:space="preserve">В таблице заменить название последней колонки </w:t>
      </w:r>
      <w:r w:rsidR="00704EB4">
        <w:t>«</w:t>
      </w:r>
      <w:r w:rsidRPr="002C6BC2">
        <w:t>Применяется для изготовления</w:t>
      </w:r>
      <w:r w:rsidR="00704EB4">
        <w:t>»</w:t>
      </w:r>
      <w:r w:rsidRPr="002C6BC2">
        <w:t xml:space="preserve"> на </w:t>
      </w:r>
      <w:r w:rsidR="00704EB4">
        <w:t>«</w:t>
      </w:r>
      <w:r w:rsidRPr="002C6BC2">
        <w:t>Применяется</w:t>
      </w:r>
      <w:r w:rsidR="00704EB4">
        <w:t>»</w:t>
      </w:r>
      <w:r w:rsidRPr="002C6BC2">
        <w:t>.</w:t>
      </w:r>
    </w:p>
    <w:p w:rsidR="002C6BC2" w:rsidRPr="002C6BC2" w:rsidRDefault="002C6BC2" w:rsidP="002C6BC2">
      <w:pPr>
        <w:pStyle w:val="SingleTxt"/>
        <w:rPr>
          <w:i/>
          <w:iCs/>
        </w:rPr>
      </w:pPr>
      <w:r w:rsidRPr="002C6BC2">
        <w:rPr>
          <w:i/>
        </w:rPr>
        <w:t xml:space="preserve">(Справочный документ: неофициальный документ </w:t>
      </w:r>
      <w:r w:rsidRPr="002C6BC2">
        <w:rPr>
          <w:i/>
          <w:lang w:val="en-US"/>
        </w:rPr>
        <w:t>INF</w:t>
      </w:r>
      <w:r w:rsidRPr="002C6BC2">
        <w:rPr>
          <w:i/>
        </w:rPr>
        <w:t>.13)</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C6BC2">
        <w:rPr>
          <w:lang w:bidi="ru-RU"/>
        </w:rPr>
        <w:tab/>
      </w:r>
      <w:r w:rsidRPr="002C6BC2">
        <w:rPr>
          <w:lang w:bidi="ru-RU"/>
        </w:rPr>
        <w:tab/>
        <w:t>Глава 9.1</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SingleTxt"/>
      </w:pPr>
      <w:r w:rsidRPr="002C6BC2">
        <w:t>9.1.1.1</w:t>
      </w:r>
      <w:r w:rsidRPr="002C6BC2">
        <w:tab/>
        <w:t xml:space="preserve">В первом предложении исключить </w:t>
      </w:r>
      <w:r w:rsidR="00704EB4" w:rsidRPr="0020152D">
        <w:t>«</w:t>
      </w:r>
      <w:r w:rsidRPr="002C6BC2">
        <w:rPr>
          <w:i/>
        </w:rPr>
        <w:t>приложении</w:t>
      </w:r>
      <w:r w:rsidRPr="002C6BC2">
        <w:t xml:space="preserve"> 7 к</w:t>
      </w:r>
      <w:r w:rsidR="00704EB4">
        <w:t>»</w:t>
      </w:r>
      <w:r w:rsidRPr="002C6BC2">
        <w:t>.</w:t>
      </w:r>
    </w:p>
    <w:p w:rsidR="002C6BC2" w:rsidRPr="002C6BC2" w:rsidRDefault="002C6BC2" w:rsidP="002C6BC2">
      <w:pPr>
        <w:pStyle w:val="SingleTxt"/>
      </w:pPr>
      <w:r w:rsidRPr="002C6BC2">
        <w:t>9.1.1.2 и 9.1.2.2</w:t>
      </w:r>
      <w:r w:rsidRPr="002C6BC2">
        <w:tab/>
      </w:r>
      <w:r w:rsidR="00660C19">
        <w:tab/>
      </w:r>
      <w:r w:rsidRPr="002C6BC2">
        <w:t>К тексту на английском языке не относится.</w:t>
      </w:r>
    </w:p>
    <w:p w:rsidR="002C6BC2" w:rsidRPr="002C6BC2" w:rsidRDefault="002C6BC2" w:rsidP="002C6BC2">
      <w:pPr>
        <w:pStyle w:val="SingleTxt"/>
        <w:rPr>
          <w:i/>
        </w:rPr>
      </w:pPr>
      <w:r w:rsidRPr="002C6BC2">
        <w:rPr>
          <w:i/>
        </w:rPr>
        <w:t xml:space="preserve">(Справочный документ: неофициальный документ </w:t>
      </w:r>
      <w:r w:rsidRPr="002C6BC2">
        <w:rPr>
          <w:i/>
          <w:lang w:val="en-US"/>
        </w:rPr>
        <w:t>INF</w:t>
      </w:r>
      <w:r w:rsidRPr="002C6BC2">
        <w:rPr>
          <w:i/>
        </w:rPr>
        <w:t>.9)</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C6BC2">
        <w:rPr>
          <w:lang w:bidi="ru-RU"/>
        </w:rPr>
        <w:tab/>
      </w:r>
      <w:r w:rsidRPr="002C6BC2">
        <w:rPr>
          <w:lang w:bidi="ru-RU"/>
        </w:rPr>
        <w:tab/>
        <w:t>Глава 9.2</w:t>
      </w:r>
    </w:p>
    <w:p w:rsidR="002C6BC2" w:rsidRPr="0020017B" w:rsidRDefault="002C6BC2" w:rsidP="002C6BC2">
      <w:pPr>
        <w:pStyle w:val="SingleTxt"/>
        <w:spacing w:after="0" w:line="120" w:lineRule="exact"/>
        <w:rPr>
          <w:sz w:val="10"/>
        </w:rPr>
      </w:pPr>
    </w:p>
    <w:p w:rsidR="002C6BC2" w:rsidRPr="0020017B" w:rsidRDefault="002C6BC2" w:rsidP="002C6BC2">
      <w:pPr>
        <w:pStyle w:val="SingleTxt"/>
        <w:spacing w:after="0" w:line="120" w:lineRule="exact"/>
        <w:rPr>
          <w:sz w:val="10"/>
        </w:rPr>
      </w:pPr>
    </w:p>
    <w:p w:rsidR="002C6BC2" w:rsidRPr="002C6BC2" w:rsidRDefault="002C6BC2" w:rsidP="002C6BC2">
      <w:pPr>
        <w:pStyle w:val="SingleTxt"/>
      </w:pPr>
      <w:r w:rsidRPr="002C6BC2">
        <w:t>9.2.4.7.1</w:t>
      </w:r>
      <w:r w:rsidRPr="002C6BC2">
        <w:tab/>
        <w:t>Изменить сноску 4 следующим образом:</w:t>
      </w:r>
    </w:p>
    <w:p w:rsidR="002C6BC2" w:rsidRPr="002C6BC2" w:rsidRDefault="00704EB4" w:rsidP="002C6BC2">
      <w:pPr>
        <w:pStyle w:val="SingleTxt"/>
      </w:pPr>
      <w:r>
        <w:t>«</w:t>
      </w:r>
      <w:r w:rsidR="002C6BC2" w:rsidRPr="002C6BC2">
        <w:rPr>
          <w:b/>
          <w:vertAlign w:val="superscript"/>
        </w:rPr>
        <w:t>4</w:t>
      </w:r>
      <w:r w:rsidR="002C6BC2" w:rsidRPr="002C6BC2">
        <w:tab/>
      </w:r>
      <w:r w:rsidR="002C6BC2" w:rsidRPr="002C6BC2">
        <w:rPr>
          <w:i/>
        </w:rPr>
        <w:t>Правила №</w:t>
      </w:r>
      <w:r w:rsidR="002C6BC2" w:rsidRPr="002C6BC2">
        <w:rPr>
          <w:i/>
          <w:lang w:val="en-US"/>
        </w:rPr>
        <w:t> </w:t>
      </w:r>
      <w:r w:rsidR="002C6BC2" w:rsidRPr="002C6BC2">
        <w:rPr>
          <w:i/>
        </w:rPr>
        <w:t xml:space="preserve">122 ЕЭК (Единообразные предписания, касающиеся официального утверждения транспортных средств категорий </w:t>
      </w:r>
      <w:r w:rsidR="002C6BC2" w:rsidRPr="002C6BC2">
        <w:rPr>
          <w:i/>
          <w:lang w:val="en-US"/>
        </w:rPr>
        <w:t>M</w:t>
      </w:r>
      <w:r w:rsidR="002C6BC2" w:rsidRPr="002C6BC2">
        <w:rPr>
          <w:i/>
        </w:rPr>
        <w:t xml:space="preserve">, </w:t>
      </w:r>
      <w:r w:rsidR="002C6BC2" w:rsidRPr="002C6BC2">
        <w:rPr>
          <w:i/>
          <w:lang w:val="en-US"/>
        </w:rPr>
        <w:t>N</w:t>
      </w:r>
      <w:r w:rsidR="002C6BC2" w:rsidRPr="002C6BC2">
        <w:rPr>
          <w:i/>
        </w:rPr>
        <w:t xml:space="preserve"> и </w:t>
      </w:r>
      <w:r w:rsidR="002C6BC2" w:rsidRPr="002C6BC2">
        <w:rPr>
          <w:i/>
          <w:lang w:val="en-US"/>
        </w:rPr>
        <w:t>O</w:t>
      </w:r>
      <w:r w:rsidR="002C6BC2" w:rsidRPr="002C6BC2">
        <w:rPr>
          <w:i/>
        </w:rPr>
        <w:t xml:space="preserve"> в отношении их систем отопления)</w:t>
      </w:r>
      <w:r>
        <w:rPr>
          <w:i/>
        </w:rPr>
        <w:t>»</w:t>
      </w:r>
      <w:r w:rsidR="002C6BC2" w:rsidRPr="002C6BC2">
        <w:rPr>
          <w:i/>
        </w:rPr>
        <w:t>.</w:t>
      </w:r>
    </w:p>
    <w:p w:rsidR="002C6BC2" w:rsidRPr="002C6BC2" w:rsidRDefault="002C6BC2" w:rsidP="002C6BC2">
      <w:pPr>
        <w:pStyle w:val="SingleTxt"/>
      </w:pPr>
      <w:r w:rsidRPr="002C6BC2">
        <w:t>9.2.5</w:t>
      </w:r>
      <w:r w:rsidRPr="002C6BC2">
        <w:tab/>
      </w:r>
      <w:r w:rsidR="000807C3">
        <w:tab/>
      </w:r>
      <w:r w:rsidRPr="002C6BC2">
        <w:t xml:space="preserve">Изменить сноску 5 следующим образом: </w:t>
      </w:r>
    </w:p>
    <w:p w:rsidR="002C6BC2" w:rsidRPr="002C6BC2" w:rsidRDefault="00704EB4" w:rsidP="002C6BC2">
      <w:pPr>
        <w:pStyle w:val="SingleTxt"/>
        <w:rPr>
          <w:bCs/>
          <w:i/>
          <w:iCs/>
          <w:lang w:bidi="ru-RU"/>
        </w:rPr>
      </w:pPr>
      <w:r>
        <w:rPr>
          <w:lang w:bidi="ru-RU"/>
        </w:rPr>
        <w:t>«</w:t>
      </w:r>
      <w:r w:rsidR="002C6BC2" w:rsidRPr="002C6BC2">
        <w:rPr>
          <w:b/>
          <w:vertAlign w:val="superscript"/>
          <w:lang w:bidi="ru-RU"/>
        </w:rPr>
        <w:t>5</w:t>
      </w:r>
      <w:r w:rsidR="002C6BC2" w:rsidRPr="002C6BC2">
        <w:rPr>
          <w:lang w:bidi="ru-RU"/>
        </w:rPr>
        <w:tab/>
      </w:r>
      <w:r w:rsidR="002C6BC2" w:rsidRPr="002C6BC2">
        <w:rPr>
          <w:i/>
          <w:lang w:bidi="ru-RU"/>
        </w:rPr>
        <w:t>Правила № 89 ЕЭК (Единообразные предписания, касающиеся официального утверждения:</w:t>
      </w:r>
    </w:p>
    <w:p w:rsidR="002C6BC2" w:rsidRPr="002C6BC2" w:rsidRDefault="002C6BC2" w:rsidP="00660C19">
      <w:pPr>
        <w:pStyle w:val="SingleTxt"/>
        <w:ind w:left="2218" w:hanging="476"/>
        <w:rPr>
          <w:bCs/>
          <w:i/>
          <w:iCs/>
          <w:lang w:bidi="ru-RU"/>
        </w:rPr>
      </w:pPr>
      <w:r w:rsidRPr="002C6BC2">
        <w:rPr>
          <w:i/>
          <w:lang w:bidi="ru-RU"/>
        </w:rPr>
        <w:t>I.</w:t>
      </w:r>
      <w:r w:rsidR="00660C19">
        <w:rPr>
          <w:i/>
          <w:lang w:bidi="ru-RU"/>
        </w:rPr>
        <w:tab/>
      </w:r>
      <w:r w:rsidRPr="002C6BC2">
        <w:rPr>
          <w:i/>
          <w:lang w:bidi="ru-RU"/>
        </w:rPr>
        <w:t>транспортных средств в отношении ограничения их максимальной скорости или их регулируемой функции ограничения скорости</w:t>
      </w:r>
      <w:r w:rsidRPr="002C6BC2">
        <w:rPr>
          <w:lang w:bidi="ru-RU"/>
        </w:rPr>
        <w:t>;</w:t>
      </w:r>
    </w:p>
    <w:p w:rsidR="002C6BC2" w:rsidRPr="002C6BC2" w:rsidRDefault="002C6BC2" w:rsidP="009A534A">
      <w:pPr>
        <w:pStyle w:val="SingleTxt"/>
        <w:keepNext/>
        <w:keepLines/>
        <w:ind w:left="2218" w:hanging="476"/>
        <w:rPr>
          <w:bCs/>
          <w:i/>
          <w:iCs/>
          <w:lang w:bidi="ru-RU"/>
        </w:rPr>
      </w:pPr>
      <w:r w:rsidRPr="002C6BC2">
        <w:rPr>
          <w:i/>
          <w:lang w:bidi="ru-RU"/>
        </w:rPr>
        <w:lastRenderedPageBreak/>
        <w:t>II.</w:t>
      </w:r>
      <w:r w:rsidRPr="002C6BC2">
        <w:rPr>
          <w:lang w:bidi="ru-RU"/>
        </w:rPr>
        <w:tab/>
      </w:r>
      <w:r w:rsidRPr="002C6BC2">
        <w:rPr>
          <w:i/>
          <w:lang w:bidi="ru-RU"/>
        </w:rPr>
        <w:t>транспортных средств в отношении установки устройств ограничения скорости (УОС) или регулируемого устройства ограничения скорости (РУОС) официально утвержденного типа</w:t>
      </w:r>
    </w:p>
    <w:p w:rsidR="002C6BC2" w:rsidRPr="002C6BC2" w:rsidRDefault="002C6BC2" w:rsidP="009A534A">
      <w:pPr>
        <w:pStyle w:val="SingleTxt"/>
        <w:keepNext/>
        <w:keepLines/>
        <w:ind w:left="2218" w:hanging="476"/>
        <w:rPr>
          <w:bCs/>
          <w:i/>
          <w:iCs/>
          <w:lang w:bidi="ru-RU"/>
        </w:rPr>
      </w:pPr>
      <w:r w:rsidRPr="002C6BC2">
        <w:rPr>
          <w:i/>
          <w:lang w:bidi="ru-RU"/>
        </w:rPr>
        <w:t>III.</w:t>
      </w:r>
      <w:r w:rsidRPr="002C6BC2">
        <w:rPr>
          <w:lang w:bidi="ru-RU"/>
        </w:rPr>
        <w:tab/>
      </w:r>
      <w:r w:rsidRPr="002C6BC2">
        <w:rPr>
          <w:i/>
          <w:lang w:bidi="ru-RU"/>
        </w:rPr>
        <w:t>устройств ограничения скорости (УОС) и регулируемого устройства ограничения скорости (РУОС))</w:t>
      </w:r>
      <w:r w:rsidR="00704EB4">
        <w:rPr>
          <w:i/>
          <w:lang w:bidi="ru-RU"/>
        </w:rPr>
        <w:t>»</w:t>
      </w:r>
      <w:r w:rsidRPr="002C6BC2">
        <w:rPr>
          <w:i/>
          <w:lang w:bidi="ru-RU"/>
        </w:rPr>
        <w:t>.</w:t>
      </w:r>
    </w:p>
    <w:p w:rsidR="002C6BC2" w:rsidRPr="002C6BC2" w:rsidRDefault="002C6BC2" w:rsidP="009A534A">
      <w:pPr>
        <w:pStyle w:val="SingleTxt"/>
        <w:keepNext/>
        <w:keepLines/>
        <w:rPr>
          <w:i/>
          <w:iCs/>
        </w:rPr>
      </w:pPr>
      <w:r w:rsidRPr="002C6BC2">
        <w:rPr>
          <w:i/>
        </w:rPr>
        <w:t xml:space="preserve">(Справочный документ: неофициальный документ </w:t>
      </w:r>
      <w:r w:rsidRPr="002C6BC2">
        <w:rPr>
          <w:i/>
          <w:lang w:val="en-US"/>
        </w:rPr>
        <w:t>INF</w:t>
      </w:r>
      <w:r w:rsidRPr="002C6BC2">
        <w:rPr>
          <w:i/>
        </w:rPr>
        <w:t>.9)</w:t>
      </w:r>
    </w:p>
    <w:p w:rsidR="002C6BC2" w:rsidRPr="002C6BC2" w:rsidRDefault="00626E55" w:rsidP="002C6BC2">
      <w:pPr>
        <w:pStyle w:val="SingleTxt"/>
        <w:spacing w:after="0" w:line="240" w:lineRule="auto"/>
      </w:pPr>
      <w:r w:rsidRPr="00626E55">
        <w:rPr>
          <w:noProof/>
          <w:w w:val="100"/>
          <w:lang w:val="en-GB" w:eastAsia="en-GB"/>
        </w:rPr>
        <w:pict>
          <v:line id="Straight Connector 4" o:spid="_x0000_s1026" style="position:absolute;left:0;text-align:left;z-index:251659264;visibility:visibl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w:r>
    </w:p>
    <w:sectPr w:rsidR="002C6BC2" w:rsidRPr="002C6BC2" w:rsidSect="00CE357C">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7B" w:rsidRDefault="00C14C7B" w:rsidP="008A1A7A">
      <w:pPr>
        <w:spacing w:line="240" w:lineRule="auto"/>
      </w:pPr>
      <w:r>
        <w:separator/>
      </w:r>
    </w:p>
  </w:endnote>
  <w:endnote w:type="continuationSeparator" w:id="0">
    <w:p w:rsidR="00C14C7B" w:rsidRDefault="00C14C7B"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F35AD8" w:rsidTr="00CE357C">
      <w:trPr>
        <w:jc w:val="center"/>
      </w:trPr>
      <w:tc>
        <w:tcPr>
          <w:tcW w:w="5126" w:type="dxa"/>
          <w:shd w:val="clear" w:color="auto" w:fill="auto"/>
          <w:vAlign w:val="bottom"/>
        </w:tcPr>
        <w:p w:rsidR="00F35AD8" w:rsidRPr="00CE357C" w:rsidRDefault="00626E55" w:rsidP="00CE357C">
          <w:pPr>
            <w:pStyle w:val="Pieddepage"/>
            <w:rPr>
              <w:color w:val="000000"/>
            </w:rPr>
          </w:pPr>
          <w:r>
            <w:fldChar w:fldCharType="begin"/>
          </w:r>
          <w:r w:rsidR="00F35AD8">
            <w:instrText xml:space="preserve"> PAGE  \* Arabic  \* MERGEFORMAT </w:instrText>
          </w:r>
          <w:r>
            <w:fldChar w:fldCharType="separate"/>
          </w:r>
          <w:r w:rsidR="000E72F9">
            <w:rPr>
              <w:noProof/>
            </w:rPr>
            <w:t>2</w:t>
          </w:r>
          <w:r>
            <w:fldChar w:fldCharType="end"/>
          </w:r>
          <w:r w:rsidR="00F35AD8">
            <w:t>/</w:t>
          </w:r>
          <w:fldSimple w:instr=" NUMPAGES  \* Arabic  \* MERGEFORMAT ">
            <w:r w:rsidR="000E72F9">
              <w:rPr>
                <w:noProof/>
              </w:rPr>
              <w:t>16</w:t>
            </w:r>
          </w:fldSimple>
        </w:p>
      </w:tc>
      <w:tc>
        <w:tcPr>
          <w:tcW w:w="5127" w:type="dxa"/>
          <w:shd w:val="clear" w:color="auto" w:fill="auto"/>
          <w:vAlign w:val="bottom"/>
        </w:tcPr>
        <w:p w:rsidR="00F35AD8" w:rsidRPr="00CE357C" w:rsidRDefault="00626E55" w:rsidP="00CE357C">
          <w:pPr>
            <w:pStyle w:val="Pieddepage"/>
            <w:jc w:val="right"/>
            <w:rPr>
              <w:b w:val="0"/>
              <w:color w:val="000000"/>
              <w:sz w:val="14"/>
            </w:rPr>
          </w:pPr>
          <w:r>
            <w:rPr>
              <w:b w:val="0"/>
              <w:color w:val="000000"/>
              <w:sz w:val="14"/>
            </w:rPr>
            <w:fldChar w:fldCharType="begin"/>
          </w:r>
          <w:r w:rsidR="00F35AD8">
            <w:rPr>
              <w:b w:val="0"/>
              <w:color w:val="000000"/>
              <w:sz w:val="14"/>
            </w:rPr>
            <w:instrText xml:space="preserve"> DOCVARIABLE "FooterJN" \* MERGEFORMAT </w:instrText>
          </w:r>
          <w:r>
            <w:rPr>
              <w:b w:val="0"/>
              <w:color w:val="000000"/>
              <w:sz w:val="14"/>
            </w:rPr>
            <w:fldChar w:fldCharType="separate"/>
          </w:r>
          <w:r w:rsidR="00772B33">
            <w:rPr>
              <w:b w:val="0"/>
              <w:color w:val="000000"/>
              <w:sz w:val="14"/>
            </w:rPr>
            <w:t>GE.15-07626</w:t>
          </w:r>
          <w:r>
            <w:rPr>
              <w:b w:val="0"/>
              <w:color w:val="000000"/>
              <w:sz w:val="14"/>
            </w:rPr>
            <w:fldChar w:fldCharType="end"/>
          </w:r>
        </w:p>
      </w:tc>
    </w:tr>
  </w:tbl>
  <w:p w:rsidR="00F35AD8" w:rsidRPr="00CE357C" w:rsidRDefault="00F35AD8" w:rsidP="00CE357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F35AD8" w:rsidTr="00CE357C">
      <w:trPr>
        <w:jc w:val="center"/>
      </w:trPr>
      <w:tc>
        <w:tcPr>
          <w:tcW w:w="5126" w:type="dxa"/>
          <w:shd w:val="clear" w:color="auto" w:fill="auto"/>
          <w:vAlign w:val="bottom"/>
        </w:tcPr>
        <w:p w:rsidR="00F35AD8" w:rsidRPr="00CE357C" w:rsidRDefault="00626E55" w:rsidP="00CE357C">
          <w:pPr>
            <w:pStyle w:val="Pieddepage"/>
            <w:rPr>
              <w:b w:val="0"/>
              <w:color w:val="000000"/>
              <w:sz w:val="14"/>
            </w:rPr>
          </w:pPr>
          <w:r>
            <w:rPr>
              <w:b w:val="0"/>
              <w:color w:val="000000"/>
              <w:sz w:val="14"/>
            </w:rPr>
            <w:fldChar w:fldCharType="begin"/>
          </w:r>
          <w:r w:rsidR="00F35AD8">
            <w:rPr>
              <w:b w:val="0"/>
              <w:color w:val="000000"/>
              <w:sz w:val="14"/>
            </w:rPr>
            <w:instrText xml:space="preserve"> DOCVARIABLE "FooterJN" \* MERGEFORMAT </w:instrText>
          </w:r>
          <w:r>
            <w:rPr>
              <w:b w:val="0"/>
              <w:color w:val="000000"/>
              <w:sz w:val="14"/>
            </w:rPr>
            <w:fldChar w:fldCharType="separate"/>
          </w:r>
          <w:r w:rsidR="00772B33">
            <w:rPr>
              <w:b w:val="0"/>
              <w:color w:val="000000"/>
              <w:sz w:val="14"/>
            </w:rPr>
            <w:t>GE.15-07626</w:t>
          </w:r>
          <w:r>
            <w:rPr>
              <w:b w:val="0"/>
              <w:color w:val="000000"/>
              <w:sz w:val="14"/>
            </w:rPr>
            <w:fldChar w:fldCharType="end"/>
          </w:r>
        </w:p>
      </w:tc>
      <w:tc>
        <w:tcPr>
          <w:tcW w:w="5127" w:type="dxa"/>
          <w:shd w:val="clear" w:color="auto" w:fill="auto"/>
          <w:vAlign w:val="bottom"/>
        </w:tcPr>
        <w:p w:rsidR="00F35AD8" w:rsidRPr="00CE357C" w:rsidRDefault="00626E55" w:rsidP="00CE357C">
          <w:pPr>
            <w:pStyle w:val="Pieddepage"/>
            <w:jc w:val="right"/>
          </w:pPr>
          <w:r>
            <w:fldChar w:fldCharType="begin"/>
          </w:r>
          <w:r w:rsidR="00F35AD8">
            <w:instrText xml:space="preserve"> PAGE  \* Arabic  \* MERGEFORMAT </w:instrText>
          </w:r>
          <w:r>
            <w:fldChar w:fldCharType="separate"/>
          </w:r>
          <w:r w:rsidR="000E72F9">
            <w:rPr>
              <w:noProof/>
            </w:rPr>
            <w:t>15</w:t>
          </w:r>
          <w:r>
            <w:fldChar w:fldCharType="end"/>
          </w:r>
          <w:r w:rsidR="00F35AD8">
            <w:t>/</w:t>
          </w:r>
          <w:fldSimple w:instr=" NUMPAGES  \* Arabic  \* MERGEFORMAT ">
            <w:r w:rsidR="000E72F9">
              <w:rPr>
                <w:noProof/>
              </w:rPr>
              <w:t>15</w:t>
            </w:r>
          </w:fldSimple>
        </w:p>
      </w:tc>
    </w:tr>
  </w:tbl>
  <w:p w:rsidR="00F35AD8" w:rsidRPr="00CE357C" w:rsidRDefault="00F35AD8" w:rsidP="00CE357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73"/>
      <w:gridCol w:w="5127"/>
    </w:tblGrid>
    <w:tr w:rsidR="00F35AD8" w:rsidTr="00CE357C">
      <w:tc>
        <w:tcPr>
          <w:tcW w:w="3873" w:type="dxa"/>
        </w:tcPr>
        <w:p w:rsidR="00F35AD8" w:rsidRDefault="00F35AD8" w:rsidP="00CE357C">
          <w:pPr>
            <w:pStyle w:val="ReleaseDate"/>
            <w:rPr>
              <w:color w:val="010000"/>
            </w:rPr>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22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28&amp;Size =1&amp;Lang = 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noFill/>
                        <a:ln>
                          <a:noFill/>
                        </a:ln>
                      </pic:spPr>
                    </pic:pic>
                  </a:graphicData>
                </a:graphic>
              </wp:anchor>
            </w:drawing>
          </w:r>
          <w:r>
            <w:t>GE.15-07626 (R)</w:t>
          </w:r>
          <w:r>
            <w:rPr>
              <w:color w:val="010000"/>
            </w:rPr>
            <w:t xml:space="preserve">    130815    140815</w:t>
          </w:r>
        </w:p>
        <w:p w:rsidR="00F35AD8" w:rsidRPr="00CE357C" w:rsidRDefault="00F35AD8" w:rsidP="00CE357C">
          <w:pPr>
            <w:spacing w:before="80" w:line="210" w:lineRule="exact"/>
            <w:rPr>
              <w:rFonts w:ascii="Barcode 3 of 9 by request" w:hAnsi="Barcode 3 of 9 by request"/>
              <w:w w:val="100"/>
              <w:sz w:val="24"/>
            </w:rPr>
          </w:pPr>
          <w:r>
            <w:rPr>
              <w:rFonts w:ascii="Barcode 3 of 9 by request" w:hAnsi="Barcode 3 of 9 by request"/>
              <w:w w:val="100"/>
              <w:sz w:val="24"/>
            </w:rPr>
            <w:t>*1507626*</w:t>
          </w:r>
        </w:p>
      </w:tc>
      <w:tc>
        <w:tcPr>
          <w:tcW w:w="5127" w:type="dxa"/>
        </w:tcPr>
        <w:p w:rsidR="00F35AD8" w:rsidRDefault="00F35AD8" w:rsidP="00CE357C">
          <w:pPr>
            <w:pStyle w:val="Pieddepage"/>
            <w:spacing w:line="240" w:lineRule="atLeast"/>
            <w:jc w:val="right"/>
            <w:rPr>
              <w:b w:val="0"/>
              <w:sz w:val="20"/>
            </w:rPr>
          </w:pPr>
          <w:r>
            <w:rPr>
              <w:b w:val="0"/>
              <w:noProof/>
              <w:sz w:val="20"/>
              <w:lang w:val="fr-FR" w:eastAsia="fr-FR"/>
            </w:rPr>
            <w:drawing>
              <wp:inline distT="0" distB="0" distL="0" distR="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35AD8" w:rsidRPr="00CE357C" w:rsidRDefault="00F35AD8" w:rsidP="00CE357C">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7B" w:rsidRPr="001841AF" w:rsidRDefault="00C14C7B" w:rsidP="001841AF">
      <w:pPr>
        <w:pStyle w:val="Pieddepage"/>
        <w:spacing w:after="80"/>
        <w:ind w:left="792"/>
        <w:rPr>
          <w:sz w:val="16"/>
        </w:rPr>
      </w:pPr>
      <w:r w:rsidRPr="001841AF">
        <w:rPr>
          <w:sz w:val="16"/>
        </w:rPr>
        <w:t>__________________</w:t>
      </w:r>
    </w:p>
  </w:footnote>
  <w:footnote w:type="continuationSeparator" w:id="0">
    <w:p w:rsidR="00C14C7B" w:rsidRPr="001841AF" w:rsidRDefault="00C14C7B" w:rsidP="001841AF">
      <w:pPr>
        <w:pStyle w:val="Pieddepage"/>
        <w:spacing w:after="80"/>
        <w:ind w:left="792"/>
        <w:rPr>
          <w:sz w:val="16"/>
        </w:rPr>
      </w:pPr>
      <w:r w:rsidRPr="001841AF">
        <w:rPr>
          <w:sz w:val="16"/>
        </w:rPr>
        <w:t>__________________</w:t>
      </w:r>
    </w:p>
  </w:footnote>
  <w:footnote w:id="1">
    <w:p w:rsidR="00F35AD8" w:rsidRPr="001841AF" w:rsidRDefault="00F35AD8" w:rsidP="001841AF">
      <w:pPr>
        <w:pStyle w:val="Notedebasdepage"/>
        <w:tabs>
          <w:tab w:val="right" w:pos="1195"/>
          <w:tab w:val="left" w:pos="1267"/>
          <w:tab w:val="left" w:pos="1742"/>
          <w:tab w:val="left" w:pos="2218"/>
          <w:tab w:val="left" w:pos="2693"/>
        </w:tabs>
        <w:ind w:left="1267" w:right="1260" w:hanging="432"/>
      </w:pPr>
      <w:r>
        <w:rPr>
          <w:lang w:val="en-US"/>
        </w:rPr>
        <w:tab/>
      </w:r>
      <w:r>
        <w:rPr>
          <w:rStyle w:val="Appelnotedebasdep"/>
        </w:rPr>
        <w:t>3</w:t>
      </w:r>
      <w:r w:rsidRPr="001841AF">
        <w:rPr>
          <w:i/>
        </w:rPr>
        <w:tab/>
      </w:r>
      <w:r>
        <w:t>ИНФЕКЦИОННОЕ ВЕЩЕСТВО, ОПАСНОЕ ДЛЯ ЛЮДЕЙ</w:t>
      </w:r>
      <w:r w:rsidRPr="001841AF">
        <w:t>.</w:t>
      </w:r>
    </w:p>
  </w:footnote>
  <w:footnote w:id="2">
    <w:p w:rsidR="00F35AD8" w:rsidRPr="001841AF" w:rsidRDefault="00F35AD8" w:rsidP="001841AF">
      <w:pPr>
        <w:pStyle w:val="Notedebasdepage"/>
        <w:tabs>
          <w:tab w:val="right" w:pos="1195"/>
          <w:tab w:val="left" w:pos="1267"/>
          <w:tab w:val="left" w:pos="1742"/>
          <w:tab w:val="left" w:pos="2218"/>
          <w:tab w:val="left" w:pos="2693"/>
        </w:tabs>
        <w:ind w:left="1267" w:right="1267" w:hanging="432"/>
        <w:rPr>
          <w:rStyle w:val="Appelnotedebasdep"/>
          <w:color w:val="000000" w:themeColor="text1"/>
          <w:vertAlign w:val="baseline"/>
        </w:rPr>
      </w:pPr>
      <w:r w:rsidRPr="001841AF">
        <w:tab/>
      </w:r>
      <w:r>
        <w:rPr>
          <w:rStyle w:val="Appelnotedebasdep"/>
        </w:rPr>
        <w:t>4</w:t>
      </w:r>
      <w:r w:rsidRPr="001841AF">
        <w:rPr>
          <w:rStyle w:val="Appelnotedebasdep"/>
          <w:i/>
        </w:rPr>
        <w:tab/>
      </w:r>
      <w:r>
        <w:t>ИНФЕКЦИОННОЕ ВЕЩЕСТВО, ОПАСНОЕ только ДЛЯ ЖИВОТНЫХ</w:t>
      </w:r>
      <w:r w:rsidRPr="001841A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F35AD8" w:rsidTr="00CE357C">
      <w:trPr>
        <w:trHeight w:hRule="exact" w:val="864"/>
        <w:jc w:val="center"/>
      </w:trPr>
      <w:tc>
        <w:tcPr>
          <w:tcW w:w="4882" w:type="dxa"/>
          <w:shd w:val="clear" w:color="auto" w:fill="auto"/>
          <w:vAlign w:val="bottom"/>
        </w:tcPr>
        <w:p w:rsidR="00F35AD8" w:rsidRPr="00CE357C" w:rsidRDefault="00626E55" w:rsidP="00CE357C">
          <w:pPr>
            <w:pStyle w:val="En-tte"/>
            <w:spacing w:after="80"/>
            <w:rPr>
              <w:b/>
            </w:rPr>
          </w:pPr>
          <w:fldSimple w:instr=" DOCVARIABLE &quot;sss1&quot; \* MERGEFORMAT ">
            <w:r w:rsidR="00772B33">
              <w:rPr>
                <w:b/>
              </w:rPr>
              <w:t>ECE/TRANS/WP.15/228</w:t>
            </w:r>
          </w:fldSimple>
        </w:p>
      </w:tc>
      <w:tc>
        <w:tcPr>
          <w:tcW w:w="5127" w:type="dxa"/>
          <w:shd w:val="clear" w:color="auto" w:fill="auto"/>
          <w:vAlign w:val="bottom"/>
        </w:tcPr>
        <w:p w:rsidR="00F35AD8" w:rsidRDefault="00F35AD8" w:rsidP="00CE357C">
          <w:pPr>
            <w:pStyle w:val="En-tte"/>
          </w:pPr>
        </w:p>
      </w:tc>
    </w:tr>
  </w:tbl>
  <w:p w:rsidR="00F35AD8" w:rsidRPr="00CE357C" w:rsidRDefault="00F35AD8" w:rsidP="00CE357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F35AD8" w:rsidTr="00CE357C">
      <w:trPr>
        <w:trHeight w:hRule="exact" w:val="864"/>
        <w:jc w:val="center"/>
      </w:trPr>
      <w:tc>
        <w:tcPr>
          <w:tcW w:w="4882" w:type="dxa"/>
          <w:shd w:val="clear" w:color="auto" w:fill="auto"/>
          <w:vAlign w:val="bottom"/>
        </w:tcPr>
        <w:p w:rsidR="00F35AD8" w:rsidRDefault="00F35AD8" w:rsidP="00CE357C">
          <w:pPr>
            <w:pStyle w:val="En-tte"/>
          </w:pPr>
        </w:p>
      </w:tc>
      <w:tc>
        <w:tcPr>
          <w:tcW w:w="5127" w:type="dxa"/>
          <w:shd w:val="clear" w:color="auto" w:fill="auto"/>
          <w:vAlign w:val="bottom"/>
        </w:tcPr>
        <w:p w:rsidR="00F35AD8" w:rsidRPr="00CE357C" w:rsidRDefault="00626E55" w:rsidP="00CE357C">
          <w:pPr>
            <w:pStyle w:val="En-tte"/>
            <w:spacing w:after="80"/>
            <w:jc w:val="right"/>
            <w:rPr>
              <w:b/>
            </w:rPr>
          </w:pPr>
          <w:r>
            <w:rPr>
              <w:b/>
            </w:rPr>
            <w:fldChar w:fldCharType="begin"/>
          </w:r>
          <w:r w:rsidR="00F35AD8">
            <w:rPr>
              <w:b/>
            </w:rPr>
            <w:instrText xml:space="preserve"> DOCVARIABLE "sss1" \* MERGEFORMAT </w:instrText>
          </w:r>
          <w:r>
            <w:rPr>
              <w:b/>
            </w:rPr>
            <w:fldChar w:fldCharType="separate"/>
          </w:r>
          <w:r w:rsidR="00772B33">
            <w:rPr>
              <w:b/>
            </w:rPr>
            <w:t>ECE/TRANS/WP.15/228</w:t>
          </w:r>
          <w:r>
            <w:rPr>
              <w:b/>
            </w:rPr>
            <w:fldChar w:fldCharType="end"/>
          </w:r>
        </w:p>
      </w:tc>
    </w:tr>
  </w:tbl>
  <w:p w:rsidR="00F35AD8" w:rsidRPr="00CE357C" w:rsidRDefault="00F35AD8" w:rsidP="00CE357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3" w:type="dxa"/>
      <w:tblLayout w:type="fixed"/>
      <w:tblCellMar>
        <w:left w:w="0" w:type="dxa"/>
        <w:right w:w="0" w:type="dxa"/>
      </w:tblCellMar>
      <w:tblLook w:val="0000"/>
    </w:tblPr>
    <w:tblGrid>
      <w:gridCol w:w="1267"/>
      <w:gridCol w:w="3154"/>
      <w:gridCol w:w="245"/>
      <w:gridCol w:w="1828"/>
      <w:gridCol w:w="245"/>
      <w:gridCol w:w="3284"/>
    </w:tblGrid>
    <w:tr w:rsidR="00F35AD8" w:rsidTr="00CE357C">
      <w:trPr>
        <w:trHeight w:hRule="exact" w:val="864"/>
      </w:trPr>
      <w:tc>
        <w:tcPr>
          <w:tcW w:w="4421" w:type="dxa"/>
          <w:gridSpan w:val="2"/>
          <w:tcBorders>
            <w:bottom w:val="single" w:sz="4" w:space="0" w:color="auto"/>
          </w:tcBorders>
          <w:shd w:val="clear" w:color="auto" w:fill="auto"/>
          <w:vAlign w:val="bottom"/>
        </w:tcPr>
        <w:p w:rsidR="00F35AD8" w:rsidRPr="00CE357C" w:rsidRDefault="00F35AD8" w:rsidP="00CE357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35AD8" w:rsidRDefault="00F35AD8" w:rsidP="00CE357C">
          <w:pPr>
            <w:pStyle w:val="En-tte"/>
            <w:spacing w:after="120"/>
          </w:pPr>
        </w:p>
      </w:tc>
      <w:tc>
        <w:tcPr>
          <w:tcW w:w="5357" w:type="dxa"/>
          <w:gridSpan w:val="3"/>
          <w:tcBorders>
            <w:bottom w:val="single" w:sz="4" w:space="0" w:color="auto"/>
          </w:tcBorders>
          <w:shd w:val="clear" w:color="auto" w:fill="auto"/>
          <w:vAlign w:val="bottom"/>
        </w:tcPr>
        <w:p w:rsidR="00F35AD8" w:rsidRPr="00CE357C" w:rsidRDefault="00F35AD8" w:rsidP="00CE357C">
          <w:pPr>
            <w:pStyle w:val="En-tte"/>
            <w:spacing w:after="20"/>
            <w:jc w:val="right"/>
            <w:rPr>
              <w:sz w:val="20"/>
            </w:rPr>
          </w:pPr>
          <w:r>
            <w:rPr>
              <w:sz w:val="40"/>
            </w:rPr>
            <w:t>ECE</w:t>
          </w:r>
          <w:r>
            <w:rPr>
              <w:sz w:val="20"/>
            </w:rPr>
            <w:t>/TRANS/WP.15/228</w:t>
          </w:r>
        </w:p>
      </w:tc>
    </w:tr>
    <w:tr w:rsidR="00F35AD8" w:rsidRPr="00460314" w:rsidTr="00CE357C">
      <w:trPr>
        <w:trHeight w:hRule="exact" w:val="2880"/>
      </w:trPr>
      <w:tc>
        <w:tcPr>
          <w:tcW w:w="1267" w:type="dxa"/>
          <w:tcBorders>
            <w:top w:val="single" w:sz="4" w:space="0" w:color="auto"/>
            <w:bottom w:val="single" w:sz="12" w:space="0" w:color="auto"/>
          </w:tcBorders>
          <w:shd w:val="clear" w:color="auto" w:fill="auto"/>
        </w:tcPr>
        <w:p w:rsidR="00F35AD8" w:rsidRPr="00CE357C" w:rsidRDefault="00F35AD8" w:rsidP="00CE357C">
          <w:pPr>
            <w:pStyle w:val="En-tte"/>
            <w:spacing w:before="120"/>
            <w:jc w:val="center"/>
          </w:pPr>
          <w:r>
            <w:t xml:space="preserve"> </w:t>
          </w:r>
          <w:r>
            <w:rPr>
              <w:noProof/>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35AD8" w:rsidRPr="00CE357C" w:rsidRDefault="00F35AD8" w:rsidP="00CE357C">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F35AD8" w:rsidRPr="00CE357C" w:rsidRDefault="00F35AD8" w:rsidP="00CE357C">
          <w:pPr>
            <w:pStyle w:val="En-tte"/>
            <w:spacing w:before="109"/>
          </w:pPr>
        </w:p>
      </w:tc>
      <w:tc>
        <w:tcPr>
          <w:tcW w:w="3280" w:type="dxa"/>
          <w:tcBorders>
            <w:top w:val="single" w:sz="4" w:space="0" w:color="auto"/>
            <w:bottom w:val="single" w:sz="12" w:space="0" w:color="auto"/>
          </w:tcBorders>
          <w:shd w:val="clear" w:color="auto" w:fill="auto"/>
        </w:tcPr>
        <w:p w:rsidR="00F35AD8" w:rsidRPr="0020017B" w:rsidRDefault="00F35AD8" w:rsidP="00CE357C">
          <w:pPr>
            <w:pStyle w:val="Distribution"/>
            <w:rPr>
              <w:color w:val="000000"/>
              <w:lang w:val="en-US"/>
            </w:rPr>
          </w:pPr>
          <w:r w:rsidRPr="0020017B">
            <w:rPr>
              <w:color w:val="000000"/>
              <w:lang w:val="en-US"/>
            </w:rPr>
            <w:t>Distr.: General</w:t>
          </w:r>
        </w:p>
        <w:p w:rsidR="00F35AD8" w:rsidRPr="0020017B" w:rsidRDefault="00F35AD8" w:rsidP="00CE357C">
          <w:pPr>
            <w:pStyle w:val="Publication"/>
            <w:rPr>
              <w:color w:val="000000"/>
              <w:lang w:val="en-US"/>
            </w:rPr>
          </w:pPr>
          <w:r w:rsidRPr="0020017B">
            <w:rPr>
              <w:color w:val="000000"/>
              <w:lang w:val="en-US"/>
            </w:rPr>
            <w:t>14 May 2015</w:t>
          </w:r>
        </w:p>
        <w:p w:rsidR="00F35AD8" w:rsidRPr="0020017B" w:rsidRDefault="00F35AD8" w:rsidP="00CE357C">
          <w:pPr>
            <w:rPr>
              <w:color w:val="000000"/>
              <w:lang w:val="en-US"/>
            </w:rPr>
          </w:pPr>
          <w:r w:rsidRPr="0020017B">
            <w:rPr>
              <w:color w:val="000000"/>
              <w:lang w:val="en-US"/>
            </w:rPr>
            <w:t>Russian</w:t>
          </w:r>
        </w:p>
        <w:p w:rsidR="00F35AD8" w:rsidRPr="00B76104" w:rsidRDefault="00F35AD8" w:rsidP="00CE357C">
          <w:pPr>
            <w:pStyle w:val="Original"/>
            <w:rPr>
              <w:color w:val="000000"/>
              <w:lang w:val="en-US"/>
            </w:rPr>
          </w:pPr>
          <w:r w:rsidRPr="0020017B">
            <w:rPr>
              <w:color w:val="000000"/>
              <w:lang w:val="en-US"/>
            </w:rPr>
            <w:t>Original: English</w:t>
          </w:r>
          <w:r>
            <w:rPr>
              <w:color w:val="000000"/>
              <w:lang w:val="en-US"/>
            </w:rPr>
            <w:t xml:space="preserve"> and French</w:t>
          </w:r>
        </w:p>
        <w:p w:rsidR="00F35AD8" w:rsidRPr="0020017B" w:rsidRDefault="00F35AD8" w:rsidP="00CE357C">
          <w:pPr>
            <w:rPr>
              <w:lang w:val="en-US"/>
            </w:rPr>
          </w:pPr>
        </w:p>
      </w:tc>
    </w:tr>
  </w:tbl>
  <w:p w:rsidR="00F35AD8" w:rsidRPr="0020017B" w:rsidRDefault="00F35AD8" w:rsidP="00CE357C">
    <w:pPr>
      <w:pStyle w:val="En-tte"/>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36B1B"/>
    <w:multiLevelType w:val="multilevel"/>
    <w:tmpl w:val="D8B6569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32616942"/>
    <w:multiLevelType w:val="multilevel"/>
    <w:tmpl w:val="D8B6569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9">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66A8"/>
    <w:multiLevelType w:val="hybridMultilevel"/>
    <w:tmpl w:val="FA46005A"/>
    <w:lvl w:ilvl="0" w:tplc="7B7E1B4E">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5FF62A31"/>
    <w:multiLevelType w:val="multilevel"/>
    <w:tmpl w:val="D80844B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3">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2"/>
  </w:num>
  <w:num w:numId="6">
    <w:abstractNumId w:val="1"/>
  </w:num>
  <w:num w:numId="7">
    <w:abstractNumId w:val="0"/>
  </w:num>
  <w:num w:numId="8">
    <w:abstractNumId w:val="5"/>
  </w:num>
  <w:num w:numId="9">
    <w:abstractNumId w:val="13"/>
  </w:num>
  <w:num w:numId="10">
    <w:abstractNumId w:val="11"/>
  </w:num>
  <w:num w:numId="11">
    <w:abstractNumId w:val="10"/>
  </w:num>
  <w:num w:numId="12">
    <w:abstractNumId w:val="6"/>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44034"/>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7626*"/>
    <w:docVar w:name="CreationDt" w:val="8/13/2015 11:54 AM"/>
    <w:docVar w:name="DocCategory" w:val="Doc"/>
    <w:docVar w:name="DocType" w:val="Final"/>
    <w:docVar w:name="DutyStation" w:val="Geneva"/>
    <w:docVar w:name="FooterJN" w:val="GE.15-07626"/>
    <w:docVar w:name="jobn" w:val="GE.15-07626 (R)"/>
    <w:docVar w:name="jobnDT" w:val="GE.15-07626 (R)   130815"/>
    <w:docVar w:name="jobnDTDT" w:val="GE.15-07626 (R)   130815   130815"/>
    <w:docVar w:name="JobNo" w:val="GE.1507626R"/>
    <w:docVar w:name="JobNo2" w:val="1509757R"/>
    <w:docVar w:name="LocalDrive" w:val="0"/>
    <w:docVar w:name="OandT" w:val=" "/>
    <w:docVar w:name="PaperSize" w:val="A4"/>
    <w:docVar w:name="sss1" w:val="ECE/TRANS/WP.15/228"/>
    <w:docVar w:name="sss2" w:val="-"/>
    <w:docVar w:name="Symbol1" w:val="ECE/TRANS/WP.15/228"/>
    <w:docVar w:name="Symbol2" w:val="-"/>
  </w:docVars>
  <w:rsids>
    <w:rsidRoot w:val="0017186C"/>
    <w:rsid w:val="00004615"/>
    <w:rsid w:val="00004756"/>
    <w:rsid w:val="00013E03"/>
    <w:rsid w:val="00015201"/>
    <w:rsid w:val="00021419"/>
    <w:rsid w:val="00024A67"/>
    <w:rsid w:val="00025CF3"/>
    <w:rsid w:val="0002669B"/>
    <w:rsid w:val="00033C1F"/>
    <w:rsid w:val="000513EF"/>
    <w:rsid w:val="0005420D"/>
    <w:rsid w:val="00055EA2"/>
    <w:rsid w:val="00067A5A"/>
    <w:rsid w:val="00067A90"/>
    <w:rsid w:val="00070C37"/>
    <w:rsid w:val="000738BD"/>
    <w:rsid w:val="00074F19"/>
    <w:rsid w:val="00076F88"/>
    <w:rsid w:val="0008067C"/>
    <w:rsid w:val="000807C3"/>
    <w:rsid w:val="00092464"/>
    <w:rsid w:val="00095B9F"/>
    <w:rsid w:val="000A111E"/>
    <w:rsid w:val="000A4A11"/>
    <w:rsid w:val="000B02B7"/>
    <w:rsid w:val="000C069D"/>
    <w:rsid w:val="000C118B"/>
    <w:rsid w:val="000C67BC"/>
    <w:rsid w:val="000D64CF"/>
    <w:rsid w:val="000E0F08"/>
    <w:rsid w:val="000E30BA"/>
    <w:rsid w:val="000E35C6"/>
    <w:rsid w:val="000E3712"/>
    <w:rsid w:val="000E4411"/>
    <w:rsid w:val="000E72F9"/>
    <w:rsid w:val="000F1ACD"/>
    <w:rsid w:val="000F5D07"/>
    <w:rsid w:val="00105B0E"/>
    <w:rsid w:val="00113678"/>
    <w:rsid w:val="00114156"/>
    <w:rsid w:val="001235FD"/>
    <w:rsid w:val="001444A3"/>
    <w:rsid w:val="00153645"/>
    <w:rsid w:val="00153E8C"/>
    <w:rsid w:val="00160648"/>
    <w:rsid w:val="00161F29"/>
    <w:rsid w:val="00162E88"/>
    <w:rsid w:val="0016766C"/>
    <w:rsid w:val="0017186C"/>
    <w:rsid w:val="001726A4"/>
    <w:rsid w:val="00175AC4"/>
    <w:rsid w:val="00177361"/>
    <w:rsid w:val="001802BD"/>
    <w:rsid w:val="001841AF"/>
    <w:rsid w:val="00193822"/>
    <w:rsid w:val="0019704E"/>
    <w:rsid w:val="001A39EE"/>
    <w:rsid w:val="001A4338"/>
    <w:rsid w:val="001A6777"/>
    <w:rsid w:val="001B10AE"/>
    <w:rsid w:val="001C54CE"/>
    <w:rsid w:val="001D1749"/>
    <w:rsid w:val="001D2679"/>
    <w:rsid w:val="001D60ED"/>
    <w:rsid w:val="001E21CE"/>
    <w:rsid w:val="001E25A2"/>
    <w:rsid w:val="001E61AD"/>
    <w:rsid w:val="001E639C"/>
    <w:rsid w:val="001F4353"/>
    <w:rsid w:val="001F639D"/>
    <w:rsid w:val="0020017B"/>
    <w:rsid w:val="0020152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652B4"/>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C6BC2"/>
    <w:rsid w:val="002D396F"/>
    <w:rsid w:val="002D4606"/>
    <w:rsid w:val="002D539B"/>
    <w:rsid w:val="002D666D"/>
    <w:rsid w:val="002E1F79"/>
    <w:rsid w:val="002F5C45"/>
    <w:rsid w:val="002F6149"/>
    <w:rsid w:val="002F7D25"/>
    <w:rsid w:val="00321F98"/>
    <w:rsid w:val="00325C10"/>
    <w:rsid w:val="00326F5F"/>
    <w:rsid w:val="003271E5"/>
    <w:rsid w:val="00332D90"/>
    <w:rsid w:val="00333B06"/>
    <w:rsid w:val="00337D91"/>
    <w:rsid w:val="00346BFB"/>
    <w:rsid w:val="00350756"/>
    <w:rsid w:val="003542EE"/>
    <w:rsid w:val="00360D26"/>
    <w:rsid w:val="00362FFE"/>
    <w:rsid w:val="003658B0"/>
    <w:rsid w:val="0038044D"/>
    <w:rsid w:val="00383FB5"/>
    <w:rsid w:val="00384AEE"/>
    <w:rsid w:val="0038527A"/>
    <w:rsid w:val="00391367"/>
    <w:rsid w:val="0039505F"/>
    <w:rsid w:val="003A150E"/>
    <w:rsid w:val="003A2730"/>
    <w:rsid w:val="003B16B4"/>
    <w:rsid w:val="003B5A03"/>
    <w:rsid w:val="003C12AC"/>
    <w:rsid w:val="003C2842"/>
    <w:rsid w:val="003C5482"/>
    <w:rsid w:val="003D0825"/>
    <w:rsid w:val="003D2003"/>
    <w:rsid w:val="003D5DA2"/>
    <w:rsid w:val="003E5193"/>
    <w:rsid w:val="00401CDD"/>
    <w:rsid w:val="00402244"/>
    <w:rsid w:val="00407616"/>
    <w:rsid w:val="00415DEC"/>
    <w:rsid w:val="00427FE5"/>
    <w:rsid w:val="00433222"/>
    <w:rsid w:val="00436A23"/>
    <w:rsid w:val="00436F13"/>
    <w:rsid w:val="004420FB"/>
    <w:rsid w:val="00445A4E"/>
    <w:rsid w:val="004502EC"/>
    <w:rsid w:val="004504A6"/>
    <w:rsid w:val="00460314"/>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4F3232"/>
    <w:rsid w:val="00504669"/>
    <w:rsid w:val="005058E0"/>
    <w:rsid w:val="00511EAC"/>
    <w:rsid w:val="005121DC"/>
    <w:rsid w:val="00512D1E"/>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B69E7"/>
    <w:rsid w:val="005C0440"/>
    <w:rsid w:val="005D38B6"/>
    <w:rsid w:val="005D7642"/>
    <w:rsid w:val="005E0A46"/>
    <w:rsid w:val="005E3D0D"/>
    <w:rsid w:val="005E7DCF"/>
    <w:rsid w:val="005F02E0"/>
    <w:rsid w:val="005F6E5C"/>
    <w:rsid w:val="00602F9D"/>
    <w:rsid w:val="0060593E"/>
    <w:rsid w:val="00616B8D"/>
    <w:rsid w:val="006261A6"/>
    <w:rsid w:val="00626E55"/>
    <w:rsid w:val="0062751F"/>
    <w:rsid w:val="00632AFD"/>
    <w:rsid w:val="0063491E"/>
    <w:rsid w:val="00634A27"/>
    <w:rsid w:val="00634BC5"/>
    <w:rsid w:val="00635AF8"/>
    <w:rsid w:val="006409EF"/>
    <w:rsid w:val="006459C6"/>
    <w:rsid w:val="00646363"/>
    <w:rsid w:val="00647668"/>
    <w:rsid w:val="00655212"/>
    <w:rsid w:val="00657EE4"/>
    <w:rsid w:val="00660C19"/>
    <w:rsid w:val="006816AA"/>
    <w:rsid w:val="00682A27"/>
    <w:rsid w:val="00684FCA"/>
    <w:rsid w:val="0068759B"/>
    <w:rsid w:val="0069689E"/>
    <w:rsid w:val="006A1698"/>
    <w:rsid w:val="006A1D06"/>
    <w:rsid w:val="006A3F10"/>
    <w:rsid w:val="006A71EB"/>
    <w:rsid w:val="006B34CB"/>
    <w:rsid w:val="006B452C"/>
    <w:rsid w:val="006B590B"/>
    <w:rsid w:val="006C026C"/>
    <w:rsid w:val="006C44B7"/>
    <w:rsid w:val="006C59D5"/>
    <w:rsid w:val="006D58BE"/>
    <w:rsid w:val="006D6BC9"/>
    <w:rsid w:val="006E1418"/>
    <w:rsid w:val="006E7450"/>
    <w:rsid w:val="006E7A3A"/>
    <w:rsid w:val="006F3683"/>
    <w:rsid w:val="00700738"/>
    <w:rsid w:val="00704EB4"/>
    <w:rsid w:val="00705549"/>
    <w:rsid w:val="0071210D"/>
    <w:rsid w:val="00716BC5"/>
    <w:rsid w:val="007170E5"/>
    <w:rsid w:val="00723115"/>
    <w:rsid w:val="00724550"/>
    <w:rsid w:val="00730859"/>
    <w:rsid w:val="00731830"/>
    <w:rsid w:val="00736A19"/>
    <w:rsid w:val="00743C8D"/>
    <w:rsid w:val="00745258"/>
    <w:rsid w:val="00767AED"/>
    <w:rsid w:val="007707CF"/>
    <w:rsid w:val="00772B33"/>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62057"/>
    <w:rsid w:val="00873020"/>
    <w:rsid w:val="008739EB"/>
    <w:rsid w:val="008776BB"/>
    <w:rsid w:val="00880540"/>
    <w:rsid w:val="0088396E"/>
    <w:rsid w:val="00884EB1"/>
    <w:rsid w:val="008A1A7A"/>
    <w:rsid w:val="008A45EE"/>
    <w:rsid w:val="008A540E"/>
    <w:rsid w:val="008B0632"/>
    <w:rsid w:val="008B08A3"/>
    <w:rsid w:val="008B4F64"/>
    <w:rsid w:val="008B53C0"/>
    <w:rsid w:val="008B5F7F"/>
    <w:rsid w:val="008B64B1"/>
    <w:rsid w:val="008B6A49"/>
    <w:rsid w:val="008B709D"/>
    <w:rsid w:val="008C11F5"/>
    <w:rsid w:val="008C2A03"/>
    <w:rsid w:val="008C6372"/>
    <w:rsid w:val="008D0CE3"/>
    <w:rsid w:val="008E0BBB"/>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A534A"/>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0C8D"/>
    <w:rsid w:val="00A2180A"/>
    <w:rsid w:val="00A22293"/>
    <w:rsid w:val="00A344D5"/>
    <w:rsid w:val="00A46574"/>
    <w:rsid w:val="00A471A3"/>
    <w:rsid w:val="00A47B1B"/>
    <w:rsid w:val="00A63339"/>
    <w:rsid w:val="00A90F41"/>
    <w:rsid w:val="00A910E7"/>
    <w:rsid w:val="00A9160C"/>
    <w:rsid w:val="00A93B3B"/>
    <w:rsid w:val="00A951DD"/>
    <w:rsid w:val="00A9600A"/>
    <w:rsid w:val="00A96C80"/>
    <w:rsid w:val="00AA0ABF"/>
    <w:rsid w:val="00AA2101"/>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47D7"/>
    <w:rsid w:val="00B56376"/>
    <w:rsid w:val="00B5741E"/>
    <w:rsid w:val="00B606B7"/>
    <w:rsid w:val="00B62C69"/>
    <w:rsid w:val="00B666EC"/>
    <w:rsid w:val="00B76104"/>
    <w:rsid w:val="00B76682"/>
    <w:rsid w:val="00B77560"/>
    <w:rsid w:val="00B77FC0"/>
    <w:rsid w:val="00BA62BB"/>
    <w:rsid w:val="00BA7BA8"/>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4C7B"/>
    <w:rsid w:val="00C16B93"/>
    <w:rsid w:val="00C2210E"/>
    <w:rsid w:val="00C24562"/>
    <w:rsid w:val="00C2524E"/>
    <w:rsid w:val="00C27AB3"/>
    <w:rsid w:val="00C32802"/>
    <w:rsid w:val="00C35DFA"/>
    <w:rsid w:val="00C40B0B"/>
    <w:rsid w:val="00C41B6F"/>
    <w:rsid w:val="00C42BBF"/>
    <w:rsid w:val="00C44979"/>
    <w:rsid w:val="00C45525"/>
    <w:rsid w:val="00C45A45"/>
    <w:rsid w:val="00C47EFE"/>
    <w:rsid w:val="00C50728"/>
    <w:rsid w:val="00C5196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978D6"/>
    <w:rsid w:val="00CA2CF3"/>
    <w:rsid w:val="00CB519E"/>
    <w:rsid w:val="00CC3D89"/>
    <w:rsid w:val="00CC5B37"/>
    <w:rsid w:val="00CD2ED3"/>
    <w:rsid w:val="00CD3C62"/>
    <w:rsid w:val="00CE357C"/>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63DE8"/>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0601"/>
    <w:rsid w:val="00DF1CF0"/>
    <w:rsid w:val="00DF6656"/>
    <w:rsid w:val="00DF7388"/>
    <w:rsid w:val="00E013CF"/>
    <w:rsid w:val="00E04C73"/>
    <w:rsid w:val="00E060B9"/>
    <w:rsid w:val="00E079A3"/>
    <w:rsid w:val="00E12674"/>
    <w:rsid w:val="00E132AC"/>
    <w:rsid w:val="00E1523D"/>
    <w:rsid w:val="00E15CCC"/>
    <w:rsid w:val="00E15D7D"/>
    <w:rsid w:val="00E17234"/>
    <w:rsid w:val="00E23ABA"/>
    <w:rsid w:val="00E261F5"/>
    <w:rsid w:val="00E34A5B"/>
    <w:rsid w:val="00E4146F"/>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35AD8"/>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5BF8"/>
    <w:rsid w:val="00FD7513"/>
    <w:rsid w:val="00FE179A"/>
    <w:rsid w:val="00FE2684"/>
    <w:rsid w:val="00FF0105"/>
    <w:rsid w:val="00FF07F5"/>
    <w:rsid w:val="00FF12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basedOn w:val="Normal"/>
    <w:link w:val="NotedebasdepageCar"/>
    <w:uiPriority w:val="1"/>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basedOn w:val="Policepardfaut"/>
    <w:link w:val="Notedebasdepage"/>
    <w:uiPriority w:val="1"/>
    <w:rsid w:val="00CF07BE"/>
    <w:rPr>
      <w:rFonts w:ascii="Times New Roman" w:hAnsi="Times New Roman"/>
      <w:spacing w:val="5"/>
      <w:w w:val="104"/>
      <w:kern w:val="14"/>
      <w:sz w:val="17"/>
      <w:szCs w:val="20"/>
      <w:lang w:val="ru-RU"/>
    </w:rPr>
  </w:style>
  <w:style w:type="character" w:styleId="Appelnotedebasdep">
    <w:name w:val="footnote reference"/>
    <w:basedOn w:val="Policepardfaut"/>
    <w:uiPriority w:val="1"/>
    <w:semiHidden/>
    <w:rsid w:val="00BB46C6"/>
    <w:rPr>
      <w:color w:val="943634" w:themeColor="accent2" w:themeShade="BF"/>
      <w:spacing w:val="5"/>
      <w:w w:val="103"/>
      <w:kern w:val="14"/>
      <w:position w:val="0"/>
      <w:vertAlign w:val="superscript"/>
    </w:rPr>
  </w:style>
  <w:style w:type="paragraph" w:styleId="Notedefin">
    <w:name w:val="endnote text"/>
    <w:basedOn w:val="Normal"/>
    <w:link w:val="NotedefinCar"/>
    <w:uiPriority w:val="1"/>
    <w:semiHidden/>
    <w:unhideWhenUsed/>
    <w:rsid w:val="00515869"/>
    <w:pPr>
      <w:suppressAutoHyphens/>
      <w:spacing w:line="240" w:lineRule="auto"/>
    </w:pPr>
    <w:rPr>
      <w:spacing w:val="5"/>
      <w:w w:val="104"/>
      <w:szCs w:val="20"/>
    </w:rPr>
  </w:style>
  <w:style w:type="character" w:customStyle="1" w:styleId="NotedefinCar">
    <w:name w:val="Note de fin Car"/>
    <w:basedOn w:val="Policepardfaut"/>
    <w:link w:val="Notedefin"/>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Appeldenotedefin">
    <w:name w:val="endnote reference"/>
    <w:basedOn w:val="Policepardfaut"/>
    <w:uiPriority w:val="1"/>
    <w:semiHidden/>
    <w:rsid w:val="00BB46C6"/>
    <w:rPr>
      <w:color w:val="943634" w:themeColor="accent2" w:themeShade="BF"/>
      <w:spacing w:val="5"/>
      <w:w w:val="103"/>
      <w:kern w:val="14"/>
      <w:position w:val="0"/>
      <w:vertAlign w:val="superscript"/>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Marquedecommentaire">
    <w:name w:val="annotation reference"/>
    <w:basedOn w:val="Policepardfaut"/>
    <w:uiPriority w:val="1"/>
    <w:semiHidden/>
    <w:unhideWhenUsed/>
    <w:rsid w:val="00CE357C"/>
    <w:rPr>
      <w:sz w:val="16"/>
      <w:szCs w:val="16"/>
    </w:rPr>
  </w:style>
  <w:style w:type="paragraph" w:styleId="Commentaire">
    <w:name w:val="annotation text"/>
    <w:basedOn w:val="Normal"/>
    <w:link w:val="CommentaireCar"/>
    <w:uiPriority w:val="99"/>
    <w:semiHidden/>
    <w:unhideWhenUsed/>
    <w:rsid w:val="00CE357C"/>
    <w:pPr>
      <w:spacing w:line="240" w:lineRule="auto"/>
    </w:pPr>
    <w:rPr>
      <w:szCs w:val="20"/>
    </w:rPr>
  </w:style>
  <w:style w:type="character" w:customStyle="1" w:styleId="CommentaireCar">
    <w:name w:val="Commentaire Car"/>
    <w:basedOn w:val="Policepardfaut"/>
    <w:link w:val="Commentaire"/>
    <w:uiPriority w:val="99"/>
    <w:semiHidden/>
    <w:rsid w:val="00CE357C"/>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CE357C"/>
    <w:rPr>
      <w:b/>
      <w:bCs/>
    </w:rPr>
  </w:style>
  <w:style w:type="character" w:customStyle="1" w:styleId="ObjetducommentaireCar">
    <w:name w:val="Objet du commentaire Car"/>
    <w:basedOn w:val="CommentaireCar"/>
    <w:link w:val="Objetducommentaire"/>
    <w:uiPriority w:val="99"/>
    <w:semiHidden/>
    <w:rsid w:val="00CE357C"/>
    <w:rPr>
      <w:rFonts w:ascii="Times New Roman" w:hAnsi="Times New Roman" w:cs="Times New Roman"/>
      <w:b/>
      <w:bCs/>
      <w:spacing w:val="4"/>
      <w:w w:val="103"/>
      <w:kern w:val="14"/>
      <w:sz w:val="20"/>
      <w:szCs w:val="20"/>
      <w:lang w:val="ru-RU"/>
    </w:rPr>
  </w:style>
  <w:style w:type="paragraph" w:styleId="Textedebulles">
    <w:name w:val="Balloon Text"/>
    <w:basedOn w:val="Normal"/>
    <w:link w:val="TextedebullesCar"/>
    <w:uiPriority w:val="99"/>
    <w:semiHidden/>
    <w:unhideWhenUsed/>
    <w:rsid w:val="000E72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2F9"/>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CE357C"/>
    <w:rPr>
      <w:sz w:val="16"/>
      <w:szCs w:val="16"/>
    </w:rPr>
  </w:style>
  <w:style w:type="paragraph" w:styleId="CommentText">
    <w:name w:val="annotation text"/>
    <w:basedOn w:val="Normal"/>
    <w:link w:val="CommentTextChar"/>
    <w:uiPriority w:val="99"/>
    <w:semiHidden/>
    <w:unhideWhenUsed/>
    <w:rsid w:val="00CE357C"/>
    <w:pPr>
      <w:spacing w:line="240" w:lineRule="auto"/>
    </w:pPr>
    <w:rPr>
      <w:szCs w:val="20"/>
    </w:rPr>
  </w:style>
  <w:style w:type="character" w:customStyle="1" w:styleId="CommentTextChar">
    <w:name w:val="Comment Text Char"/>
    <w:basedOn w:val="DefaultParagraphFont"/>
    <w:link w:val="CommentText"/>
    <w:uiPriority w:val="99"/>
    <w:semiHidden/>
    <w:rsid w:val="00CE357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E357C"/>
    <w:rPr>
      <w:b/>
      <w:bCs/>
    </w:rPr>
  </w:style>
  <w:style w:type="character" w:customStyle="1" w:styleId="CommentSubjectChar">
    <w:name w:val="Comment Subject Char"/>
    <w:basedOn w:val="CommentTextChar"/>
    <w:link w:val="CommentSubject"/>
    <w:uiPriority w:val="99"/>
    <w:semiHidden/>
    <w:rsid w:val="00CE357C"/>
    <w:rPr>
      <w:rFonts w:ascii="Times New Roman" w:hAnsi="Times New Roman" w:cs="Times New Roman"/>
      <w:b/>
      <w:bCs/>
      <w:spacing w:val="4"/>
      <w:w w:val="103"/>
      <w:kern w:val="14"/>
      <w:sz w:val="20"/>
      <w:szCs w:val="20"/>
      <w:lang w:val="ru-RU"/>
    </w:rPr>
  </w:style>
</w:styles>
</file>

<file path=word/webSettings.xml><?xml version="1.0" encoding="utf-8"?>
<w:webSettings xmlns:r="http://schemas.openxmlformats.org/officeDocument/2006/relationships" xmlns:w="http://schemas.openxmlformats.org/wordprocessingml/2006/main">
  <w:divs>
    <w:div w:id="94063370">
      <w:bodyDiv w:val="1"/>
      <w:marLeft w:val="0"/>
      <w:marRight w:val="0"/>
      <w:marTop w:val="0"/>
      <w:marBottom w:val="0"/>
      <w:divBdr>
        <w:top w:val="none" w:sz="0" w:space="0" w:color="auto"/>
        <w:left w:val="none" w:sz="0" w:space="0" w:color="auto"/>
        <w:bottom w:val="none" w:sz="0" w:space="0" w:color="auto"/>
        <w:right w:val="none" w:sz="0" w:space="0" w:color="auto"/>
      </w:divBdr>
    </w:div>
    <w:div w:id="465516339">
      <w:bodyDiv w:val="1"/>
      <w:marLeft w:val="0"/>
      <w:marRight w:val="0"/>
      <w:marTop w:val="0"/>
      <w:marBottom w:val="0"/>
      <w:divBdr>
        <w:top w:val="none" w:sz="0" w:space="0" w:color="auto"/>
        <w:left w:val="none" w:sz="0" w:space="0" w:color="auto"/>
        <w:bottom w:val="none" w:sz="0" w:space="0" w:color="auto"/>
        <w:right w:val="none" w:sz="0" w:space="0" w:color="auto"/>
      </w:divBdr>
    </w:div>
    <w:div w:id="574902294">
      <w:bodyDiv w:val="1"/>
      <w:marLeft w:val="0"/>
      <w:marRight w:val="0"/>
      <w:marTop w:val="0"/>
      <w:marBottom w:val="0"/>
      <w:divBdr>
        <w:top w:val="none" w:sz="0" w:space="0" w:color="auto"/>
        <w:left w:val="none" w:sz="0" w:space="0" w:color="auto"/>
        <w:bottom w:val="none" w:sz="0" w:space="0" w:color="auto"/>
        <w:right w:val="none" w:sz="0" w:space="0" w:color="auto"/>
      </w:divBdr>
    </w:div>
    <w:div w:id="585268294">
      <w:bodyDiv w:val="1"/>
      <w:marLeft w:val="0"/>
      <w:marRight w:val="0"/>
      <w:marTop w:val="0"/>
      <w:marBottom w:val="0"/>
      <w:divBdr>
        <w:top w:val="none" w:sz="0" w:space="0" w:color="auto"/>
        <w:left w:val="none" w:sz="0" w:space="0" w:color="auto"/>
        <w:bottom w:val="none" w:sz="0" w:space="0" w:color="auto"/>
        <w:right w:val="none" w:sz="0" w:space="0" w:color="auto"/>
      </w:divBdr>
    </w:div>
    <w:div w:id="626862340">
      <w:bodyDiv w:val="1"/>
      <w:marLeft w:val="0"/>
      <w:marRight w:val="0"/>
      <w:marTop w:val="0"/>
      <w:marBottom w:val="0"/>
      <w:divBdr>
        <w:top w:val="none" w:sz="0" w:space="0" w:color="auto"/>
        <w:left w:val="none" w:sz="0" w:space="0" w:color="auto"/>
        <w:bottom w:val="none" w:sz="0" w:space="0" w:color="auto"/>
        <w:right w:val="none" w:sz="0" w:space="0" w:color="auto"/>
      </w:divBdr>
    </w:div>
    <w:div w:id="767653590">
      <w:bodyDiv w:val="1"/>
      <w:marLeft w:val="0"/>
      <w:marRight w:val="0"/>
      <w:marTop w:val="0"/>
      <w:marBottom w:val="0"/>
      <w:divBdr>
        <w:top w:val="none" w:sz="0" w:space="0" w:color="auto"/>
        <w:left w:val="none" w:sz="0" w:space="0" w:color="auto"/>
        <w:bottom w:val="none" w:sz="0" w:space="0" w:color="auto"/>
        <w:right w:val="none" w:sz="0" w:space="0" w:color="auto"/>
      </w:divBdr>
    </w:div>
    <w:div w:id="826628014">
      <w:bodyDiv w:val="1"/>
      <w:marLeft w:val="0"/>
      <w:marRight w:val="0"/>
      <w:marTop w:val="0"/>
      <w:marBottom w:val="0"/>
      <w:divBdr>
        <w:top w:val="none" w:sz="0" w:space="0" w:color="auto"/>
        <w:left w:val="none" w:sz="0" w:space="0" w:color="auto"/>
        <w:bottom w:val="none" w:sz="0" w:space="0" w:color="auto"/>
        <w:right w:val="none" w:sz="0" w:space="0" w:color="auto"/>
      </w:divBdr>
    </w:div>
    <w:div w:id="1115902449">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16597775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239294213">
      <w:bodyDiv w:val="1"/>
      <w:marLeft w:val="0"/>
      <w:marRight w:val="0"/>
      <w:marTop w:val="0"/>
      <w:marBottom w:val="0"/>
      <w:divBdr>
        <w:top w:val="none" w:sz="0" w:space="0" w:color="auto"/>
        <w:left w:val="none" w:sz="0" w:space="0" w:color="auto"/>
        <w:bottom w:val="none" w:sz="0" w:space="0" w:color="auto"/>
        <w:right w:val="none" w:sz="0" w:space="0" w:color="auto"/>
      </w:divBdr>
    </w:div>
    <w:div w:id="1502551299">
      <w:bodyDiv w:val="1"/>
      <w:marLeft w:val="0"/>
      <w:marRight w:val="0"/>
      <w:marTop w:val="0"/>
      <w:marBottom w:val="0"/>
      <w:divBdr>
        <w:top w:val="none" w:sz="0" w:space="0" w:color="auto"/>
        <w:left w:val="none" w:sz="0" w:space="0" w:color="auto"/>
        <w:bottom w:val="none" w:sz="0" w:space="0" w:color="auto"/>
        <w:right w:val="none" w:sz="0" w:space="0" w:color="auto"/>
      </w:divBdr>
    </w:div>
    <w:div w:id="1531213952">
      <w:bodyDiv w:val="1"/>
      <w:marLeft w:val="0"/>
      <w:marRight w:val="0"/>
      <w:marTop w:val="0"/>
      <w:marBottom w:val="0"/>
      <w:divBdr>
        <w:top w:val="none" w:sz="0" w:space="0" w:color="auto"/>
        <w:left w:val="none" w:sz="0" w:space="0" w:color="auto"/>
        <w:bottom w:val="none" w:sz="0" w:space="0" w:color="auto"/>
        <w:right w:val="none" w:sz="0" w:space="0" w:color="auto"/>
      </w:divBdr>
    </w:div>
    <w:div w:id="1622879735">
      <w:bodyDiv w:val="1"/>
      <w:marLeft w:val="0"/>
      <w:marRight w:val="0"/>
      <w:marTop w:val="0"/>
      <w:marBottom w:val="0"/>
      <w:divBdr>
        <w:top w:val="none" w:sz="0" w:space="0" w:color="auto"/>
        <w:left w:val="none" w:sz="0" w:space="0" w:color="auto"/>
        <w:bottom w:val="none" w:sz="0" w:space="0" w:color="auto"/>
        <w:right w:val="none" w:sz="0" w:space="0" w:color="auto"/>
      </w:divBdr>
    </w:div>
    <w:div w:id="1711570442">
      <w:bodyDiv w:val="1"/>
      <w:marLeft w:val="0"/>
      <w:marRight w:val="0"/>
      <w:marTop w:val="0"/>
      <w:marBottom w:val="0"/>
      <w:divBdr>
        <w:top w:val="none" w:sz="0" w:space="0" w:color="auto"/>
        <w:left w:val="none" w:sz="0" w:space="0" w:color="auto"/>
        <w:bottom w:val="none" w:sz="0" w:space="0" w:color="auto"/>
        <w:right w:val="none" w:sz="0" w:space="0" w:color="auto"/>
      </w:divBdr>
    </w:div>
    <w:div w:id="1859585616">
      <w:bodyDiv w:val="1"/>
      <w:marLeft w:val="0"/>
      <w:marRight w:val="0"/>
      <w:marTop w:val="0"/>
      <w:marBottom w:val="0"/>
      <w:divBdr>
        <w:top w:val="none" w:sz="0" w:space="0" w:color="auto"/>
        <w:left w:val="none" w:sz="0" w:space="0" w:color="auto"/>
        <w:bottom w:val="none" w:sz="0" w:space="0" w:color="auto"/>
        <w:right w:val="none" w:sz="0" w:space="0" w:color="auto"/>
      </w:divBdr>
    </w:div>
    <w:div w:id="1962687143">
      <w:bodyDiv w:val="1"/>
      <w:marLeft w:val="0"/>
      <w:marRight w:val="0"/>
      <w:marTop w:val="0"/>
      <w:marBottom w:val="0"/>
      <w:divBdr>
        <w:top w:val="none" w:sz="0" w:space="0" w:color="auto"/>
        <w:left w:val="none" w:sz="0" w:space="0" w:color="auto"/>
        <w:bottom w:val="none" w:sz="0" w:space="0" w:color="auto"/>
        <w:right w:val="none" w:sz="0" w:space="0" w:color="auto"/>
      </w:divBdr>
    </w:div>
    <w:div w:id="1994872156">
      <w:bodyDiv w:val="1"/>
      <w:marLeft w:val="0"/>
      <w:marRight w:val="0"/>
      <w:marTop w:val="0"/>
      <w:marBottom w:val="0"/>
      <w:divBdr>
        <w:top w:val="none" w:sz="0" w:space="0" w:color="auto"/>
        <w:left w:val="none" w:sz="0" w:space="0" w:color="auto"/>
        <w:bottom w:val="none" w:sz="0" w:space="0" w:color="auto"/>
        <w:right w:val="none" w:sz="0" w:space="0" w:color="auto"/>
      </w:divBdr>
    </w:div>
    <w:div w:id="20913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1B2D-561D-4060-B784-ACEC1F51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4661</Words>
  <Characters>25641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30242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Chouvalova Natalia</dc:creator>
  <cp:lastModifiedBy>Maison</cp:lastModifiedBy>
  <cp:revision>2</cp:revision>
  <cp:lastPrinted>2015-08-14T14:41:00Z</cp:lastPrinted>
  <dcterms:created xsi:type="dcterms:W3CDTF">2015-08-14T18:48:00Z</dcterms:created>
  <dcterms:modified xsi:type="dcterms:W3CDTF">2015-08-14T18:48:00Z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1507626R</vt:lpwstr>
  </property>
  <property fmtid="{D5CDD505-2E9C-101B-9397-08002B2CF9AE}" pid="3" name="ODSRefJobNo">
    <vt:lpwstr>1509757R</vt:lpwstr>
  </property>
  <property fmtid="{D5CDD505-2E9C-101B-9397-08002B2CF9AE}" pid="4" name="Symbol1">
    <vt:lpwstr>ECE/TRANS/WP.15/228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May 2015</vt:lpwstr>
  </property>
  <property fmtid="{D5CDD505-2E9C-101B-9397-08002B2CF9AE}" pid="12" name="Original">
    <vt:lpwstr>English</vt:lpwstr>
  </property>
  <property fmtid="{D5CDD505-2E9C-101B-9397-08002B2CF9AE}" pid="13" name="Release Date">
    <vt:lpwstr>130815</vt:lpwstr>
  </property>
</Properties>
</file>