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FB" w:rsidRDefault="001875FB" w:rsidP="001875FB">
      <w:pPr>
        <w:spacing w:line="240" w:lineRule="auto"/>
        <w:rPr>
          <w:sz w:val="2"/>
        </w:rPr>
      </w:pPr>
    </w:p>
    <w:p w:rsidR="00A26668" w:rsidRPr="00E75087" w:rsidRDefault="00A26668" w:rsidP="001875FB">
      <w:pPr>
        <w:spacing w:line="240" w:lineRule="auto"/>
        <w:rPr>
          <w:sz w:val="2"/>
        </w:rPr>
        <w:sectPr w:rsidR="00A26668" w:rsidRPr="00E75087" w:rsidSect="001875F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r>
        <w:rPr>
          <w:sz w:val="2"/>
        </w:rPr>
        <w:t>++++++++++++++++++++++++++++++++++++++++++++++</w:t>
      </w:r>
    </w:p>
    <w:p w:rsidR="001875FB" w:rsidRPr="00E75087" w:rsidRDefault="001875FB" w:rsidP="001875FB">
      <w:pPr>
        <w:pStyle w:val="H1"/>
        <w:spacing w:before="120"/>
        <w:rPr>
          <w:sz w:val="28"/>
        </w:rPr>
      </w:pPr>
      <w:r w:rsidRPr="00E75087">
        <w:rPr>
          <w:sz w:val="28"/>
        </w:rPr>
        <w:lastRenderedPageBreak/>
        <w:t>Economic Commission for Europe</w:t>
      </w:r>
    </w:p>
    <w:p w:rsidR="001875FB" w:rsidRPr="00E75087" w:rsidRDefault="001875FB" w:rsidP="001875FB">
      <w:pPr>
        <w:pStyle w:val="H1"/>
        <w:spacing w:line="120" w:lineRule="exact"/>
        <w:rPr>
          <w:sz w:val="10"/>
        </w:rPr>
      </w:pPr>
    </w:p>
    <w:p w:rsidR="001875FB" w:rsidRPr="00E75087" w:rsidRDefault="001875FB" w:rsidP="001875FB">
      <w:pPr>
        <w:pStyle w:val="H1"/>
        <w:rPr>
          <w:b w:val="0"/>
          <w:sz w:val="28"/>
        </w:rPr>
      </w:pPr>
      <w:r w:rsidRPr="00E75087">
        <w:rPr>
          <w:b w:val="0"/>
          <w:sz w:val="28"/>
        </w:rPr>
        <w:t>Inland Transport Committee</w:t>
      </w:r>
    </w:p>
    <w:p w:rsidR="001875FB" w:rsidRPr="00E75087" w:rsidRDefault="001875FB" w:rsidP="001875FB">
      <w:pPr>
        <w:pStyle w:val="H1"/>
        <w:spacing w:line="120" w:lineRule="exact"/>
        <w:rPr>
          <w:b w:val="0"/>
          <w:sz w:val="10"/>
        </w:rPr>
      </w:pPr>
    </w:p>
    <w:p w:rsidR="001875FB" w:rsidRPr="00E75087" w:rsidRDefault="001875FB" w:rsidP="001875FB">
      <w:pPr>
        <w:pStyle w:val="H23"/>
        <w:rPr>
          <w:sz w:val="24"/>
        </w:rPr>
      </w:pPr>
      <w:r w:rsidRPr="00E75087">
        <w:rPr>
          <w:sz w:val="24"/>
        </w:rPr>
        <w:t xml:space="preserve">Working Party on the Transport of </w:t>
      </w:r>
      <w:r w:rsidR="00054D4B" w:rsidRPr="00054D4B">
        <w:rPr>
          <w:sz w:val="24"/>
        </w:rPr>
        <w:t>Dangerous Goods</w:t>
      </w:r>
    </w:p>
    <w:p w:rsidR="001875FB" w:rsidRPr="00054D4B" w:rsidRDefault="001875FB" w:rsidP="00054D4B">
      <w:pPr>
        <w:pStyle w:val="SingleTxt"/>
        <w:spacing w:after="0" w:line="120" w:lineRule="exact"/>
        <w:rPr>
          <w:sz w:val="10"/>
        </w:rPr>
      </w:pPr>
    </w:p>
    <w:p w:rsidR="00054D4B" w:rsidRPr="00054D4B" w:rsidRDefault="00054D4B" w:rsidP="00054D4B">
      <w:pPr>
        <w:rPr>
          <w:b/>
          <w:bCs/>
        </w:rPr>
      </w:pPr>
      <w:r w:rsidRPr="00054D4B">
        <w:rPr>
          <w:b/>
          <w:bCs/>
        </w:rPr>
        <w:t xml:space="preserve">Ninety-ninth </w:t>
      </w:r>
      <w:proofErr w:type="gramStart"/>
      <w:r w:rsidRPr="00054D4B">
        <w:rPr>
          <w:b/>
          <w:bCs/>
        </w:rPr>
        <w:t>session</w:t>
      </w:r>
      <w:proofErr w:type="gramEnd"/>
    </w:p>
    <w:p w:rsidR="00054D4B" w:rsidRPr="007A020D" w:rsidRDefault="00054D4B" w:rsidP="00054D4B">
      <w:r w:rsidRPr="007A020D">
        <w:t>Geneva, 9-13 November 2015</w:t>
      </w:r>
    </w:p>
    <w:p w:rsidR="00054D4B" w:rsidRPr="007A020D" w:rsidRDefault="00054D4B" w:rsidP="00054D4B">
      <w:r w:rsidRPr="007A020D">
        <w:t>Item 6 (b) of the provisional agenda</w:t>
      </w:r>
    </w:p>
    <w:p w:rsidR="00054D4B" w:rsidRPr="00054D4B" w:rsidRDefault="00054D4B" w:rsidP="00054D4B">
      <w:pPr>
        <w:rPr>
          <w:b/>
          <w:bCs/>
        </w:rPr>
      </w:pPr>
      <w:r w:rsidRPr="00054D4B">
        <w:rPr>
          <w:b/>
          <w:bCs/>
        </w:rPr>
        <w:t xml:space="preserve">Proposals for amendments to Annexes A and B of ADR: </w:t>
      </w:r>
    </w:p>
    <w:p w:rsidR="00054D4B" w:rsidRPr="00054D4B" w:rsidRDefault="00054D4B" w:rsidP="00054D4B">
      <w:pPr>
        <w:rPr>
          <w:b/>
          <w:bCs/>
        </w:rPr>
      </w:pPr>
      <w:r w:rsidRPr="00054D4B">
        <w:rPr>
          <w:b/>
          <w:bCs/>
        </w:rPr>
        <w:t>Miscellaneous proposals</w:t>
      </w:r>
    </w:p>
    <w:p w:rsidR="00054D4B" w:rsidRPr="00054D4B" w:rsidRDefault="00054D4B" w:rsidP="00054D4B">
      <w:pPr>
        <w:spacing w:line="120" w:lineRule="exact"/>
        <w:rPr>
          <w:sz w:val="10"/>
        </w:rPr>
      </w:pPr>
    </w:p>
    <w:p w:rsidR="00054D4B" w:rsidRPr="00054D4B" w:rsidRDefault="00054D4B" w:rsidP="00054D4B">
      <w:pPr>
        <w:spacing w:line="120" w:lineRule="exact"/>
        <w:rPr>
          <w:sz w:val="10"/>
        </w:rPr>
      </w:pPr>
    </w:p>
    <w:p w:rsidR="00054D4B" w:rsidRPr="007A020D" w:rsidRDefault="00054D4B" w:rsidP="00054D4B">
      <w:pPr>
        <w:pStyle w:val="HCh"/>
        <w:ind w:left="1267" w:right="1260" w:hanging="1267"/>
      </w:pPr>
      <w:r>
        <w:tab/>
      </w:r>
      <w:r>
        <w:tab/>
      </w:r>
      <w:r w:rsidRPr="007A020D">
        <w:t>Proposal for a definition of transport by private individuals according to 1.1.3.1 (a)</w:t>
      </w:r>
    </w:p>
    <w:p w:rsidR="00054D4B" w:rsidRPr="00054D4B" w:rsidRDefault="00054D4B" w:rsidP="00054D4B">
      <w:pPr>
        <w:pStyle w:val="SingleTxt"/>
        <w:spacing w:after="0" w:line="120" w:lineRule="exact"/>
        <w:rPr>
          <w:sz w:val="10"/>
        </w:rPr>
      </w:pPr>
    </w:p>
    <w:p w:rsidR="00054D4B" w:rsidRPr="00054D4B" w:rsidRDefault="00054D4B" w:rsidP="00054D4B">
      <w:pPr>
        <w:pStyle w:val="SingleTxt"/>
        <w:spacing w:after="0" w:line="120" w:lineRule="exact"/>
        <w:rPr>
          <w:sz w:val="10"/>
        </w:rPr>
      </w:pPr>
    </w:p>
    <w:p w:rsidR="00054D4B" w:rsidRPr="007A020D" w:rsidRDefault="00054D4B" w:rsidP="00054D4B">
      <w:pPr>
        <w:pStyle w:val="H1"/>
        <w:ind w:right="1260"/>
      </w:pPr>
      <w:r>
        <w:tab/>
      </w:r>
      <w:r>
        <w:tab/>
      </w:r>
      <w:r w:rsidRPr="007A020D">
        <w:t>Transmitted by the Government of Switzerland</w:t>
      </w:r>
      <w:r w:rsidRPr="00B10D17">
        <w:rPr>
          <w:color w:val="943634" w:themeColor="accent2" w:themeShade="BF"/>
          <w:spacing w:val="-5"/>
          <w:w w:val="130"/>
          <w:position w:val="-4"/>
          <w:sz w:val="17"/>
          <w:vertAlign w:val="superscript"/>
        </w:rPr>
        <w:footnoteReference w:id="1"/>
      </w:r>
    </w:p>
    <w:p w:rsidR="00054D4B" w:rsidRPr="00054D4B" w:rsidRDefault="00054D4B" w:rsidP="00054D4B">
      <w:pPr>
        <w:pStyle w:val="SingleTxt"/>
        <w:spacing w:after="0" w:line="120" w:lineRule="exact"/>
        <w:rPr>
          <w:sz w:val="10"/>
        </w:rPr>
      </w:pPr>
    </w:p>
    <w:p w:rsidR="00054D4B" w:rsidRPr="00054D4B" w:rsidRDefault="00054D4B" w:rsidP="00054D4B">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054D4B" w:rsidTr="00054D4B">
        <w:tc>
          <w:tcPr>
            <w:tcW w:w="10051" w:type="dxa"/>
            <w:tcBorders>
              <w:top w:val="single" w:sz="2" w:space="0" w:color="auto"/>
            </w:tcBorders>
            <w:shd w:val="clear" w:color="auto" w:fill="auto"/>
          </w:tcPr>
          <w:p w:rsidR="00054D4B" w:rsidRPr="00054D4B" w:rsidRDefault="00054D4B" w:rsidP="00054D4B">
            <w:pPr>
              <w:tabs>
                <w:tab w:val="left" w:pos="240"/>
              </w:tabs>
              <w:spacing w:before="240" w:after="120"/>
              <w:rPr>
                <w:i/>
                <w:sz w:val="24"/>
              </w:rPr>
            </w:pPr>
            <w:r>
              <w:rPr>
                <w:i/>
                <w:sz w:val="24"/>
              </w:rPr>
              <w:tab/>
              <w:t>Summary</w:t>
            </w:r>
          </w:p>
        </w:tc>
      </w:tr>
      <w:tr w:rsidR="00054D4B" w:rsidTr="00054D4B">
        <w:tc>
          <w:tcPr>
            <w:tcW w:w="10051" w:type="dxa"/>
            <w:shd w:val="clear" w:color="auto" w:fill="auto"/>
          </w:tcPr>
          <w:p w:rsidR="00F87FAF" w:rsidRPr="00F87FAF" w:rsidRDefault="00054D4B" w:rsidP="00F87FAF">
            <w:pPr>
              <w:pStyle w:val="SingleTxtG"/>
              <w:spacing w:after="60"/>
              <w:ind w:left="2552" w:hanging="2268"/>
              <w:rPr>
                <w:bCs/>
                <w:szCs w:val="22"/>
              </w:rPr>
            </w:pPr>
            <w:r w:rsidRPr="00F87FAF">
              <w:rPr>
                <w:b/>
                <w:szCs w:val="22"/>
              </w:rPr>
              <w:t>Executive summary</w:t>
            </w:r>
            <w:r w:rsidRPr="00664530">
              <w:rPr>
                <w:bCs/>
                <w:szCs w:val="22"/>
              </w:rPr>
              <w:t>:</w:t>
            </w:r>
            <w:r w:rsidRPr="00F87FAF">
              <w:rPr>
                <w:b/>
                <w:szCs w:val="22"/>
              </w:rPr>
              <w:tab/>
            </w:r>
            <w:r w:rsidRPr="00F87FAF">
              <w:rPr>
                <w:bCs/>
                <w:szCs w:val="22"/>
              </w:rPr>
              <w:t>Specify the scope of 1.1.3.1 (a) and establish quantitative limits for exemptions using the quantities in 1.1.3.6.3.</w:t>
            </w:r>
          </w:p>
        </w:tc>
      </w:tr>
      <w:tr w:rsidR="00054D4B" w:rsidTr="00054D4B">
        <w:tc>
          <w:tcPr>
            <w:tcW w:w="10051" w:type="dxa"/>
            <w:shd w:val="clear" w:color="auto" w:fill="auto"/>
          </w:tcPr>
          <w:p w:rsidR="00054D4B" w:rsidRPr="00054D4B" w:rsidRDefault="00054D4B" w:rsidP="00F87FAF">
            <w:pPr>
              <w:pStyle w:val="SingleTxtG"/>
              <w:spacing w:after="60"/>
              <w:ind w:left="2552" w:hanging="2268"/>
            </w:pPr>
            <w:r w:rsidRPr="00F87FAF">
              <w:rPr>
                <w:b/>
                <w:szCs w:val="22"/>
              </w:rPr>
              <w:t>Action to be taken</w:t>
            </w:r>
            <w:r w:rsidRPr="00664530">
              <w:rPr>
                <w:bCs/>
                <w:szCs w:val="22"/>
              </w:rPr>
              <w:t>:</w:t>
            </w:r>
            <w:r w:rsidRPr="00F87FAF">
              <w:rPr>
                <w:b/>
                <w:szCs w:val="22"/>
              </w:rPr>
              <w:tab/>
            </w:r>
            <w:r w:rsidRPr="00F87FAF">
              <w:rPr>
                <w:bCs/>
                <w:szCs w:val="22"/>
              </w:rPr>
              <w:t xml:space="preserve">Amend the text of 1.1.3.1 (a) and in 1.1.3.6.5 delete </w:t>
            </w:r>
            <w:r w:rsidR="00D81EBC" w:rsidRPr="00F87FAF">
              <w:rPr>
                <w:bCs/>
                <w:szCs w:val="22"/>
              </w:rPr>
              <w:t>“</w:t>
            </w:r>
            <w:r w:rsidRPr="00F87FAF">
              <w:rPr>
                <w:bCs/>
                <w:szCs w:val="22"/>
              </w:rPr>
              <w:t>(a)</w:t>
            </w:r>
            <w:r w:rsidR="00D81EBC" w:rsidRPr="00F87FAF">
              <w:rPr>
                <w:bCs/>
                <w:szCs w:val="22"/>
              </w:rPr>
              <w:t>”</w:t>
            </w:r>
            <w:r w:rsidRPr="00F87FAF">
              <w:rPr>
                <w:bCs/>
                <w:szCs w:val="22"/>
              </w:rPr>
              <w:t xml:space="preserve"> after </w:t>
            </w:r>
            <w:r w:rsidR="00D81EBC" w:rsidRPr="00F87FAF">
              <w:rPr>
                <w:bCs/>
                <w:szCs w:val="22"/>
              </w:rPr>
              <w:t>“</w:t>
            </w:r>
            <w:r w:rsidRPr="00F87FAF">
              <w:rPr>
                <w:bCs/>
                <w:szCs w:val="22"/>
              </w:rPr>
              <w:t>1.1.3.1</w:t>
            </w:r>
            <w:r w:rsidR="00D81EBC" w:rsidRPr="00F87FAF">
              <w:rPr>
                <w:bCs/>
                <w:szCs w:val="22"/>
              </w:rPr>
              <w:t>”</w:t>
            </w:r>
            <w:r w:rsidRPr="00F87FAF">
              <w:rPr>
                <w:bCs/>
                <w:szCs w:val="22"/>
              </w:rPr>
              <w:t>.</w:t>
            </w:r>
          </w:p>
        </w:tc>
      </w:tr>
      <w:tr w:rsidR="00054D4B" w:rsidTr="00054D4B">
        <w:tc>
          <w:tcPr>
            <w:tcW w:w="10051" w:type="dxa"/>
            <w:tcBorders>
              <w:bottom w:val="nil"/>
            </w:tcBorders>
            <w:shd w:val="clear" w:color="auto" w:fill="auto"/>
          </w:tcPr>
          <w:p w:rsidR="00054D4B" w:rsidRPr="00054D4B" w:rsidRDefault="00054D4B" w:rsidP="00F87FAF">
            <w:pPr>
              <w:pStyle w:val="SingleTxtG"/>
              <w:spacing w:after="60"/>
              <w:ind w:left="2552" w:hanging="2268"/>
            </w:pPr>
            <w:r w:rsidRPr="00F87FAF">
              <w:rPr>
                <w:b/>
                <w:szCs w:val="22"/>
              </w:rPr>
              <w:t>Related documents</w:t>
            </w:r>
            <w:r w:rsidRPr="00664530">
              <w:rPr>
                <w:bCs/>
                <w:szCs w:val="22"/>
              </w:rPr>
              <w:t>:</w:t>
            </w:r>
            <w:r w:rsidRPr="00F87FAF">
              <w:rPr>
                <w:b/>
                <w:szCs w:val="22"/>
              </w:rPr>
              <w:tab/>
            </w:r>
            <w:r w:rsidRPr="00F87FAF">
              <w:rPr>
                <w:bCs/>
                <w:szCs w:val="22"/>
              </w:rPr>
              <w:t>ECE/TRANS/WP.15/226 and ECE/TRANS/WP.15/2014/10</w:t>
            </w:r>
          </w:p>
        </w:tc>
      </w:tr>
      <w:tr w:rsidR="00054D4B" w:rsidTr="00054D4B">
        <w:tc>
          <w:tcPr>
            <w:tcW w:w="10051" w:type="dxa"/>
            <w:tcBorders>
              <w:bottom w:val="single" w:sz="2" w:space="0" w:color="auto"/>
            </w:tcBorders>
            <w:shd w:val="clear" w:color="auto" w:fill="auto"/>
          </w:tcPr>
          <w:p w:rsidR="00054D4B" w:rsidRPr="00054D4B" w:rsidRDefault="00054D4B" w:rsidP="00054D4B">
            <w:pPr>
              <w:pStyle w:val="SingleTxt"/>
            </w:pPr>
          </w:p>
        </w:tc>
      </w:tr>
    </w:tbl>
    <w:p w:rsidR="00054D4B" w:rsidRPr="00054D4B" w:rsidRDefault="00054D4B" w:rsidP="00054D4B">
      <w:pPr>
        <w:pStyle w:val="SingleTxt"/>
        <w:spacing w:after="0" w:line="120" w:lineRule="exact"/>
        <w:rPr>
          <w:sz w:val="10"/>
        </w:rPr>
      </w:pPr>
    </w:p>
    <w:p w:rsidR="00054D4B" w:rsidRPr="00054D4B" w:rsidRDefault="00054D4B" w:rsidP="00054D4B">
      <w:pPr>
        <w:pStyle w:val="SingleTxt"/>
        <w:spacing w:after="0" w:line="120" w:lineRule="exact"/>
        <w:rPr>
          <w:sz w:val="10"/>
        </w:rPr>
      </w:pPr>
    </w:p>
    <w:p w:rsidR="00054D4B" w:rsidRDefault="00054D4B" w:rsidP="00054D4B">
      <w:pPr>
        <w:pStyle w:val="HCh"/>
        <w:ind w:left="1267" w:right="1260" w:hanging="1267"/>
      </w:pPr>
      <w:r>
        <w:tab/>
      </w:r>
      <w:r>
        <w:tab/>
      </w:r>
      <w:r w:rsidRPr="007A020D">
        <w:t>Introduction</w:t>
      </w:r>
    </w:p>
    <w:p w:rsidR="00054D4B" w:rsidRPr="00054D4B" w:rsidRDefault="00054D4B" w:rsidP="00054D4B">
      <w:pPr>
        <w:pStyle w:val="SingleTxt"/>
        <w:spacing w:after="0" w:line="120" w:lineRule="exact"/>
        <w:rPr>
          <w:sz w:val="10"/>
        </w:rPr>
      </w:pPr>
    </w:p>
    <w:p w:rsidR="00054D4B" w:rsidRPr="00054D4B" w:rsidRDefault="00054D4B" w:rsidP="00054D4B">
      <w:pPr>
        <w:pStyle w:val="SingleTxt"/>
        <w:spacing w:after="0" w:line="120" w:lineRule="exact"/>
        <w:rPr>
          <w:sz w:val="10"/>
        </w:rPr>
      </w:pPr>
    </w:p>
    <w:p w:rsidR="00054D4B" w:rsidRPr="007A020D" w:rsidRDefault="00054D4B" w:rsidP="00DD67BA">
      <w:pPr>
        <w:pStyle w:val="SingleTxt"/>
      </w:pPr>
      <w:r w:rsidRPr="007A020D">
        <w:t>1.</w:t>
      </w:r>
      <w:r w:rsidRPr="007A020D">
        <w:tab/>
        <w:t xml:space="preserve">At the November session of the Working Party (WP.15), the question of the interpretation of the scope of 1.1.3.1 (a) was raised, as reflected in paragraphs 17 to 19 of the report, ECE/TRANS/WP.15/226. WP.15 invited the representative of Switzerland to continue discussions </w:t>
      </w:r>
      <w:r w:rsidRPr="007A020D">
        <w:rPr>
          <w:rFonts w:eastAsia="MS Mincho"/>
        </w:rPr>
        <w:t xml:space="preserve">on this subject </w:t>
      </w:r>
      <w:r w:rsidRPr="007A020D">
        <w:t xml:space="preserve">in the Joint Meeting so that a harmonized approach could be adopted if necessary. </w:t>
      </w:r>
      <w:r w:rsidR="006E4D71">
        <w:t>D</w:t>
      </w:r>
      <w:r w:rsidRPr="007A020D">
        <w:t>iscuss</w:t>
      </w:r>
      <w:r w:rsidR="006E4D71">
        <w:t>ions were held</w:t>
      </w:r>
      <w:r w:rsidRPr="007A020D">
        <w:t xml:space="preserve"> with the Swiss competent authority responsible for rail transport (RID) and inland navigation (ADN)</w:t>
      </w:r>
      <w:r w:rsidR="006E4D71">
        <w:t xml:space="preserve"> to see whether a more specific definition of</w:t>
      </w:r>
      <w:r w:rsidRPr="007A020D">
        <w:t xml:space="preserve"> </w:t>
      </w:r>
      <w:r w:rsidR="006E4D71" w:rsidRPr="007A020D">
        <w:t>transport by private individuals</w:t>
      </w:r>
      <w:r w:rsidR="00E77D32">
        <w:t xml:space="preserve"> </w:t>
      </w:r>
      <w:r w:rsidR="006E4D71">
        <w:t>in 1.1.3.1 (a) would be relevant. In the authorities</w:t>
      </w:r>
      <w:r w:rsidR="00E77D32">
        <w:t>’</w:t>
      </w:r>
      <w:r w:rsidR="006E4D71">
        <w:t xml:space="preserve"> view, there was </w:t>
      </w:r>
      <w:r w:rsidRPr="007A020D">
        <w:t>no need to specify the scope of the exemption more fully</w:t>
      </w:r>
      <w:r w:rsidR="006E4D71">
        <w:t xml:space="preserve"> for those two modes of transport. The</w:t>
      </w:r>
      <w:r w:rsidRPr="007A020D">
        <w:t xml:space="preserve"> cases raised in document ECE/TRANS/WP.15/2014/10 </w:t>
      </w:r>
      <w:r w:rsidR="006E4D71">
        <w:t>would</w:t>
      </w:r>
      <w:r w:rsidRPr="007A020D">
        <w:t xml:space="preserve"> probably not be encountered in the modes in question. </w:t>
      </w:r>
      <w:r w:rsidR="006E4D71">
        <w:t>It</w:t>
      </w:r>
      <w:r w:rsidRPr="007A020D">
        <w:t xml:space="preserve"> is apparently </w:t>
      </w:r>
      <w:r w:rsidR="006E4D71">
        <w:t xml:space="preserve">an issue </w:t>
      </w:r>
      <w:r w:rsidRPr="007A020D">
        <w:t xml:space="preserve">specific to road transport carried out by </w:t>
      </w:r>
      <w:r w:rsidRPr="007A020D">
        <w:lastRenderedPageBreak/>
        <w:t>private individuals. By agreement with th</w:t>
      </w:r>
      <w:r w:rsidR="006E4D71">
        <w:t>o</w:t>
      </w:r>
      <w:r w:rsidRPr="007A020D">
        <w:t xml:space="preserve">se authorities, we </w:t>
      </w:r>
      <w:r w:rsidR="00BC05D7" w:rsidRPr="007A020D">
        <w:t xml:space="preserve">are </w:t>
      </w:r>
      <w:r w:rsidRPr="007A020D">
        <w:t>therefore presenting this document only to WP.15.</w:t>
      </w:r>
    </w:p>
    <w:p w:rsidR="00054D4B" w:rsidRPr="007A020D" w:rsidRDefault="00054D4B" w:rsidP="00BC05D7">
      <w:pPr>
        <w:pStyle w:val="SingleTxt"/>
      </w:pPr>
      <w:r w:rsidRPr="007A020D">
        <w:t>2.</w:t>
      </w:r>
      <w:r w:rsidRPr="007A020D">
        <w:tab/>
        <w:t xml:space="preserve">The law on road traffic relates to drivers of vehicles. It is thus the driver who is the person responsible for compliance with the road traffic rules and who must, if necessary, bear the consequences of breaches of those rules. Thus, the exemption </w:t>
      </w:r>
      <w:r w:rsidR="00BC05D7">
        <w:t xml:space="preserve">under </w:t>
      </w:r>
      <w:r w:rsidRPr="007A020D">
        <w:t>1.1.3.1 (a)</w:t>
      </w:r>
      <w:r w:rsidR="00BC05D7">
        <w:t xml:space="preserve"> relates only to</w:t>
      </w:r>
      <w:r w:rsidR="00BC05D7" w:rsidRPr="00BC05D7">
        <w:t xml:space="preserve"> </w:t>
      </w:r>
      <w:r w:rsidR="00BC05D7" w:rsidRPr="007A020D">
        <w:t>driver</w:t>
      </w:r>
      <w:r w:rsidR="00BC05D7">
        <w:t>s.</w:t>
      </w:r>
    </w:p>
    <w:p w:rsidR="00054D4B" w:rsidRPr="007A020D" w:rsidRDefault="00054D4B" w:rsidP="00DD67BA">
      <w:pPr>
        <w:pStyle w:val="SingleTxt"/>
      </w:pPr>
      <w:r w:rsidRPr="007A020D">
        <w:t>3.</w:t>
      </w:r>
      <w:r w:rsidRPr="007A020D">
        <w:tab/>
        <w:t xml:space="preserve">The text of 1.1.3.1 (a) reads </w:t>
      </w:r>
      <w:r w:rsidR="00D81EBC">
        <w:t>“</w:t>
      </w:r>
      <w:r w:rsidRPr="007A020D">
        <w:t xml:space="preserve">carriage of dangerous goods </w:t>
      </w:r>
      <w:r w:rsidRPr="00BC05D7">
        <w:rPr>
          <w:b/>
          <w:bCs/>
        </w:rPr>
        <w:t>by private individuals</w:t>
      </w:r>
      <w:r w:rsidR="00DD67BA">
        <w:rPr>
          <w:b/>
          <w:bCs/>
        </w:rPr>
        <w:t xml:space="preserve"> </w:t>
      </w:r>
      <w:r w:rsidRPr="007A020D">
        <w:t>…</w:t>
      </w:r>
      <w:r w:rsidR="00BC05D7">
        <w:t xml:space="preserve"> </w:t>
      </w:r>
      <w:r w:rsidRPr="007A020D">
        <w:t xml:space="preserve">intended for </w:t>
      </w:r>
      <w:r w:rsidRPr="00BC05D7">
        <w:rPr>
          <w:b/>
          <w:bCs/>
        </w:rPr>
        <w:t>their personal</w:t>
      </w:r>
      <w:r w:rsidRPr="007A020D">
        <w:t xml:space="preserve"> or domestic use</w:t>
      </w:r>
      <w:r w:rsidR="00D81EBC">
        <w:t>”</w:t>
      </w:r>
      <w:r w:rsidRPr="007A020D">
        <w:t xml:space="preserve">. This can only cover the person </w:t>
      </w:r>
      <w:r w:rsidR="00D81EBC">
        <w:t>“</w:t>
      </w:r>
      <w:r w:rsidRPr="007A020D">
        <w:t>carrying out</w:t>
      </w:r>
      <w:r w:rsidR="00D81EBC">
        <w:t>”</w:t>
      </w:r>
      <w:r w:rsidRPr="007A020D">
        <w:t xml:space="preserve"> the transport for </w:t>
      </w:r>
      <w:r w:rsidR="00D81EBC">
        <w:t>“</w:t>
      </w:r>
      <w:r w:rsidRPr="007A020D">
        <w:t>his personal use</w:t>
      </w:r>
      <w:r w:rsidR="00D81EBC">
        <w:t>”</w:t>
      </w:r>
      <w:r w:rsidRPr="007A020D">
        <w:t xml:space="preserve"> </w:t>
      </w:r>
      <w:r w:rsidR="00BC05D7">
        <w:t xml:space="preserve">— </w:t>
      </w:r>
      <w:r w:rsidRPr="007A020D">
        <w:t>drivers carrying such goods</w:t>
      </w:r>
      <w:r w:rsidR="00BC05D7">
        <w:t>,</w:t>
      </w:r>
      <w:r w:rsidRPr="007A020D">
        <w:t xml:space="preserve"> for themselves. </w:t>
      </w:r>
      <w:r w:rsidR="00BC05D7">
        <w:t>For</w:t>
      </w:r>
      <w:r w:rsidRPr="007A020D">
        <w:t xml:space="preserve"> the text </w:t>
      </w:r>
      <w:r w:rsidR="00BC05D7">
        <w:t xml:space="preserve">to </w:t>
      </w:r>
      <w:r w:rsidRPr="007A020D">
        <w:t xml:space="preserve">cover another beneficiary of the exemption, it would have had to be worded more generally, for example as </w:t>
      </w:r>
      <w:r w:rsidR="00D81EBC">
        <w:t>“</w:t>
      </w:r>
      <w:r w:rsidRPr="007A020D">
        <w:t>carriage of dangerous goods by private individuals</w:t>
      </w:r>
      <w:r w:rsidR="00DD67BA">
        <w:t xml:space="preserve"> </w:t>
      </w:r>
      <w:r w:rsidRPr="007A020D">
        <w:t>…</w:t>
      </w:r>
      <w:r w:rsidR="00BC05D7">
        <w:t xml:space="preserve"> </w:t>
      </w:r>
      <w:r w:rsidRPr="007A020D">
        <w:t xml:space="preserve">intended for </w:t>
      </w:r>
      <w:r w:rsidRPr="00BC05D7">
        <w:rPr>
          <w:b/>
          <w:bCs/>
        </w:rPr>
        <w:t>a</w:t>
      </w:r>
      <w:r w:rsidRPr="007A020D">
        <w:t xml:space="preserve"> private or domestic use</w:t>
      </w:r>
      <w:r w:rsidR="00D81EBC">
        <w:t>”</w:t>
      </w:r>
      <w:r w:rsidRPr="007A020D">
        <w:t xml:space="preserve">. </w:t>
      </w:r>
      <w:r w:rsidR="00BC05D7">
        <w:t>Nonetheless</w:t>
      </w:r>
      <w:r w:rsidRPr="007A020D">
        <w:t xml:space="preserve">, at the November 2014 meeting, as </w:t>
      </w:r>
      <w:r w:rsidR="00BC05D7">
        <w:t>noted</w:t>
      </w:r>
      <w:r w:rsidRPr="007A020D">
        <w:t xml:space="preserve"> in paragraphs 17 and 18 of ECE/TRANS/WP.15/226, several delegations considered that interpretation </w:t>
      </w:r>
      <w:r w:rsidR="00BC05D7">
        <w:t>to be</w:t>
      </w:r>
      <w:r w:rsidRPr="007A020D">
        <w:t xml:space="preserve"> too restrictive. Thus, in the opinion of some, it would be admissible for 1.1.3.1 (a) to apply to carriage for all the members of a family or a group of several individuals travelling in the same vehicle (see para</w:t>
      </w:r>
      <w:r w:rsidR="00DD67BA">
        <w:t>graph</w:t>
      </w:r>
      <w:r w:rsidRPr="007A020D">
        <w:t xml:space="preserve"> 17 of ECE/TRANS/WP.15/226). On the other hand, others considered that the current wording could lead to abusive practices regarding the quantities of dangerous goods carried by large groups and that it could be useful to set reasonable and practical limits for all dangerous goods that might enter into the scope of 1.1.3.1 (a) (see para</w:t>
      </w:r>
      <w:r w:rsidR="00DD67BA">
        <w:t>graph</w:t>
      </w:r>
      <w:r w:rsidRPr="007A020D">
        <w:t xml:space="preserve"> 18 of ECE/TRANS/WP.15/226).</w:t>
      </w:r>
    </w:p>
    <w:p w:rsidR="00054D4B" w:rsidRPr="007A020D" w:rsidRDefault="00054D4B" w:rsidP="00DD67BA">
      <w:pPr>
        <w:pStyle w:val="SingleTxt"/>
      </w:pPr>
      <w:r w:rsidRPr="007A020D">
        <w:t>4.</w:t>
      </w:r>
      <w:r w:rsidRPr="007A020D">
        <w:tab/>
      </w:r>
      <w:r w:rsidR="00BC05D7">
        <w:t>W</w:t>
      </w:r>
      <w:r w:rsidR="00BC05D7" w:rsidRPr="007A020D">
        <w:t xml:space="preserve">e believe the text of 1.1.3.1 (a) should be amended </w:t>
      </w:r>
      <w:r w:rsidR="00BC05D7">
        <w:t>t</w:t>
      </w:r>
      <w:r w:rsidRPr="007A020D">
        <w:t xml:space="preserve">o reflect the </w:t>
      </w:r>
      <w:r w:rsidR="00BC05D7">
        <w:t>desire</w:t>
      </w:r>
      <w:r w:rsidRPr="007A020D">
        <w:t xml:space="preserve"> to extend </w:t>
      </w:r>
      <w:r w:rsidR="00BC05D7">
        <w:t>its</w:t>
      </w:r>
      <w:r w:rsidRPr="007A020D">
        <w:t xml:space="preserve"> scope to individuals other than vehicle drivers. Proposal 1, below, continues to cover the driver, but extends the exemption to carriage performed by the driver for other private individuals.</w:t>
      </w:r>
    </w:p>
    <w:p w:rsidR="00BC05D7" w:rsidRPr="00BC05D7" w:rsidRDefault="00BC05D7" w:rsidP="00BC05D7">
      <w:pPr>
        <w:pStyle w:val="HCh"/>
        <w:spacing w:line="120" w:lineRule="exact"/>
        <w:ind w:left="1267" w:right="1260" w:hanging="1267"/>
        <w:rPr>
          <w:sz w:val="10"/>
        </w:rPr>
      </w:pPr>
    </w:p>
    <w:p w:rsidR="00BC05D7" w:rsidRPr="00BC05D7" w:rsidRDefault="00BC05D7" w:rsidP="00BC05D7">
      <w:pPr>
        <w:pStyle w:val="HCh"/>
        <w:spacing w:line="120" w:lineRule="exact"/>
        <w:ind w:left="1267" w:right="1260" w:hanging="1267"/>
        <w:rPr>
          <w:sz w:val="10"/>
        </w:rPr>
      </w:pPr>
    </w:p>
    <w:p w:rsidR="00054D4B" w:rsidRPr="007A020D" w:rsidRDefault="00BC05D7" w:rsidP="00BC05D7">
      <w:pPr>
        <w:pStyle w:val="HCh"/>
        <w:ind w:left="1267" w:right="1260" w:hanging="1267"/>
      </w:pPr>
      <w:r>
        <w:tab/>
      </w:r>
      <w:r>
        <w:tab/>
      </w:r>
      <w:r w:rsidR="00054D4B" w:rsidRPr="007A020D">
        <w:t>Proposal 1</w:t>
      </w:r>
    </w:p>
    <w:p w:rsidR="00BC05D7" w:rsidRPr="00BC05D7" w:rsidRDefault="00BC05D7" w:rsidP="00BC05D7">
      <w:pPr>
        <w:pStyle w:val="SingleTxt"/>
        <w:spacing w:after="0" w:line="120" w:lineRule="exact"/>
        <w:rPr>
          <w:sz w:val="10"/>
        </w:rPr>
      </w:pPr>
    </w:p>
    <w:p w:rsidR="00BC05D7" w:rsidRPr="00BC05D7" w:rsidRDefault="00BC05D7" w:rsidP="00BC05D7">
      <w:pPr>
        <w:pStyle w:val="SingleTxt"/>
        <w:spacing w:after="0" w:line="120" w:lineRule="exact"/>
        <w:rPr>
          <w:sz w:val="10"/>
        </w:rPr>
      </w:pPr>
    </w:p>
    <w:p w:rsidR="00054D4B" w:rsidRPr="007A020D" w:rsidRDefault="00054D4B" w:rsidP="00054D4B">
      <w:pPr>
        <w:pStyle w:val="SingleTxt"/>
      </w:pPr>
      <w:r w:rsidRPr="007A020D">
        <w:t>Amend the first part of 1.1.3.1 (a) as follows:</w:t>
      </w:r>
    </w:p>
    <w:p w:rsidR="00054D4B" w:rsidRPr="007A020D" w:rsidRDefault="00D81EBC" w:rsidP="00B64F34">
      <w:pPr>
        <w:pStyle w:val="SingleTxt"/>
      </w:pPr>
      <w:r>
        <w:t>“</w:t>
      </w:r>
      <w:r w:rsidR="00054D4B" w:rsidRPr="007A020D">
        <w:t>(a)</w:t>
      </w:r>
      <w:r w:rsidR="00054D4B" w:rsidRPr="007A020D">
        <w:tab/>
        <w:t xml:space="preserve">The carriage of dangerous goods by private individuals </w:t>
      </w:r>
      <w:r w:rsidR="00054D4B" w:rsidRPr="00BC05D7">
        <w:rPr>
          <w:b/>
          <w:bCs/>
          <w:u w:val="single"/>
        </w:rPr>
        <w:t>for themselves or for other private individuals present during carriage</w:t>
      </w:r>
      <w:r w:rsidR="00054D4B" w:rsidRPr="007A020D">
        <w:t xml:space="preserve"> where the goods in question</w:t>
      </w:r>
      <w:r w:rsidR="00B64F34">
        <w:t xml:space="preserve"> </w:t>
      </w:r>
      <w:proofErr w:type="gramStart"/>
      <w:r w:rsidR="00B64F34">
        <w:t>…</w:t>
      </w:r>
      <w:r w:rsidR="00DD67BA">
        <w:t xml:space="preserve"> </w:t>
      </w:r>
      <w:r w:rsidR="00054D4B" w:rsidRPr="007A020D">
        <w:t>.</w:t>
      </w:r>
      <w:r>
        <w:t>”</w:t>
      </w:r>
      <w:proofErr w:type="gramEnd"/>
    </w:p>
    <w:p w:rsidR="00054D4B" w:rsidRPr="007A020D" w:rsidRDefault="00054D4B" w:rsidP="00CE5635">
      <w:pPr>
        <w:pStyle w:val="SingleTxt"/>
      </w:pPr>
      <w:proofErr w:type="gramStart"/>
      <w:r w:rsidRPr="007A020D">
        <w:t>5.</w:t>
      </w:r>
      <w:r w:rsidRPr="007A020D">
        <w:tab/>
      </w:r>
      <w:r w:rsidR="008D1F61">
        <w:t>In meeting</w:t>
      </w:r>
      <w:r w:rsidRPr="007A020D">
        <w:t xml:space="preserve"> the need to set </w:t>
      </w:r>
      <w:r w:rsidR="008D1F61">
        <w:t xml:space="preserve">quantitative </w:t>
      </w:r>
      <w:r w:rsidRPr="007A020D">
        <w:t>limits for the exemption</w:t>
      </w:r>
      <w:r w:rsidR="00CE5635">
        <w:t>,</w:t>
      </w:r>
      <w:r w:rsidRPr="007A020D">
        <w:t xml:space="preserve"> </w:t>
      </w:r>
      <w:r w:rsidR="00CE5635">
        <w:t>we should bear in mind</w:t>
      </w:r>
      <w:r w:rsidRPr="007A020D">
        <w:t xml:space="preserve"> that the limits currently </w:t>
      </w:r>
      <w:r w:rsidR="00E77D32">
        <w:t>appearing</w:t>
      </w:r>
      <w:r w:rsidR="00CE5635">
        <w:t xml:space="preserve"> </w:t>
      </w:r>
      <w:r w:rsidRPr="007A020D">
        <w:t>in the second sentence of 1.1.3.1 (a) are not applicable to all dangerous goods other than the ones indicated, nor to non-refillable packages or those that are sealed when purchased for retail sale.</w:t>
      </w:r>
      <w:proofErr w:type="gramEnd"/>
    </w:p>
    <w:p w:rsidR="00054D4B" w:rsidRPr="007A020D" w:rsidRDefault="00054D4B" w:rsidP="00CE5635">
      <w:pPr>
        <w:pStyle w:val="SingleTxt"/>
      </w:pPr>
      <w:r w:rsidRPr="007A020D">
        <w:t>6.</w:t>
      </w:r>
      <w:r w:rsidRPr="007A020D">
        <w:tab/>
        <w:t xml:space="preserve">Setting quantity limits for the scope of the exemption makes it easier to implement. Currently, even if an outlandish quantity of goods is carried, the police on the road do not have the legal instruments that would allow them to simply prohibit a continuation of carriage on the basis of quantity limits. That is </w:t>
      </w:r>
      <w:r w:rsidR="00CE5635">
        <w:t>another reason</w:t>
      </w:r>
      <w:r w:rsidRPr="007A020D">
        <w:t xml:space="preserve"> why limits have been introduced in Switzerland</w:t>
      </w:r>
      <w:r w:rsidR="00CE5635">
        <w:t xml:space="preserve"> to make</w:t>
      </w:r>
      <w:r w:rsidRPr="007A020D">
        <w:t xml:space="preserve"> it possible to better define the scope of the exemption under 1.1.3.1 (a). </w:t>
      </w:r>
      <w:proofErr w:type="gramStart"/>
      <w:r w:rsidRPr="007A020D">
        <w:t>Abusive practices, which some have expressed concern about, can thus be avoided.</w:t>
      </w:r>
      <w:proofErr w:type="gramEnd"/>
    </w:p>
    <w:p w:rsidR="00054D4B" w:rsidRPr="007A020D" w:rsidRDefault="00054D4B" w:rsidP="00E77D32">
      <w:pPr>
        <w:pStyle w:val="SingleTxt"/>
      </w:pPr>
      <w:r w:rsidRPr="007A020D">
        <w:t>7.</w:t>
      </w:r>
      <w:r w:rsidRPr="007A020D">
        <w:tab/>
        <w:t xml:space="preserve">It still has to be decided what limits would be appropriate to ensure safety and identification in transport. In Switzerland, for the application of ADR 1.1.3.1 (a), </w:t>
      </w:r>
      <w:r w:rsidR="00CE5635">
        <w:t xml:space="preserve">over </w:t>
      </w:r>
      <w:r w:rsidRPr="007A020D">
        <w:t>15 years ago we introduced the limits present</w:t>
      </w:r>
      <w:r w:rsidR="00CE5635">
        <w:t>ed</w:t>
      </w:r>
      <w:r w:rsidRPr="007A020D">
        <w:t xml:space="preserve"> hereunder, in proposal 2 (a). These limits are lower than the one</w:t>
      </w:r>
      <w:r w:rsidR="00CE5635">
        <w:t>s</w:t>
      </w:r>
      <w:r w:rsidRPr="007A020D">
        <w:t xml:space="preserve"> in ADR 1.1.3.6 so as to avoid encouraging transport outside of the </w:t>
      </w:r>
      <w:r w:rsidR="00E77D32">
        <w:t>framework</w:t>
      </w:r>
      <w:r w:rsidRPr="007A020D">
        <w:t xml:space="preserve"> of the legislation and prevent unfair competition with those who abide by it. Apparently, such quantities are fully sufficient to meet the needs of private individuals. If WP.15 is prepared to take the question up, we would propose introducing these texts in ADR.</w:t>
      </w:r>
    </w:p>
    <w:p w:rsidR="00CE5635" w:rsidRPr="00CE5635" w:rsidRDefault="00CE5635" w:rsidP="00CE5635">
      <w:pPr>
        <w:pStyle w:val="HCh"/>
        <w:spacing w:line="120" w:lineRule="exact"/>
        <w:ind w:left="1267" w:right="1260" w:hanging="1267"/>
        <w:rPr>
          <w:sz w:val="10"/>
        </w:rPr>
      </w:pPr>
    </w:p>
    <w:p w:rsidR="00CE5635" w:rsidRPr="00CE5635" w:rsidRDefault="00CE5635" w:rsidP="00CE5635">
      <w:pPr>
        <w:pStyle w:val="HCh"/>
        <w:spacing w:line="120" w:lineRule="exact"/>
        <w:ind w:left="1267" w:right="1260" w:hanging="1267"/>
        <w:rPr>
          <w:sz w:val="10"/>
        </w:rPr>
      </w:pPr>
    </w:p>
    <w:p w:rsidR="00054D4B" w:rsidRDefault="00CE5635" w:rsidP="00CE5635">
      <w:pPr>
        <w:pStyle w:val="HCh"/>
        <w:ind w:left="1267" w:right="1260" w:hanging="1267"/>
      </w:pPr>
      <w:r>
        <w:tab/>
      </w:r>
      <w:r>
        <w:tab/>
      </w:r>
      <w:r w:rsidR="00054D4B" w:rsidRPr="007A020D">
        <w:t>Proposal 2 (a)</w:t>
      </w:r>
    </w:p>
    <w:p w:rsidR="00CE5635" w:rsidRPr="00CE5635" w:rsidRDefault="00CE5635" w:rsidP="00CE5635">
      <w:pPr>
        <w:pStyle w:val="SingleTxt"/>
        <w:spacing w:after="0" w:line="120" w:lineRule="exact"/>
        <w:rPr>
          <w:sz w:val="10"/>
        </w:rPr>
      </w:pPr>
    </w:p>
    <w:p w:rsidR="00CE5635" w:rsidRPr="00CE5635" w:rsidRDefault="00CE5635" w:rsidP="00CE5635">
      <w:pPr>
        <w:pStyle w:val="SingleTxt"/>
        <w:spacing w:after="0" w:line="120" w:lineRule="exact"/>
        <w:rPr>
          <w:sz w:val="10"/>
        </w:rPr>
      </w:pPr>
    </w:p>
    <w:p w:rsidR="00054D4B" w:rsidRPr="007A020D" w:rsidRDefault="00054D4B" w:rsidP="00054D4B">
      <w:pPr>
        <w:pStyle w:val="SingleTxt"/>
      </w:pPr>
      <w:r w:rsidRPr="007A020D">
        <w:t>8.</w:t>
      </w:r>
      <w:r w:rsidRPr="007A020D">
        <w:tab/>
        <w:t>Introduce at the end of 1.1.3.1 (a) the following text:</w:t>
      </w:r>
    </w:p>
    <w:p w:rsidR="00054D4B" w:rsidRPr="007A020D" w:rsidRDefault="00D81EBC" w:rsidP="00054D4B">
      <w:pPr>
        <w:pStyle w:val="SingleTxt"/>
      </w:pPr>
      <w:r>
        <w:t>“</w:t>
      </w:r>
      <w:r w:rsidR="00054D4B" w:rsidRPr="007A020D">
        <w:t>For the application of these provisions, the following rule shall be observed:</w:t>
      </w:r>
    </w:p>
    <w:p w:rsidR="00054D4B" w:rsidRPr="007A020D" w:rsidRDefault="00054D4B" w:rsidP="00054D4B">
      <w:pPr>
        <w:pStyle w:val="SingleTxt"/>
      </w:pPr>
      <w:r w:rsidRPr="007A020D">
        <w:t>The total quantity per transport unit shall not exceed the values established in the table below.</w:t>
      </w:r>
    </w:p>
    <w:p w:rsidR="00054D4B" w:rsidRPr="007A020D" w:rsidRDefault="00054D4B" w:rsidP="00054D4B">
      <w:pPr>
        <w:pStyle w:val="SingleTxt"/>
      </w:pPr>
      <w:r w:rsidRPr="007A020D">
        <w:t xml:space="preserve">In the table below, </w:t>
      </w:r>
      <w:r w:rsidR="00D81EBC">
        <w:t>“</w:t>
      </w:r>
      <w:r w:rsidRPr="007A020D">
        <w:t>maximum total quantities per transport unit</w:t>
      </w:r>
      <w:r w:rsidR="00D81EBC">
        <w:t>”</w:t>
      </w:r>
      <w:r w:rsidRPr="007A020D">
        <w:t xml:space="preserve"> means:</w:t>
      </w:r>
    </w:p>
    <w:p w:rsidR="00054D4B" w:rsidRPr="007A020D" w:rsidRDefault="00054D4B" w:rsidP="00054D4B">
      <w:pPr>
        <w:pStyle w:val="SingleTxt"/>
      </w:pPr>
      <w:r w:rsidRPr="007A020D">
        <w:t>-</w:t>
      </w:r>
      <w:r w:rsidRPr="007A020D">
        <w:tab/>
        <w:t>For articles, gross mass in kilograms (for articles of Class 1, net mass in kilograms of the explosive substance);</w:t>
      </w:r>
      <w:bookmarkStart w:id="0" w:name="_GoBack"/>
      <w:bookmarkEnd w:id="0"/>
    </w:p>
    <w:p w:rsidR="00054D4B" w:rsidRPr="007A020D" w:rsidRDefault="00054D4B" w:rsidP="00CE5635">
      <w:pPr>
        <w:pStyle w:val="SingleTxt"/>
      </w:pPr>
      <w:r w:rsidRPr="007A020D">
        <w:t>-</w:t>
      </w:r>
      <w:r w:rsidRPr="007A020D">
        <w:tab/>
        <w:t xml:space="preserve">For solids, liquefied </w:t>
      </w:r>
      <w:r w:rsidR="00CE5635">
        <w:t>g</w:t>
      </w:r>
      <w:r w:rsidRPr="007A020D">
        <w:t>ases, refrigerated liquefied gases and dissolved gases, net mass in kilograms;</w:t>
      </w:r>
    </w:p>
    <w:p w:rsidR="00054D4B" w:rsidRPr="007A020D" w:rsidRDefault="00054D4B" w:rsidP="00054D4B">
      <w:pPr>
        <w:pStyle w:val="SingleTxt"/>
      </w:pPr>
      <w:r w:rsidRPr="007A020D">
        <w:t>-</w:t>
      </w:r>
      <w:r w:rsidRPr="007A020D">
        <w:tab/>
        <w:t>For liquids, the total quantity of dangerous goods contained, in litres;</w:t>
      </w:r>
    </w:p>
    <w:p w:rsidR="00054D4B" w:rsidRPr="007A020D" w:rsidRDefault="00054D4B" w:rsidP="00CE5635">
      <w:pPr>
        <w:pStyle w:val="SingleTxt"/>
      </w:pPr>
      <w:r w:rsidRPr="007A020D">
        <w:t>-</w:t>
      </w:r>
      <w:r w:rsidRPr="007A020D">
        <w:tab/>
        <w:t>For compressed gases and chemicals under pressure, the water capacity of the receptacle in litres.</w:t>
      </w:r>
    </w:p>
    <w:p w:rsidR="00CE5635" w:rsidRPr="00CE5635" w:rsidRDefault="00CE5635" w:rsidP="00CE5635">
      <w:pPr>
        <w:pStyle w:val="H23"/>
        <w:spacing w:line="120" w:lineRule="exact"/>
        <w:ind w:right="1260"/>
        <w:rPr>
          <w:sz w:val="10"/>
        </w:rPr>
      </w:pPr>
    </w:p>
    <w:p w:rsidR="00054D4B" w:rsidRDefault="00CE5635" w:rsidP="00CE5635">
      <w:pPr>
        <w:pStyle w:val="H23"/>
        <w:ind w:right="1260"/>
      </w:pPr>
      <w:r>
        <w:tab/>
      </w:r>
      <w:r>
        <w:tab/>
      </w:r>
      <w:r w:rsidR="00054D4B" w:rsidRPr="007A020D">
        <w:t>Table 1.1.3.1</w:t>
      </w:r>
    </w:p>
    <w:p w:rsidR="00CE5635" w:rsidRPr="00CE5635" w:rsidRDefault="00CE5635" w:rsidP="00CE5635">
      <w:pPr>
        <w:pStyle w:val="SingleTxt"/>
        <w:spacing w:after="0" w:line="120" w:lineRule="exact"/>
        <w:rPr>
          <w:sz w:val="10"/>
        </w:rPr>
      </w:pPr>
    </w:p>
    <w:p w:rsidR="00CE5635" w:rsidRPr="00CE5635" w:rsidRDefault="00CE5635" w:rsidP="00CE5635">
      <w:pPr>
        <w:pStyle w:val="SingleTxt"/>
        <w:spacing w:after="0" w:line="120" w:lineRule="exact"/>
        <w:rPr>
          <w:sz w:val="10"/>
        </w:rPr>
      </w:pPr>
    </w:p>
    <w:tbl>
      <w:tblPr>
        <w:tblW w:w="0" w:type="auto"/>
        <w:jc w:val="center"/>
        <w:tblInd w:w="-2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tblPr>
      <w:tblGrid>
        <w:gridCol w:w="1066"/>
        <w:gridCol w:w="1333"/>
        <w:gridCol w:w="3415"/>
        <w:gridCol w:w="213"/>
        <w:gridCol w:w="1418"/>
      </w:tblGrid>
      <w:tr w:rsidR="00054D4B" w:rsidRPr="007A020D" w:rsidTr="00CE5635">
        <w:trPr>
          <w:cantSplit/>
          <w:trHeight w:val="20"/>
          <w:jc w:val="center"/>
        </w:trPr>
        <w:tc>
          <w:tcPr>
            <w:tcW w:w="2399" w:type="dxa"/>
            <w:gridSpan w:val="2"/>
            <w:tcBorders>
              <w:bottom w:val="single" w:sz="6" w:space="0" w:color="auto"/>
              <w:right w:val="nil"/>
            </w:tcBorders>
            <w:shd w:val="clear" w:color="auto" w:fill="auto"/>
          </w:tcPr>
          <w:p w:rsidR="00054D4B" w:rsidRPr="008A2108" w:rsidRDefault="00054D4B" w:rsidP="004B60FA">
            <w:pPr>
              <w:rPr>
                <w:sz w:val="16"/>
                <w:szCs w:val="16"/>
              </w:rPr>
            </w:pPr>
            <w:r w:rsidRPr="008A2108">
              <w:rPr>
                <w:sz w:val="16"/>
                <w:szCs w:val="16"/>
              </w:rPr>
              <w:t>Substances or articles</w:t>
            </w:r>
          </w:p>
        </w:tc>
        <w:tc>
          <w:tcPr>
            <w:tcW w:w="3628" w:type="dxa"/>
            <w:gridSpan w:val="2"/>
            <w:tcBorders>
              <w:left w:val="nil"/>
              <w:bottom w:val="single" w:sz="6" w:space="0" w:color="auto"/>
            </w:tcBorders>
            <w:shd w:val="clear" w:color="auto" w:fill="auto"/>
          </w:tcPr>
          <w:p w:rsidR="00054D4B" w:rsidRPr="008A2108" w:rsidRDefault="00054D4B" w:rsidP="004B60FA">
            <w:pPr>
              <w:rPr>
                <w:sz w:val="16"/>
                <w:szCs w:val="16"/>
              </w:rPr>
            </w:pPr>
          </w:p>
        </w:tc>
        <w:tc>
          <w:tcPr>
            <w:tcW w:w="1418" w:type="dxa"/>
            <w:tcBorders>
              <w:bottom w:val="single" w:sz="6" w:space="0" w:color="auto"/>
            </w:tcBorders>
            <w:shd w:val="clear" w:color="auto" w:fill="auto"/>
          </w:tcPr>
          <w:p w:rsidR="00054D4B" w:rsidRPr="008A2108" w:rsidRDefault="00054D4B" w:rsidP="004B60FA">
            <w:pPr>
              <w:rPr>
                <w:sz w:val="16"/>
                <w:szCs w:val="16"/>
              </w:rPr>
            </w:pPr>
            <w:r w:rsidRPr="008A2108">
              <w:rPr>
                <w:sz w:val="16"/>
                <w:szCs w:val="16"/>
              </w:rPr>
              <w:t>Maximum total quantities per transport unit</w:t>
            </w:r>
          </w:p>
        </w:tc>
      </w:tr>
      <w:tr w:rsidR="00054D4B" w:rsidRPr="008A2108" w:rsidTr="00CE5635">
        <w:trPr>
          <w:cantSplit/>
          <w:trHeight w:val="20"/>
          <w:jc w:val="center"/>
        </w:trPr>
        <w:tc>
          <w:tcPr>
            <w:tcW w:w="1066" w:type="dxa"/>
            <w:tcBorders>
              <w:bottom w:val="nil"/>
              <w:right w:val="nil"/>
            </w:tcBorders>
            <w:shd w:val="clear" w:color="auto" w:fill="auto"/>
          </w:tcPr>
          <w:p w:rsidR="00054D4B" w:rsidRPr="008A2108" w:rsidRDefault="00054D4B" w:rsidP="004B60FA">
            <w:pPr>
              <w:rPr>
                <w:sz w:val="18"/>
                <w:szCs w:val="18"/>
              </w:rPr>
            </w:pPr>
            <w:r w:rsidRPr="008A2108">
              <w:rPr>
                <w:sz w:val="18"/>
                <w:szCs w:val="18"/>
              </w:rPr>
              <w:t>Class 1:</w:t>
            </w:r>
          </w:p>
        </w:tc>
        <w:tc>
          <w:tcPr>
            <w:tcW w:w="4961" w:type="dxa"/>
            <w:gridSpan w:val="3"/>
            <w:tcBorders>
              <w:left w:val="nil"/>
              <w:bottom w:val="nil"/>
            </w:tcBorders>
            <w:shd w:val="clear" w:color="auto" w:fill="auto"/>
          </w:tcPr>
          <w:p w:rsidR="00054D4B" w:rsidRPr="008A2108" w:rsidRDefault="00054D4B" w:rsidP="004B60FA">
            <w:pPr>
              <w:rPr>
                <w:sz w:val="18"/>
                <w:szCs w:val="18"/>
              </w:rPr>
            </w:pPr>
            <w:r w:rsidRPr="008A2108">
              <w:rPr>
                <w:sz w:val="18"/>
                <w:szCs w:val="18"/>
              </w:rPr>
              <w:t>1.1A, 1.1L, 1.2L, 1.3L, 1.4L, UN No. 0190</w:t>
            </w:r>
          </w:p>
        </w:tc>
        <w:tc>
          <w:tcPr>
            <w:tcW w:w="1418" w:type="dxa"/>
            <w:tcBorders>
              <w:bottom w:val="nil"/>
            </w:tcBorders>
            <w:shd w:val="clear" w:color="auto" w:fill="auto"/>
          </w:tcPr>
          <w:p w:rsidR="00054D4B" w:rsidRPr="008A2108" w:rsidRDefault="00054D4B" w:rsidP="004B60FA">
            <w:pPr>
              <w:rPr>
                <w:sz w:val="18"/>
                <w:szCs w:val="18"/>
              </w:rPr>
            </w:pPr>
            <w:r w:rsidRPr="008A2108">
              <w:rPr>
                <w:sz w:val="18"/>
                <w:szCs w:val="18"/>
              </w:rPr>
              <w:t>0</w:t>
            </w: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3:</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UN No. 3343</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4.2:</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Substances belonging to packing group I</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4.3:</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Substances belonging to packing group I</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5.1:</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UN No. 2426</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6.1:</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UN Nos. 1051, 1600, 1613, 1614, 2312, 3250 and 3294</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6.2:</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UN Nos. 2814 and 2900</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7:</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UN Nos. 2912 to 2919, 2977, 2978, 3321 to 3333</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B31A53"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8:</w:t>
            </w:r>
          </w:p>
        </w:tc>
        <w:tc>
          <w:tcPr>
            <w:tcW w:w="4961" w:type="dxa"/>
            <w:gridSpan w:val="3"/>
            <w:tcBorders>
              <w:top w:val="nil"/>
              <w:left w:val="nil"/>
              <w:bottom w:val="nil"/>
            </w:tcBorders>
            <w:shd w:val="clear" w:color="auto" w:fill="auto"/>
          </w:tcPr>
          <w:p w:rsidR="00054D4B" w:rsidRPr="008A2108" w:rsidRDefault="00054D4B" w:rsidP="004B60FA">
            <w:pPr>
              <w:rPr>
                <w:sz w:val="18"/>
                <w:szCs w:val="18"/>
                <w:lang w:val="es-ES"/>
              </w:rPr>
            </w:pPr>
            <w:r w:rsidRPr="008A2108">
              <w:rPr>
                <w:sz w:val="18"/>
                <w:szCs w:val="18"/>
                <w:lang w:val="es-ES"/>
              </w:rPr>
              <w:t>UN No. 2215 (MALEIC ANHYDRIDE, MOLTEN)</w:t>
            </w:r>
          </w:p>
        </w:tc>
        <w:tc>
          <w:tcPr>
            <w:tcW w:w="1418" w:type="dxa"/>
            <w:tcBorders>
              <w:top w:val="nil"/>
              <w:bottom w:val="nil"/>
            </w:tcBorders>
            <w:shd w:val="clear" w:color="auto" w:fill="auto"/>
          </w:tcPr>
          <w:p w:rsidR="00054D4B" w:rsidRPr="008A2108" w:rsidRDefault="00054D4B" w:rsidP="004B60FA">
            <w:pPr>
              <w:rPr>
                <w:sz w:val="18"/>
                <w:szCs w:val="18"/>
                <w:lang w:val="es-ES"/>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9:</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UN Nos. 2315, 3151, 3152 and 3432 and apparatus containing such substances or mixtures</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46329D">
        <w:trPr>
          <w:cantSplit/>
          <w:trHeight w:val="20"/>
          <w:jc w:val="center"/>
        </w:trPr>
        <w:tc>
          <w:tcPr>
            <w:tcW w:w="5814" w:type="dxa"/>
            <w:gridSpan w:val="3"/>
            <w:tcBorders>
              <w:top w:val="nil"/>
              <w:bottom w:val="single" w:sz="6" w:space="0" w:color="auto"/>
              <w:right w:val="nil"/>
            </w:tcBorders>
            <w:shd w:val="clear" w:color="auto" w:fill="auto"/>
          </w:tcPr>
          <w:p w:rsidR="00054D4B" w:rsidRPr="008A2108" w:rsidRDefault="00054D4B" w:rsidP="004B60FA">
            <w:pPr>
              <w:rPr>
                <w:sz w:val="18"/>
                <w:szCs w:val="18"/>
              </w:rPr>
            </w:pPr>
            <w:proofErr w:type="gramStart"/>
            <w:r w:rsidRPr="008A2108">
              <w:rPr>
                <w:sz w:val="18"/>
                <w:szCs w:val="18"/>
              </w:rPr>
              <w:t>and</w:t>
            </w:r>
            <w:proofErr w:type="gramEnd"/>
            <w:r w:rsidRPr="008A2108">
              <w:rPr>
                <w:sz w:val="18"/>
                <w:szCs w:val="18"/>
              </w:rPr>
              <w:t xml:space="preserve"> empty </w:t>
            </w:r>
            <w:proofErr w:type="spellStart"/>
            <w:r w:rsidRPr="008A2108">
              <w:rPr>
                <w:sz w:val="18"/>
                <w:szCs w:val="18"/>
              </w:rPr>
              <w:t>uncleaned</w:t>
            </w:r>
            <w:proofErr w:type="spellEnd"/>
            <w:r w:rsidRPr="008A2108">
              <w:rPr>
                <w:sz w:val="18"/>
                <w:szCs w:val="18"/>
              </w:rPr>
              <w:t xml:space="preserve"> </w:t>
            </w:r>
            <w:proofErr w:type="spellStart"/>
            <w:r w:rsidRPr="008A2108">
              <w:rPr>
                <w:sz w:val="18"/>
                <w:szCs w:val="18"/>
              </w:rPr>
              <w:t>packagings</w:t>
            </w:r>
            <w:proofErr w:type="spellEnd"/>
            <w:r w:rsidRPr="008A2108">
              <w:rPr>
                <w:sz w:val="18"/>
                <w:szCs w:val="18"/>
              </w:rPr>
              <w:t>, except those classified under UN No. 2908, having contained substances classified in this transport category.</w:t>
            </w:r>
          </w:p>
        </w:tc>
        <w:tc>
          <w:tcPr>
            <w:tcW w:w="213" w:type="dxa"/>
            <w:tcBorders>
              <w:top w:val="nil"/>
              <w:left w:val="nil"/>
              <w:bottom w:val="single" w:sz="6" w:space="0" w:color="auto"/>
              <w:right w:val="single" w:sz="6" w:space="0" w:color="auto"/>
            </w:tcBorders>
            <w:shd w:val="clear" w:color="auto" w:fill="auto"/>
          </w:tcPr>
          <w:p w:rsidR="00054D4B" w:rsidRPr="008A2108" w:rsidRDefault="00054D4B" w:rsidP="004B60FA">
            <w:pPr>
              <w:rPr>
                <w:sz w:val="18"/>
                <w:szCs w:val="18"/>
              </w:rPr>
            </w:pPr>
          </w:p>
        </w:tc>
        <w:tc>
          <w:tcPr>
            <w:tcW w:w="1418" w:type="dxa"/>
            <w:tcBorders>
              <w:top w:val="nil"/>
              <w:left w:val="single" w:sz="6" w:space="0" w:color="auto"/>
              <w:bottom w:val="single" w:sz="6" w:space="0" w:color="auto"/>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single" w:sz="6" w:space="0" w:color="auto"/>
              <w:bottom w:val="nil"/>
              <w:right w:val="nil"/>
            </w:tcBorders>
            <w:shd w:val="clear" w:color="auto" w:fill="auto"/>
          </w:tcPr>
          <w:p w:rsidR="00054D4B" w:rsidRPr="008A2108" w:rsidRDefault="00054D4B" w:rsidP="004B60FA">
            <w:pPr>
              <w:rPr>
                <w:sz w:val="18"/>
                <w:szCs w:val="18"/>
              </w:rPr>
            </w:pPr>
            <w:r w:rsidRPr="008A2108">
              <w:rPr>
                <w:sz w:val="18"/>
                <w:szCs w:val="18"/>
              </w:rPr>
              <w:t>Class 1:</w:t>
            </w:r>
          </w:p>
        </w:tc>
        <w:tc>
          <w:tcPr>
            <w:tcW w:w="4961" w:type="dxa"/>
            <w:gridSpan w:val="3"/>
            <w:tcBorders>
              <w:top w:val="single" w:sz="6" w:space="0" w:color="auto"/>
              <w:left w:val="nil"/>
              <w:bottom w:val="nil"/>
            </w:tcBorders>
            <w:shd w:val="clear" w:color="auto" w:fill="auto"/>
          </w:tcPr>
          <w:p w:rsidR="00054D4B" w:rsidRPr="008A2108" w:rsidRDefault="00054D4B" w:rsidP="004B60FA">
            <w:pPr>
              <w:rPr>
                <w:sz w:val="18"/>
                <w:szCs w:val="18"/>
              </w:rPr>
            </w:pPr>
            <w:r w:rsidRPr="008A2108">
              <w:rPr>
                <w:sz w:val="18"/>
                <w:szCs w:val="18"/>
              </w:rPr>
              <w:t>Substances of Divisions 1.1C to 1.5D and articles of Divisions 1.1B and 1.2B</w:t>
            </w:r>
          </w:p>
        </w:tc>
        <w:tc>
          <w:tcPr>
            <w:tcW w:w="1418" w:type="dxa"/>
            <w:tcBorders>
              <w:top w:val="single" w:sz="6" w:space="0" w:color="auto"/>
              <w:bottom w:val="nil"/>
            </w:tcBorders>
            <w:shd w:val="clear" w:color="auto" w:fill="auto"/>
          </w:tcPr>
          <w:p w:rsidR="00054D4B" w:rsidRPr="008A2108" w:rsidRDefault="00054D4B" w:rsidP="004B60FA">
            <w:pPr>
              <w:rPr>
                <w:sz w:val="18"/>
                <w:szCs w:val="18"/>
              </w:rPr>
            </w:pPr>
            <w:r w:rsidRPr="008A2108">
              <w:rPr>
                <w:sz w:val="18"/>
                <w:szCs w:val="18"/>
              </w:rPr>
              <w:t>1</w:t>
            </w: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4.1:</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UN Nos. 3221 to 3224 and 3231 to 3240 and substances of packing group I</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4.2:</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Substances of packing group II</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4.3:</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Substances of packing group II or III</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5.1:</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Substances of packing group I</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single" w:sz="6" w:space="0" w:color="auto"/>
              <w:right w:val="nil"/>
            </w:tcBorders>
            <w:shd w:val="clear" w:color="auto" w:fill="auto"/>
          </w:tcPr>
          <w:p w:rsidR="00054D4B" w:rsidRPr="008A2108" w:rsidRDefault="00054D4B" w:rsidP="004B60FA">
            <w:pPr>
              <w:rPr>
                <w:sz w:val="18"/>
                <w:szCs w:val="18"/>
              </w:rPr>
            </w:pPr>
            <w:r w:rsidRPr="008A2108">
              <w:rPr>
                <w:sz w:val="18"/>
                <w:szCs w:val="18"/>
              </w:rPr>
              <w:t>Class 5.2:</w:t>
            </w:r>
          </w:p>
        </w:tc>
        <w:tc>
          <w:tcPr>
            <w:tcW w:w="4961" w:type="dxa"/>
            <w:gridSpan w:val="3"/>
            <w:tcBorders>
              <w:top w:val="nil"/>
              <w:left w:val="nil"/>
              <w:bottom w:val="single" w:sz="6" w:space="0" w:color="auto"/>
            </w:tcBorders>
            <w:shd w:val="clear" w:color="auto" w:fill="auto"/>
          </w:tcPr>
          <w:p w:rsidR="00054D4B" w:rsidRPr="008A2108" w:rsidRDefault="00054D4B" w:rsidP="004B60FA">
            <w:pPr>
              <w:rPr>
                <w:sz w:val="18"/>
                <w:szCs w:val="18"/>
              </w:rPr>
            </w:pPr>
            <w:r w:rsidRPr="008A2108">
              <w:rPr>
                <w:sz w:val="18"/>
                <w:szCs w:val="18"/>
              </w:rPr>
              <w:t>UN Nos. 3101 to 3104, 3111 to 3120</w:t>
            </w:r>
          </w:p>
        </w:tc>
        <w:tc>
          <w:tcPr>
            <w:tcW w:w="1418" w:type="dxa"/>
            <w:tcBorders>
              <w:top w:val="nil"/>
              <w:bottom w:val="single" w:sz="6" w:space="0" w:color="auto"/>
            </w:tcBorders>
            <w:shd w:val="clear" w:color="auto" w:fill="auto"/>
          </w:tcPr>
          <w:p w:rsidR="00054D4B" w:rsidRPr="008A2108" w:rsidRDefault="00054D4B" w:rsidP="004B60FA">
            <w:pPr>
              <w:rPr>
                <w:sz w:val="18"/>
                <w:szCs w:val="18"/>
              </w:rPr>
            </w:pPr>
          </w:p>
        </w:tc>
      </w:tr>
      <w:tr w:rsidR="00054D4B" w:rsidRPr="008A2108" w:rsidTr="0046329D">
        <w:trPr>
          <w:cantSplit/>
          <w:trHeight w:val="20"/>
          <w:jc w:val="center"/>
        </w:trPr>
        <w:tc>
          <w:tcPr>
            <w:tcW w:w="5814" w:type="dxa"/>
            <w:gridSpan w:val="3"/>
            <w:tcBorders>
              <w:top w:val="single" w:sz="6" w:space="0" w:color="auto"/>
              <w:bottom w:val="nil"/>
              <w:right w:val="nil"/>
            </w:tcBorders>
            <w:shd w:val="clear" w:color="auto" w:fill="auto"/>
          </w:tcPr>
          <w:p w:rsidR="00054D4B" w:rsidRPr="008A2108" w:rsidRDefault="00054D4B" w:rsidP="004B60FA">
            <w:pPr>
              <w:rPr>
                <w:sz w:val="18"/>
                <w:szCs w:val="18"/>
              </w:rPr>
            </w:pPr>
            <w:r w:rsidRPr="008A2108">
              <w:rPr>
                <w:sz w:val="18"/>
                <w:szCs w:val="18"/>
              </w:rPr>
              <w:t>Substances and articles of packing group I and not classified in maximum authorized quantities 0 or 1 and substances and articles of the following classes or groups:</w:t>
            </w:r>
          </w:p>
        </w:tc>
        <w:tc>
          <w:tcPr>
            <w:tcW w:w="213" w:type="dxa"/>
            <w:tcBorders>
              <w:top w:val="single" w:sz="6" w:space="0" w:color="auto"/>
              <w:left w:val="nil"/>
              <w:bottom w:val="nil"/>
            </w:tcBorders>
            <w:shd w:val="clear" w:color="auto" w:fill="auto"/>
          </w:tcPr>
          <w:p w:rsidR="00054D4B" w:rsidRPr="008A2108" w:rsidRDefault="00054D4B" w:rsidP="004B60FA">
            <w:pPr>
              <w:rPr>
                <w:sz w:val="18"/>
                <w:szCs w:val="18"/>
              </w:rPr>
            </w:pPr>
          </w:p>
        </w:tc>
        <w:tc>
          <w:tcPr>
            <w:tcW w:w="1418" w:type="dxa"/>
            <w:tcBorders>
              <w:top w:val="single" w:sz="6" w:space="0" w:color="auto"/>
              <w:bottom w:val="nil"/>
            </w:tcBorders>
            <w:shd w:val="clear" w:color="auto" w:fill="auto"/>
          </w:tcPr>
          <w:p w:rsidR="00054D4B" w:rsidRPr="008A2108" w:rsidRDefault="00054D4B" w:rsidP="004B60FA">
            <w:pPr>
              <w:rPr>
                <w:sz w:val="18"/>
                <w:szCs w:val="18"/>
              </w:rPr>
            </w:pPr>
            <w:r w:rsidRPr="008A2108">
              <w:rPr>
                <w:sz w:val="18"/>
                <w:szCs w:val="18"/>
              </w:rPr>
              <w:t>5</w:t>
            </w: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1:</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Articles of Divisions 1.1C to 1.1J, 1.2C to 1.2J, 1.3C to 1.3J, 1.4B to 1.4S, 1.6N</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2:</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Groups T, TC, TO, TF, TOC and TFC</w:t>
            </w:r>
            <w:r w:rsidRPr="008A2108">
              <w:rPr>
                <w:sz w:val="18"/>
                <w:szCs w:val="18"/>
              </w:rPr>
              <w:br/>
              <w:t>Aerosols: groups C, CO, FC, T, TF, TC, TO, TFC and TOC</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4.1:</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UN Nos. 3225 to 3230</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lastRenderedPageBreak/>
              <w:t>Class 5.1:</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Substances of packing group II</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5.2:</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UN Nos. 3105 to 3110</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single" w:sz="6" w:space="0" w:color="auto"/>
              <w:right w:val="nil"/>
            </w:tcBorders>
            <w:shd w:val="clear" w:color="auto" w:fill="auto"/>
          </w:tcPr>
          <w:p w:rsidR="00054D4B" w:rsidRPr="008A2108" w:rsidRDefault="00054D4B" w:rsidP="004B60FA">
            <w:pPr>
              <w:rPr>
                <w:sz w:val="18"/>
                <w:szCs w:val="18"/>
              </w:rPr>
            </w:pPr>
            <w:r w:rsidRPr="008A2108">
              <w:rPr>
                <w:sz w:val="18"/>
                <w:szCs w:val="18"/>
              </w:rPr>
              <w:t>Class 9:</w:t>
            </w:r>
          </w:p>
        </w:tc>
        <w:tc>
          <w:tcPr>
            <w:tcW w:w="4961" w:type="dxa"/>
            <w:gridSpan w:val="3"/>
            <w:tcBorders>
              <w:top w:val="nil"/>
              <w:left w:val="nil"/>
              <w:bottom w:val="single" w:sz="6" w:space="0" w:color="auto"/>
            </w:tcBorders>
            <w:shd w:val="clear" w:color="auto" w:fill="auto"/>
          </w:tcPr>
          <w:p w:rsidR="00054D4B" w:rsidRPr="008A2108" w:rsidRDefault="00054D4B" w:rsidP="004B60FA">
            <w:pPr>
              <w:rPr>
                <w:sz w:val="18"/>
                <w:szCs w:val="18"/>
              </w:rPr>
            </w:pPr>
            <w:r w:rsidRPr="008A2108">
              <w:rPr>
                <w:sz w:val="18"/>
                <w:szCs w:val="18"/>
              </w:rPr>
              <w:t>UN No. 3245</w:t>
            </w:r>
          </w:p>
        </w:tc>
        <w:tc>
          <w:tcPr>
            <w:tcW w:w="1418" w:type="dxa"/>
            <w:tcBorders>
              <w:top w:val="nil"/>
              <w:bottom w:val="single" w:sz="6" w:space="0" w:color="auto"/>
            </w:tcBorders>
            <w:shd w:val="clear" w:color="auto" w:fill="auto"/>
          </w:tcPr>
          <w:p w:rsidR="00054D4B" w:rsidRPr="008A2108" w:rsidRDefault="00054D4B" w:rsidP="004B60FA">
            <w:pPr>
              <w:rPr>
                <w:sz w:val="18"/>
                <w:szCs w:val="18"/>
              </w:rPr>
            </w:pPr>
          </w:p>
        </w:tc>
      </w:tr>
      <w:tr w:rsidR="00054D4B" w:rsidRPr="008A2108" w:rsidTr="0046329D">
        <w:trPr>
          <w:cantSplit/>
          <w:trHeight w:val="20"/>
          <w:jc w:val="center"/>
        </w:trPr>
        <w:tc>
          <w:tcPr>
            <w:tcW w:w="5814" w:type="dxa"/>
            <w:gridSpan w:val="3"/>
            <w:tcBorders>
              <w:top w:val="single" w:sz="6" w:space="0" w:color="auto"/>
              <w:bottom w:val="nil"/>
              <w:right w:val="nil"/>
            </w:tcBorders>
            <w:shd w:val="clear" w:color="auto" w:fill="auto"/>
          </w:tcPr>
          <w:p w:rsidR="00054D4B" w:rsidRPr="008A2108" w:rsidRDefault="00054D4B" w:rsidP="004B60FA">
            <w:pPr>
              <w:rPr>
                <w:sz w:val="18"/>
                <w:szCs w:val="18"/>
              </w:rPr>
            </w:pPr>
            <w:r w:rsidRPr="008A2108">
              <w:rPr>
                <w:sz w:val="18"/>
                <w:szCs w:val="18"/>
              </w:rPr>
              <w:t>Substances and articles of packing group II and not classified in maximum authorized quantities 0, 1 or 5 and substances and articles of the following classes or groups:</w:t>
            </w:r>
          </w:p>
        </w:tc>
        <w:tc>
          <w:tcPr>
            <w:tcW w:w="213" w:type="dxa"/>
            <w:tcBorders>
              <w:top w:val="single" w:sz="6" w:space="0" w:color="auto"/>
              <w:left w:val="nil"/>
              <w:bottom w:val="nil"/>
            </w:tcBorders>
            <w:shd w:val="clear" w:color="auto" w:fill="auto"/>
          </w:tcPr>
          <w:p w:rsidR="00054D4B" w:rsidRPr="008A2108" w:rsidRDefault="00054D4B" w:rsidP="004B60FA">
            <w:pPr>
              <w:rPr>
                <w:sz w:val="18"/>
                <w:szCs w:val="18"/>
              </w:rPr>
            </w:pPr>
          </w:p>
        </w:tc>
        <w:tc>
          <w:tcPr>
            <w:tcW w:w="1418" w:type="dxa"/>
            <w:tcBorders>
              <w:top w:val="single" w:sz="6" w:space="0" w:color="auto"/>
              <w:bottom w:val="nil"/>
            </w:tcBorders>
            <w:shd w:val="clear" w:color="auto" w:fill="auto"/>
          </w:tcPr>
          <w:p w:rsidR="00054D4B" w:rsidRPr="008A2108" w:rsidRDefault="00054D4B" w:rsidP="004B60FA">
            <w:pPr>
              <w:rPr>
                <w:sz w:val="18"/>
                <w:szCs w:val="18"/>
              </w:rPr>
            </w:pPr>
            <w:r w:rsidRPr="008A2108">
              <w:rPr>
                <w:sz w:val="18"/>
                <w:szCs w:val="18"/>
              </w:rPr>
              <w:t>100</w:t>
            </w: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2:</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Group F, aerosols: group F</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5.1:</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Substances of packing group III</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6.1:</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Substances of packing group III</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46329D">
        <w:trPr>
          <w:cantSplit/>
          <w:trHeight w:val="20"/>
          <w:jc w:val="center"/>
        </w:trPr>
        <w:tc>
          <w:tcPr>
            <w:tcW w:w="5814" w:type="dxa"/>
            <w:gridSpan w:val="3"/>
            <w:tcBorders>
              <w:top w:val="single" w:sz="6" w:space="0" w:color="auto"/>
              <w:bottom w:val="nil"/>
              <w:right w:val="nil"/>
            </w:tcBorders>
            <w:shd w:val="clear" w:color="auto" w:fill="auto"/>
          </w:tcPr>
          <w:p w:rsidR="00054D4B" w:rsidRPr="008A2108" w:rsidRDefault="00054D4B" w:rsidP="004B60FA">
            <w:pPr>
              <w:rPr>
                <w:sz w:val="18"/>
                <w:szCs w:val="18"/>
              </w:rPr>
            </w:pPr>
            <w:r w:rsidRPr="008A2108">
              <w:rPr>
                <w:sz w:val="18"/>
                <w:szCs w:val="18"/>
              </w:rPr>
              <w:t>Substances and articles of packing group III and not classified in maximum authorized quantities 0, 1, 5 or 100 and substances and articles of the following classes or groups:</w:t>
            </w:r>
          </w:p>
        </w:tc>
        <w:tc>
          <w:tcPr>
            <w:tcW w:w="213" w:type="dxa"/>
            <w:tcBorders>
              <w:top w:val="single" w:sz="6" w:space="0" w:color="auto"/>
              <w:left w:val="nil"/>
              <w:bottom w:val="nil"/>
            </w:tcBorders>
            <w:shd w:val="clear" w:color="auto" w:fill="auto"/>
          </w:tcPr>
          <w:p w:rsidR="00054D4B" w:rsidRPr="008A2108" w:rsidRDefault="00054D4B" w:rsidP="004B60FA">
            <w:pPr>
              <w:rPr>
                <w:sz w:val="18"/>
                <w:szCs w:val="18"/>
              </w:rPr>
            </w:pPr>
          </w:p>
        </w:tc>
        <w:tc>
          <w:tcPr>
            <w:tcW w:w="1418" w:type="dxa"/>
            <w:tcBorders>
              <w:top w:val="single" w:sz="6" w:space="0" w:color="auto"/>
              <w:bottom w:val="nil"/>
            </w:tcBorders>
            <w:shd w:val="clear" w:color="auto" w:fill="auto"/>
          </w:tcPr>
          <w:p w:rsidR="00054D4B" w:rsidRPr="008A2108" w:rsidRDefault="00054D4B" w:rsidP="004B60FA">
            <w:pPr>
              <w:rPr>
                <w:sz w:val="18"/>
                <w:szCs w:val="18"/>
              </w:rPr>
            </w:pPr>
            <w:r w:rsidRPr="008A2108">
              <w:rPr>
                <w:sz w:val="18"/>
                <w:szCs w:val="18"/>
              </w:rPr>
              <w:t>300</w:t>
            </w: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2:</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Groups A and O, aerosols: groups A and O</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3:</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UN No. 3473</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4.3:</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UN No. 3476</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7:</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UN No</w:t>
            </w:r>
            <w:r w:rsidR="00DD67BA">
              <w:rPr>
                <w:sz w:val="18"/>
                <w:szCs w:val="18"/>
              </w:rPr>
              <w:t>s</w:t>
            </w:r>
            <w:r w:rsidRPr="008A2108">
              <w:rPr>
                <w:sz w:val="18"/>
                <w:szCs w:val="18"/>
              </w:rPr>
              <w:t>. 2908 to 2911</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nil"/>
              <w:right w:val="nil"/>
            </w:tcBorders>
            <w:shd w:val="clear" w:color="auto" w:fill="auto"/>
          </w:tcPr>
          <w:p w:rsidR="00054D4B" w:rsidRPr="008A2108" w:rsidRDefault="00054D4B" w:rsidP="004B60FA">
            <w:pPr>
              <w:rPr>
                <w:sz w:val="18"/>
                <w:szCs w:val="18"/>
              </w:rPr>
            </w:pPr>
            <w:r w:rsidRPr="008A2108">
              <w:rPr>
                <w:sz w:val="18"/>
                <w:szCs w:val="18"/>
              </w:rPr>
              <w:t>Class 8:</w:t>
            </w:r>
          </w:p>
        </w:tc>
        <w:tc>
          <w:tcPr>
            <w:tcW w:w="4961" w:type="dxa"/>
            <w:gridSpan w:val="3"/>
            <w:tcBorders>
              <w:top w:val="nil"/>
              <w:left w:val="nil"/>
              <w:bottom w:val="nil"/>
            </w:tcBorders>
            <w:shd w:val="clear" w:color="auto" w:fill="auto"/>
          </w:tcPr>
          <w:p w:rsidR="00054D4B" w:rsidRPr="008A2108" w:rsidRDefault="00054D4B" w:rsidP="004B60FA">
            <w:pPr>
              <w:rPr>
                <w:sz w:val="18"/>
                <w:szCs w:val="18"/>
              </w:rPr>
            </w:pPr>
            <w:r w:rsidRPr="008A2108">
              <w:rPr>
                <w:sz w:val="18"/>
                <w:szCs w:val="18"/>
              </w:rPr>
              <w:t>UN Nos. 2794, 2795, 2800, 3028 and 3477</w:t>
            </w:r>
          </w:p>
        </w:tc>
        <w:tc>
          <w:tcPr>
            <w:tcW w:w="1418" w:type="dxa"/>
            <w:tcBorders>
              <w:top w:val="nil"/>
              <w:bottom w:val="nil"/>
            </w:tcBorders>
            <w:shd w:val="clear" w:color="auto" w:fill="auto"/>
          </w:tcPr>
          <w:p w:rsidR="00054D4B" w:rsidRPr="008A2108" w:rsidRDefault="00054D4B" w:rsidP="004B60FA">
            <w:pPr>
              <w:rPr>
                <w:sz w:val="18"/>
                <w:szCs w:val="18"/>
              </w:rPr>
            </w:pPr>
          </w:p>
        </w:tc>
      </w:tr>
      <w:tr w:rsidR="00054D4B" w:rsidRPr="008A2108" w:rsidTr="00CE5635">
        <w:trPr>
          <w:cantSplit/>
          <w:trHeight w:val="20"/>
          <w:jc w:val="center"/>
        </w:trPr>
        <w:tc>
          <w:tcPr>
            <w:tcW w:w="1066" w:type="dxa"/>
            <w:tcBorders>
              <w:top w:val="nil"/>
              <w:bottom w:val="single" w:sz="6" w:space="0" w:color="auto"/>
              <w:right w:val="nil"/>
            </w:tcBorders>
            <w:shd w:val="clear" w:color="auto" w:fill="auto"/>
          </w:tcPr>
          <w:p w:rsidR="00054D4B" w:rsidRPr="008A2108" w:rsidRDefault="00054D4B" w:rsidP="004B60FA">
            <w:pPr>
              <w:rPr>
                <w:sz w:val="18"/>
                <w:szCs w:val="18"/>
              </w:rPr>
            </w:pPr>
            <w:r w:rsidRPr="008A2108">
              <w:rPr>
                <w:sz w:val="18"/>
                <w:szCs w:val="18"/>
              </w:rPr>
              <w:t>Class 9:</w:t>
            </w:r>
          </w:p>
        </w:tc>
        <w:tc>
          <w:tcPr>
            <w:tcW w:w="4961" w:type="dxa"/>
            <w:gridSpan w:val="3"/>
            <w:tcBorders>
              <w:top w:val="nil"/>
              <w:left w:val="nil"/>
              <w:bottom w:val="single" w:sz="6" w:space="0" w:color="auto"/>
            </w:tcBorders>
            <w:shd w:val="clear" w:color="auto" w:fill="auto"/>
          </w:tcPr>
          <w:p w:rsidR="00054D4B" w:rsidRPr="008A2108" w:rsidRDefault="00054D4B" w:rsidP="004B60FA">
            <w:pPr>
              <w:rPr>
                <w:sz w:val="18"/>
                <w:szCs w:val="18"/>
              </w:rPr>
            </w:pPr>
            <w:r w:rsidRPr="008A2108">
              <w:rPr>
                <w:sz w:val="18"/>
                <w:szCs w:val="18"/>
              </w:rPr>
              <w:t>UN Nos. 2990 and 3072</w:t>
            </w:r>
          </w:p>
        </w:tc>
        <w:tc>
          <w:tcPr>
            <w:tcW w:w="1418" w:type="dxa"/>
            <w:tcBorders>
              <w:top w:val="nil"/>
              <w:bottom w:val="single" w:sz="6" w:space="0" w:color="auto"/>
            </w:tcBorders>
            <w:shd w:val="clear" w:color="auto" w:fill="auto"/>
          </w:tcPr>
          <w:p w:rsidR="00054D4B" w:rsidRPr="008A2108" w:rsidRDefault="00054D4B" w:rsidP="004B60FA">
            <w:pPr>
              <w:rPr>
                <w:sz w:val="18"/>
                <w:szCs w:val="18"/>
              </w:rPr>
            </w:pPr>
          </w:p>
        </w:tc>
      </w:tr>
    </w:tbl>
    <w:p w:rsidR="00054D4B" w:rsidRPr="008A2108" w:rsidRDefault="00054D4B" w:rsidP="0046329D">
      <w:pPr>
        <w:spacing w:line="120" w:lineRule="exact"/>
        <w:rPr>
          <w:sz w:val="18"/>
          <w:szCs w:val="18"/>
        </w:rPr>
      </w:pPr>
    </w:p>
    <w:p w:rsidR="0046329D" w:rsidRPr="0046329D" w:rsidRDefault="0046329D" w:rsidP="0046329D">
      <w:pPr>
        <w:spacing w:line="120" w:lineRule="exact"/>
        <w:rPr>
          <w:sz w:val="10"/>
        </w:rPr>
      </w:pPr>
    </w:p>
    <w:p w:rsidR="00054D4B" w:rsidRPr="007A020D" w:rsidRDefault="00054D4B" w:rsidP="00054D4B">
      <w:pPr>
        <w:pStyle w:val="SingleTxt"/>
      </w:pPr>
      <w:r w:rsidRPr="007A020D">
        <w:t>When dangerous goods of different transport categories, as defined in Table A, are carried in the same transport unit, the sum of:</w:t>
      </w:r>
    </w:p>
    <w:p w:rsidR="00054D4B" w:rsidRPr="007A020D" w:rsidRDefault="00054D4B" w:rsidP="00054D4B">
      <w:pPr>
        <w:pStyle w:val="SingleTxt"/>
      </w:pPr>
      <w:r w:rsidRPr="007A020D">
        <w:t>-</w:t>
      </w:r>
      <w:r w:rsidRPr="007A020D">
        <w:tab/>
        <w:t>The quantity of substances and articles of maximum total quantity 1 multiplied by 300;</w:t>
      </w:r>
    </w:p>
    <w:p w:rsidR="00054D4B" w:rsidRPr="007A020D" w:rsidRDefault="00054D4B" w:rsidP="0046329D">
      <w:pPr>
        <w:pStyle w:val="SingleTxt"/>
      </w:pPr>
      <w:r w:rsidRPr="007A020D">
        <w:t>-</w:t>
      </w:r>
      <w:r w:rsidRPr="007A020D">
        <w:tab/>
        <w:t>The quantity of substances and articles of maximum total quantity 5 multiplied by 60;</w:t>
      </w:r>
    </w:p>
    <w:p w:rsidR="00054D4B" w:rsidRPr="007A020D" w:rsidRDefault="00054D4B" w:rsidP="00054D4B">
      <w:pPr>
        <w:pStyle w:val="SingleTxt"/>
      </w:pPr>
      <w:r w:rsidRPr="007A020D">
        <w:t>-</w:t>
      </w:r>
      <w:r w:rsidRPr="007A020D">
        <w:tab/>
        <w:t>The quantity of substances and articles of maximum total quantity 100 multiplied by 3; and</w:t>
      </w:r>
    </w:p>
    <w:p w:rsidR="00054D4B" w:rsidRPr="007A020D" w:rsidRDefault="00054D4B" w:rsidP="0046329D">
      <w:pPr>
        <w:pStyle w:val="SingleTxt"/>
      </w:pPr>
      <w:r w:rsidRPr="007A020D">
        <w:t>-</w:t>
      </w:r>
      <w:r w:rsidRPr="007A020D">
        <w:tab/>
        <w:t>The quantity of substances and articles of maximum total quantity 300;</w:t>
      </w:r>
    </w:p>
    <w:p w:rsidR="00054D4B" w:rsidRPr="007A020D" w:rsidRDefault="00054D4B" w:rsidP="00054D4B">
      <w:pPr>
        <w:pStyle w:val="SingleTxt"/>
      </w:pPr>
      <w:proofErr w:type="gramStart"/>
      <w:r w:rsidRPr="007A020D">
        <w:t>shall</w:t>
      </w:r>
      <w:proofErr w:type="gramEnd"/>
      <w:r w:rsidRPr="007A020D">
        <w:t xml:space="preserve"> not exceed 300.</w:t>
      </w:r>
      <w:r w:rsidR="00D81EBC">
        <w:t>”</w:t>
      </w:r>
    </w:p>
    <w:p w:rsidR="00054D4B" w:rsidRPr="007A020D" w:rsidRDefault="00054D4B" w:rsidP="00DD67BA">
      <w:pPr>
        <w:pStyle w:val="SingleTxt"/>
      </w:pPr>
      <w:r w:rsidRPr="007A020D">
        <w:t>9.</w:t>
      </w:r>
      <w:r w:rsidRPr="007A020D">
        <w:tab/>
        <w:t xml:space="preserve">Another option would consist in referring to the quantities established in 1.1.3.6.3, as in proposal 2 (b), below. </w:t>
      </w:r>
      <w:r w:rsidR="00D81EBC">
        <w:t xml:space="preserve">While the advantageous because of </w:t>
      </w:r>
      <w:r w:rsidR="00E77D32">
        <w:t>its</w:t>
      </w:r>
      <w:r w:rsidR="00D81EBC">
        <w:t xml:space="preserve"> simplicity</w:t>
      </w:r>
      <w:r w:rsidRPr="007A020D">
        <w:t xml:space="preserve">, we believe </w:t>
      </w:r>
      <w:r w:rsidR="00D81EBC">
        <w:t>that option</w:t>
      </w:r>
      <w:r w:rsidRPr="007A020D">
        <w:t xml:space="preserve"> would have the disadvantage of encouraging transport outside of ADR rules instead of compliance with them.</w:t>
      </w:r>
    </w:p>
    <w:p w:rsidR="0046329D" w:rsidRPr="0046329D" w:rsidRDefault="0046329D" w:rsidP="0046329D">
      <w:pPr>
        <w:pStyle w:val="HCh"/>
        <w:spacing w:line="120" w:lineRule="exact"/>
        <w:ind w:left="1267" w:right="1260" w:hanging="1267"/>
        <w:rPr>
          <w:sz w:val="10"/>
        </w:rPr>
      </w:pPr>
    </w:p>
    <w:p w:rsidR="0046329D" w:rsidRPr="0046329D" w:rsidRDefault="0046329D" w:rsidP="0046329D">
      <w:pPr>
        <w:pStyle w:val="HCh"/>
        <w:spacing w:line="120" w:lineRule="exact"/>
        <w:ind w:left="1267" w:right="1260" w:hanging="1267"/>
        <w:rPr>
          <w:sz w:val="10"/>
        </w:rPr>
      </w:pPr>
    </w:p>
    <w:p w:rsidR="00054D4B" w:rsidRPr="007A020D" w:rsidRDefault="0046329D" w:rsidP="0046329D">
      <w:pPr>
        <w:pStyle w:val="HCh"/>
        <w:ind w:left="1267" w:right="1260" w:hanging="1267"/>
      </w:pPr>
      <w:r>
        <w:tab/>
      </w:r>
      <w:r>
        <w:tab/>
      </w:r>
      <w:r w:rsidR="00054D4B" w:rsidRPr="007A020D">
        <w:t>Proposal 2 (b)</w:t>
      </w:r>
    </w:p>
    <w:p w:rsidR="0046329D" w:rsidRPr="0046329D" w:rsidRDefault="0046329D" w:rsidP="0046329D">
      <w:pPr>
        <w:pStyle w:val="SingleTxt"/>
        <w:spacing w:after="0" w:line="120" w:lineRule="exact"/>
        <w:rPr>
          <w:sz w:val="10"/>
        </w:rPr>
      </w:pPr>
    </w:p>
    <w:p w:rsidR="0046329D" w:rsidRPr="0046329D" w:rsidRDefault="0046329D" w:rsidP="0046329D">
      <w:pPr>
        <w:pStyle w:val="SingleTxt"/>
        <w:spacing w:after="0" w:line="120" w:lineRule="exact"/>
        <w:rPr>
          <w:sz w:val="10"/>
        </w:rPr>
      </w:pPr>
    </w:p>
    <w:p w:rsidR="00054D4B" w:rsidRPr="007A020D" w:rsidRDefault="00054D4B" w:rsidP="00054D4B">
      <w:pPr>
        <w:pStyle w:val="SingleTxt"/>
      </w:pPr>
      <w:r w:rsidRPr="007A020D">
        <w:t>10.</w:t>
      </w:r>
      <w:r w:rsidRPr="007A020D">
        <w:tab/>
        <w:t>Introduce a second sentence in 1.1.3.1 (a) with the following text:</w:t>
      </w:r>
    </w:p>
    <w:p w:rsidR="00054D4B" w:rsidRPr="007A020D" w:rsidRDefault="00D81EBC" w:rsidP="00054D4B">
      <w:pPr>
        <w:pStyle w:val="SingleTxt"/>
      </w:pPr>
      <w:r>
        <w:t>“</w:t>
      </w:r>
      <w:r w:rsidR="00054D4B" w:rsidRPr="007A020D">
        <w:t>In this case the total carried quantities shall not exceed those established in 1.1.3.6.</w:t>
      </w:r>
      <w:r>
        <w:t>”</w:t>
      </w:r>
    </w:p>
    <w:p w:rsidR="0046329D" w:rsidRPr="0046329D" w:rsidRDefault="0046329D" w:rsidP="0046329D">
      <w:pPr>
        <w:pStyle w:val="HCh"/>
        <w:spacing w:line="120" w:lineRule="exact"/>
        <w:ind w:left="1267" w:right="1260" w:hanging="1267"/>
        <w:rPr>
          <w:sz w:val="10"/>
        </w:rPr>
      </w:pPr>
    </w:p>
    <w:p w:rsidR="0046329D" w:rsidRPr="0046329D" w:rsidRDefault="0046329D" w:rsidP="0046329D">
      <w:pPr>
        <w:pStyle w:val="HCh"/>
        <w:spacing w:line="120" w:lineRule="exact"/>
        <w:ind w:left="1267" w:right="1260" w:hanging="1267"/>
        <w:rPr>
          <w:sz w:val="10"/>
        </w:rPr>
      </w:pPr>
    </w:p>
    <w:p w:rsidR="00054D4B" w:rsidRDefault="0046329D" w:rsidP="0046329D">
      <w:pPr>
        <w:pStyle w:val="HCh"/>
        <w:ind w:left="1267" w:right="1260" w:hanging="1267"/>
      </w:pPr>
      <w:r>
        <w:tab/>
      </w:r>
      <w:r>
        <w:tab/>
      </w:r>
      <w:r w:rsidR="00054D4B" w:rsidRPr="007A020D">
        <w:t>Consequential amendment</w:t>
      </w:r>
    </w:p>
    <w:p w:rsidR="0046329D" w:rsidRPr="0046329D" w:rsidRDefault="0046329D" w:rsidP="0046329D">
      <w:pPr>
        <w:pStyle w:val="SingleTxt"/>
        <w:spacing w:after="0" w:line="120" w:lineRule="exact"/>
        <w:rPr>
          <w:sz w:val="10"/>
        </w:rPr>
      </w:pPr>
    </w:p>
    <w:p w:rsidR="0046329D" w:rsidRPr="0046329D" w:rsidRDefault="0046329D" w:rsidP="0046329D">
      <w:pPr>
        <w:pStyle w:val="SingleTxt"/>
        <w:spacing w:after="0" w:line="120" w:lineRule="exact"/>
        <w:rPr>
          <w:sz w:val="10"/>
        </w:rPr>
      </w:pPr>
    </w:p>
    <w:p w:rsidR="00054D4B" w:rsidRDefault="00054D4B" w:rsidP="00054D4B">
      <w:pPr>
        <w:pStyle w:val="SingleTxt"/>
      </w:pPr>
      <w:r w:rsidRPr="007A020D">
        <w:t>11.</w:t>
      </w:r>
      <w:r w:rsidRPr="007A020D">
        <w:tab/>
        <w:t xml:space="preserve">For proposals 2 (a) and 2 (b), in 1.1.3.6.5, delete </w:t>
      </w:r>
      <w:r w:rsidR="00D81EBC">
        <w:t>“</w:t>
      </w:r>
      <w:r w:rsidRPr="007A020D">
        <w:t>(a)</w:t>
      </w:r>
      <w:r w:rsidR="00D81EBC">
        <w:t>”</w:t>
      </w:r>
      <w:r w:rsidRPr="007A020D">
        <w:t xml:space="preserve"> after </w:t>
      </w:r>
      <w:r w:rsidR="00D81EBC">
        <w:t>“</w:t>
      </w:r>
      <w:r w:rsidRPr="007A020D">
        <w:t>1.1.3.1</w:t>
      </w:r>
      <w:r w:rsidR="00D81EBC">
        <w:t>”</w:t>
      </w:r>
      <w:r w:rsidRPr="007A020D">
        <w:t>.</w:t>
      </w:r>
    </w:p>
    <w:p w:rsidR="0046329D" w:rsidRPr="007A020D" w:rsidRDefault="00F127C8" w:rsidP="00054D4B">
      <w:pPr>
        <w:pStyle w:val="SingleTxt"/>
      </w:pPr>
      <w:r w:rsidRPr="00F127C8">
        <w:rPr>
          <w:noProof/>
          <w:w w:val="100"/>
        </w:rPr>
        <w:pict>
          <v:line id="Straight Connector 4" o:spid="_x0000_s1026" style="position:absolute;left:0;text-align:left;z-index:251659264;visibility:visibl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w:r>
    </w:p>
    <w:sectPr w:rsidR="0046329D" w:rsidRPr="007A020D" w:rsidSect="001875FB">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93D" w:rsidRDefault="0035293D">
      <w:r>
        <w:separator/>
      </w:r>
    </w:p>
  </w:endnote>
  <w:endnote w:type="continuationSeparator" w:id="0">
    <w:p w:rsidR="0035293D" w:rsidRDefault="00352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1875FB" w:rsidTr="001875FB">
      <w:trPr>
        <w:jc w:val="center"/>
      </w:trPr>
      <w:tc>
        <w:tcPr>
          <w:tcW w:w="5126" w:type="dxa"/>
          <w:shd w:val="clear" w:color="auto" w:fill="auto"/>
        </w:tcPr>
        <w:p w:rsidR="001875FB" w:rsidRPr="001875FB" w:rsidRDefault="00F127C8" w:rsidP="001875FB">
          <w:pPr>
            <w:pStyle w:val="Pieddepage"/>
            <w:jc w:val="right"/>
            <w:rPr>
              <w:b w:val="0"/>
              <w:w w:val="103"/>
              <w:sz w:val="14"/>
            </w:rPr>
          </w:pPr>
          <w:fldSimple w:instr=" DOCVARIABLE &quot;FooterJN&quot; \* MERGEFORMAT ">
            <w:r w:rsidR="00B8116A">
              <w:rPr>
                <w:b w:val="0"/>
                <w:w w:val="103"/>
                <w:sz w:val="14"/>
              </w:rPr>
              <w:t>GE.15-13373</w:t>
            </w:r>
          </w:fldSimple>
        </w:p>
      </w:tc>
      <w:tc>
        <w:tcPr>
          <w:tcW w:w="5127" w:type="dxa"/>
          <w:shd w:val="clear" w:color="auto" w:fill="auto"/>
        </w:tcPr>
        <w:p w:rsidR="001875FB" w:rsidRPr="001875FB" w:rsidRDefault="00F127C8" w:rsidP="001875FB">
          <w:pPr>
            <w:pStyle w:val="Pieddepage"/>
            <w:rPr>
              <w:w w:val="103"/>
            </w:rPr>
          </w:pPr>
          <w:r>
            <w:rPr>
              <w:w w:val="103"/>
            </w:rPr>
            <w:fldChar w:fldCharType="begin"/>
          </w:r>
          <w:r w:rsidR="001875FB">
            <w:rPr>
              <w:w w:val="103"/>
            </w:rPr>
            <w:instrText xml:space="preserve"> PAGE  \* Arabic  \* MERGEFORMAT </w:instrText>
          </w:r>
          <w:r>
            <w:rPr>
              <w:w w:val="103"/>
            </w:rPr>
            <w:fldChar w:fldCharType="separate"/>
          </w:r>
          <w:r w:rsidR="00A26668">
            <w:rPr>
              <w:w w:val="103"/>
            </w:rPr>
            <w:t>4</w:t>
          </w:r>
          <w:r>
            <w:rPr>
              <w:w w:val="103"/>
            </w:rPr>
            <w:fldChar w:fldCharType="end"/>
          </w:r>
          <w:r w:rsidR="001875FB">
            <w:rPr>
              <w:w w:val="103"/>
            </w:rPr>
            <w:t>/</w:t>
          </w:r>
          <w:fldSimple w:instr=" NUMPAGES  \* Arabic  \* MERGEFORMAT ">
            <w:r w:rsidR="00A26668">
              <w:rPr>
                <w:w w:val="103"/>
              </w:rPr>
              <w:t>4</w:t>
            </w:r>
          </w:fldSimple>
        </w:p>
      </w:tc>
    </w:tr>
  </w:tbl>
  <w:p w:rsidR="001875FB" w:rsidRPr="001875FB" w:rsidRDefault="001875FB" w:rsidP="001875F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1875FB" w:rsidTr="001875FB">
      <w:trPr>
        <w:jc w:val="center"/>
      </w:trPr>
      <w:tc>
        <w:tcPr>
          <w:tcW w:w="5126" w:type="dxa"/>
          <w:shd w:val="clear" w:color="auto" w:fill="auto"/>
        </w:tcPr>
        <w:p w:rsidR="001875FB" w:rsidRPr="001875FB" w:rsidRDefault="00F127C8" w:rsidP="001875FB">
          <w:pPr>
            <w:pStyle w:val="Pieddepage"/>
            <w:jc w:val="right"/>
            <w:rPr>
              <w:w w:val="103"/>
            </w:rPr>
          </w:pPr>
          <w:r>
            <w:rPr>
              <w:w w:val="103"/>
            </w:rPr>
            <w:fldChar w:fldCharType="begin"/>
          </w:r>
          <w:r w:rsidR="001875FB">
            <w:rPr>
              <w:w w:val="103"/>
            </w:rPr>
            <w:instrText xml:space="preserve"> PAGE  \* Arabic  \* MERGEFORMAT </w:instrText>
          </w:r>
          <w:r>
            <w:rPr>
              <w:w w:val="103"/>
            </w:rPr>
            <w:fldChar w:fldCharType="separate"/>
          </w:r>
          <w:r w:rsidR="00A26668">
            <w:rPr>
              <w:w w:val="103"/>
            </w:rPr>
            <w:t>3</w:t>
          </w:r>
          <w:r>
            <w:rPr>
              <w:w w:val="103"/>
            </w:rPr>
            <w:fldChar w:fldCharType="end"/>
          </w:r>
          <w:r w:rsidR="001875FB">
            <w:rPr>
              <w:w w:val="103"/>
            </w:rPr>
            <w:t>/</w:t>
          </w:r>
          <w:fldSimple w:instr=" NUMPAGES  \* Arabic  \* MERGEFORMAT ">
            <w:r w:rsidR="00A26668">
              <w:rPr>
                <w:w w:val="103"/>
              </w:rPr>
              <w:t>3</w:t>
            </w:r>
          </w:fldSimple>
        </w:p>
      </w:tc>
      <w:tc>
        <w:tcPr>
          <w:tcW w:w="5127" w:type="dxa"/>
          <w:shd w:val="clear" w:color="auto" w:fill="auto"/>
        </w:tcPr>
        <w:p w:rsidR="001875FB" w:rsidRPr="001875FB" w:rsidRDefault="00F127C8" w:rsidP="001875FB">
          <w:pPr>
            <w:pStyle w:val="Pieddepage"/>
            <w:rPr>
              <w:b w:val="0"/>
              <w:w w:val="103"/>
              <w:sz w:val="14"/>
            </w:rPr>
          </w:pPr>
          <w:fldSimple w:instr=" DOCVARIABLE &quot;FooterJN&quot; \* MERGEFORMAT ">
            <w:r w:rsidR="00B8116A">
              <w:rPr>
                <w:b w:val="0"/>
                <w:w w:val="103"/>
                <w:sz w:val="14"/>
              </w:rPr>
              <w:t>GE.15-13373</w:t>
            </w:r>
          </w:fldSimple>
        </w:p>
      </w:tc>
    </w:tr>
  </w:tbl>
  <w:p w:rsidR="001875FB" w:rsidRPr="001875FB" w:rsidRDefault="001875FB" w:rsidP="001875F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59"/>
      <w:gridCol w:w="5127"/>
    </w:tblGrid>
    <w:tr w:rsidR="001875FB" w:rsidTr="001875FB">
      <w:tc>
        <w:tcPr>
          <w:tcW w:w="3859" w:type="dxa"/>
        </w:tcPr>
        <w:p w:rsidR="001875FB" w:rsidRDefault="001875FB" w:rsidP="00B31A53">
          <w:pPr>
            <w:pStyle w:val="ReleaseDate"/>
          </w:pPr>
          <w:r>
            <w:rPr>
              <w:noProof/>
              <w:lang w:val="fr-FR" w:eastAsia="fr-FR"/>
            </w:rPr>
            <w:drawing>
              <wp:anchor distT="0" distB="0" distL="114300" distR="114300" simplePos="0" relativeHeight="251658240" behindDoc="0" locked="0" layoutInCell="1" allowOverlap="1">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2015/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2015/7&amp;Size =1&amp;Lang = 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r>
            <w:t>GE.15-13373 (E)    010915    0</w:t>
          </w:r>
          <w:r w:rsidR="00B31A53">
            <w:t>2</w:t>
          </w:r>
          <w:r>
            <w:t>0915</w:t>
          </w:r>
        </w:p>
        <w:p w:rsidR="001875FB" w:rsidRPr="001875FB" w:rsidRDefault="001875FB" w:rsidP="001875FB">
          <w:pPr>
            <w:pStyle w:val="Pieddepage"/>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*1513373*</w:t>
          </w:r>
        </w:p>
      </w:tc>
      <w:tc>
        <w:tcPr>
          <w:tcW w:w="5127" w:type="dxa"/>
        </w:tcPr>
        <w:p w:rsidR="001875FB" w:rsidRDefault="001875FB" w:rsidP="001875FB">
          <w:pPr>
            <w:pStyle w:val="Pieddepage"/>
            <w:jc w:val="right"/>
            <w:rPr>
              <w:b w:val="0"/>
              <w:sz w:val="20"/>
            </w:rPr>
          </w:pPr>
          <w:r>
            <w:rPr>
              <w:b w:val="0"/>
              <w:sz w:val="20"/>
              <w:lang w:val="fr-FR" w:eastAsia="fr-FR"/>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875FB" w:rsidRPr="001875FB" w:rsidRDefault="001875FB" w:rsidP="001875FB">
    <w:pPr>
      <w:pStyle w:val="Pieddepage"/>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93D" w:rsidRPr="00B10D17" w:rsidRDefault="0035293D" w:rsidP="00B10D17">
      <w:pPr>
        <w:pStyle w:val="Pieddepage"/>
        <w:spacing w:after="80"/>
        <w:ind w:left="792"/>
        <w:rPr>
          <w:sz w:val="16"/>
        </w:rPr>
      </w:pPr>
      <w:r w:rsidRPr="00B10D17">
        <w:rPr>
          <w:sz w:val="16"/>
        </w:rPr>
        <w:t>__________________</w:t>
      </w:r>
    </w:p>
  </w:footnote>
  <w:footnote w:type="continuationSeparator" w:id="0">
    <w:p w:rsidR="0035293D" w:rsidRPr="00B10D17" w:rsidRDefault="0035293D" w:rsidP="00B10D17">
      <w:pPr>
        <w:pStyle w:val="Pieddepage"/>
        <w:spacing w:after="80"/>
        <w:ind w:left="792"/>
        <w:rPr>
          <w:sz w:val="16"/>
        </w:rPr>
      </w:pPr>
      <w:r w:rsidRPr="00B10D17">
        <w:rPr>
          <w:sz w:val="16"/>
        </w:rPr>
        <w:t>__________________</w:t>
      </w:r>
    </w:p>
  </w:footnote>
  <w:footnote w:id="1">
    <w:p w:rsidR="00054D4B" w:rsidRPr="00B10D17" w:rsidRDefault="00054D4B" w:rsidP="00B10D17">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rsidR="00B10D17">
        <w:tab/>
      </w:r>
      <w:proofErr w:type="gramStart"/>
      <w:r w:rsidRPr="00054D4B">
        <w:t xml:space="preserve">In accordance with the programme of work of the Inland Transport Committee for 2014-2015 (ECE/TRANS/240, </w:t>
      </w:r>
      <w:proofErr w:type="spellStart"/>
      <w:r w:rsidRPr="00054D4B">
        <w:t>para</w:t>
      </w:r>
      <w:proofErr w:type="spellEnd"/>
      <w:r w:rsidRPr="00054D4B">
        <w:t xml:space="preserve">. </w:t>
      </w:r>
      <w:r w:rsidRPr="00B10D17">
        <w:t xml:space="preserve">100, ECE/TRANS/2014/23, cluster 9, </w:t>
      </w:r>
      <w:proofErr w:type="spellStart"/>
      <w:r w:rsidRPr="00B10D17">
        <w:t>para</w:t>
      </w:r>
      <w:proofErr w:type="spellEnd"/>
      <w:r w:rsidRPr="00B10D17">
        <w:t>.</w:t>
      </w:r>
      <w:r w:rsidR="00DD67BA">
        <w:t xml:space="preserve"> </w:t>
      </w:r>
      <w:r w:rsidRPr="00B10D17">
        <w:t>9.1).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1875FB" w:rsidTr="001875FB">
      <w:trPr>
        <w:trHeight w:hRule="exact" w:val="864"/>
        <w:jc w:val="center"/>
      </w:trPr>
      <w:tc>
        <w:tcPr>
          <w:tcW w:w="4882" w:type="dxa"/>
          <w:shd w:val="clear" w:color="auto" w:fill="auto"/>
          <w:vAlign w:val="bottom"/>
        </w:tcPr>
        <w:p w:rsidR="001875FB" w:rsidRPr="001875FB" w:rsidRDefault="00F127C8" w:rsidP="001875FB">
          <w:pPr>
            <w:pStyle w:val="En-tte"/>
            <w:spacing w:after="80"/>
            <w:rPr>
              <w:b/>
            </w:rPr>
          </w:pPr>
          <w:fldSimple w:instr=" DOCVARIABLE &quot;sss1&quot; \* MERGEFORMAT ">
            <w:r w:rsidR="00B8116A">
              <w:rPr>
                <w:b/>
              </w:rPr>
              <w:t>ECE/TRANS/WP.15/2015/7</w:t>
            </w:r>
          </w:fldSimple>
        </w:p>
      </w:tc>
      <w:tc>
        <w:tcPr>
          <w:tcW w:w="5127" w:type="dxa"/>
          <w:shd w:val="clear" w:color="auto" w:fill="auto"/>
          <w:vAlign w:val="bottom"/>
        </w:tcPr>
        <w:p w:rsidR="001875FB" w:rsidRDefault="001875FB" w:rsidP="001875FB">
          <w:pPr>
            <w:pStyle w:val="En-tte"/>
          </w:pPr>
        </w:p>
      </w:tc>
    </w:tr>
  </w:tbl>
  <w:p w:rsidR="001875FB" w:rsidRPr="001875FB" w:rsidRDefault="001875FB" w:rsidP="001875F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1875FB" w:rsidTr="001875FB">
      <w:trPr>
        <w:trHeight w:hRule="exact" w:val="864"/>
        <w:jc w:val="center"/>
      </w:trPr>
      <w:tc>
        <w:tcPr>
          <w:tcW w:w="4882" w:type="dxa"/>
          <w:shd w:val="clear" w:color="auto" w:fill="auto"/>
          <w:vAlign w:val="bottom"/>
        </w:tcPr>
        <w:p w:rsidR="001875FB" w:rsidRDefault="001875FB" w:rsidP="001875FB">
          <w:pPr>
            <w:pStyle w:val="En-tte"/>
          </w:pPr>
        </w:p>
      </w:tc>
      <w:tc>
        <w:tcPr>
          <w:tcW w:w="5127" w:type="dxa"/>
          <w:shd w:val="clear" w:color="auto" w:fill="auto"/>
          <w:vAlign w:val="bottom"/>
        </w:tcPr>
        <w:p w:rsidR="001875FB" w:rsidRPr="001875FB" w:rsidRDefault="00F127C8" w:rsidP="001875FB">
          <w:pPr>
            <w:pStyle w:val="En-tte"/>
            <w:spacing w:after="80"/>
            <w:jc w:val="right"/>
            <w:rPr>
              <w:b/>
            </w:rPr>
          </w:pPr>
          <w:fldSimple w:instr=" DOCVARIABLE &quot;sss1&quot; \* MERGEFORMAT ">
            <w:r w:rsidR="00B8116A">
              <w:rPr>
                <w:b/>
              </w:rPr>
              <w:t>ECE/TRANS/WP.15/2015/7</w:t>
            </w:r>
          </w:fldSimple>
        </w:p>
      </w:tc>
    </w:tr>
  </w:tbl>
  <w:p w:rsidR="001875FB" w:rsidRPr="001875FB" w:rsidRDefault="001875FB" w:rsidP="001875F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1872"/>
      <w:gridCol w:w="245"/>
      <w:gridCol w:w="3110"/>
      <w:gridCol w:w="245"/>
      <w:gridCol w:w="3280"/>
      <w:gridCol w:w="18"/>
    </w:tblGrid>
    <w:tr w:rsidR="001875FB" w:rsidTr="001875FB">
      <w:trPr>
        <w:trHeight w:hRule="exact" w:val="864"/>
      </w:trPr>
      <w:tc>
        <w:tcPr>
          <w:tcW w:w="1267" w:type="dxa"/>
          <w:tcBorders>
            <w:bottom w:val="single" w:sz="4" w:space="0" w:color="auto"/>
          </w:tcBorders>
          <w:shd w:val="clear" w:color="auto" w:fill="auto"/>
          <w:vAlign w:val="bottom"/>
        </w:tcPr>
        <w:p w:rsidR="001875FB" w:rsidRDefault="001875FB" w:rsidP="001875FB">
          <w:pPr>
            <w:pStyle w:val="En-tte"/>
            <w:spacing w:after="120"/>
          </w:pPr>
        </w:p>
      </w:tc>
      <w:tc>
        <w:tcPr>
          <w:tcW w:w="1872" w:type="dxa"/>
          <w:tcBorders>
            <w:bottom w:val="single" w:sz="4" w:space="0" w:color="auto"/>
          </w:tcBorders>
          <w:shd w:val="clear" w:color="auto" w:fill="auto"/>
          <w:vAlign w:val="bottom"/>
        </w:tcPr>
        <w:p w:rsidR="001875FB" w:rsidRPr="001875FB" w:rsidRDefault="001875FB" w:rsidP="001875F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875FB" w:rsidRDefault="001875FB" w:rsidP="001875FB">
          <w:pPr>
            <w:pStyle w:val="En-tte"/>
            <w:spacing w:after="120"/>
          </w:pPr>
        </w:p>
      </w:tc>
      <w:tc>
        <w:tcPr>
          <w:tcW w:w="6653" w:type="dxa"/>
          <w:gridSpan w:val="4"/>
          <w:tcBorders>
            <w:bottom w:val="single" w:sz="4" w:space="0" w:color="auto"/>
          </w:tcBorders>
          <w:shd w:val="clear" w:color="auto" w:fill="auto"/>
          <w:vAlign w:val="bottom"/>
        </w:tcPr>
        <w:p w:rsidR="001875FB" w:rsidRPr="001875FB" w:rsidRDefault="001875FB" w:rsidP="001875FB">
          <w:pPr>
            <w:spacing w:after="80" w:line="240" w:lineRule="auto"/>
            <w:jc w:val="right"/>
            <w:rPr>
              <w:position w:val="-4"/>
            </w:rPr>
          </w:pPr>
          <w:r>
            <w:rPr>
              <w:position w:val="-4"/>
              <w:sz w:val="40"/>
            </w:rPr>
            <w:t>ECE</w:t>
          </w:r>
          <w:r>
            <w:rPr>
              <w:position w:val="-4"/>
            </w:rPr>
            <w:t>/TRANS/WP.15/2015/7</w:t>
          </w:r>
        </w:p>
      </w:tc>
    </w:tr>
    <w:tr w:rsidR="001875FB" w:rsidRPr="001875FB" w:rsidTr="001875FB">
      <w:trPr>
        <w:gridAfter w:val="1"/>
        <w:wAfter w:w="18" w:type="dxa"/>
        <w:trHeight w:hRule="exact" w:val="2880"/>
      </w:trPr>
      <w:tc>
        <w:tcPr>
          <w:tcW w:w="1267" w:type="dxa"/>
          <w:tcBorders>
            <w:top w:val="single" w:sz="4" w:space="0" w:color="auto"/>
            <w:bottom w:val="single" w:sz="12" w:space="0" w:color="auto"/>
          </w:tcBorders>
          <w:shd w:val="clear" w:color="auto" w:fill="auto"/>
        </w:tcPr>
        <w:p w:rsidR="001875FB" w:rsidRPr="001875FB" w:rsidRDefault="001875FB" w:rsidP="001875FB">
          <w:pPr>
            <w:pStyle w:val="En-tte"/>
            <w:spacing w:before="120"/>
            <w:jc w:val="center"/>
          </w:pPr>
          <w:r>
            <w:t xml:space="preserve"> </w:t>
          </w:r>
          <w:r>
            <w:rPr>
              <w:lang w:val="fr-FR" w:eastAsia="fr-FR"/>
            </w:rPr>
            <w:drawing>
              <wp:inline distT="0" distB="0" distL="0" distR="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875FB" w:rsidRPr="001875FB" w:rsidRDefault="001875FB" w:rsidP="001875FB">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1875FB" w:rsidRPr="001875FB" w:rsidRDefault="001875FB" w:rsidP="001875FB">
          <w:pPr>
            <w:pStyle w:val="En-tte"/>
            <w:spacing w:before="109"/>
          </w:pPr>
        </w:p>
      </w:tc>
      <w:tc>
        <w:tcPr>
          <w:tcW w:w="3280" w:type="dxa"/>
          <w:tcBorders>
            <w:top w:val="single" w:sz="4" w:space="0" w:color="auto"/>
            <w:bottom w:val="single" w:sz="12" w:space="0" w:color="auto"/>
          </w:tcBorders>
          <w:shd w:val="clear" w:color="auto" w:fill="auto"/>
        </w:tcPr>
        <w:p w:rsidR="001875FB" w:rsidRDefault="001875FB" w:rsidP="001875FB">
          <w:pPr>
            <w:pStyle w:val="Distribution"/>
            <w:rPr>
              <w:color w:val="010000"/>
            </w:rPr>
          </w:pPr>
          <w:r>
            <w:rPr>
              <w:color w:val="010000"/>
            </w:rPr>
            <w:t>Distr.: General</w:t>
          </w:r>
        </w:p>
        <w:p w:rsidR="001875FB" w:rsidRDefault="001875FB" w:rsidP="001875FB">
          <w:pPr>
            <w:pStyle w:val="Publication"/>
            <w:rPr>
              <w:color w:val="010000"/>
            </w:rPr>
          </w:pPr>
          <w:r>
            <w:rPr>
              <w:color w:val="010000"/>
            </w:rPr>
            <w:t>7 August 2015</w:t>
          </w:r>
        </w:p>
        <w:p w:rsidR="001875FB" w:rsidRDefault="001875FB" w:rsidP="001875FB">
          <w:pPr>
            <w:rPr>
              <w:color w:val="010000"/>
            </w:rPr>
          </w:pPr>
          <w:r>
            <w:rPr>
              <w:color w:val="010000"/>
            </w:rPr>
            <w:t>English</w:t>
          </w:r>
        </w:p>
        <w:p w:rsidR="001875FB" w:rsidRDefault="001875FB" w:rsidP="001875FB">
          <w:pPr>
            <w:pStyle w:val="Original"/>
            <w:rPr>
              <w:color w:val="010000"/>
            </w:rPr>
          </w:pPr>
          <w:r>
            <w:rPr>
              <w:color w:val="010000"/>
            </w:rPr>
            <w:t>Original: French</w:t>
          </w:r>
        </w:p>
        <w:p w:rsidR="001875FB" w:rsidRPr="001875FB" w:rsidRDefault="001875FB" w:rsidP="001875FB"/>
      </w:tc>
    </w:tr>
  </w:tbl>
  <w:p w:rsidR="001875FB" w:rsidRPr="001875FB" w:rsidRDefault="001875FB" w:rsidP="001875FB">
    <w:pPr>
      <w:pStyle w:val="En-tte"/>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475"/>
  <w:hyphenationZone w:val="20"/>
  <w:doNotHyphenateCaps/>
  <w:evenAndOddHeaders/>
  <w:drawingGridHorizontalSpacing w:val="120"/>
  <w:displayHorizontalDrawingGridEvery w:val="2"/>
  <w:characterSpacingControl w:val="doNotCompress"/>
  <w:hdrShapeDefaults>
    <o:shapedefaults v:ext="edit" spidmax="9218"/>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
  <w:docVars>
    <w:docVar w:name="Barcode" w:val="*1513373*"/>
    <w:docVar w:name="CreationDt" w:val="01/09/2015 14:58:20"/>
    <w:docVar w:name="DocCategory" w:val="Doc"/>
    <w:docVar w:name="DocType" w:val="Final"/>
    <w:docVar w:name="DutyStation" w:val="Geneva"/>
    <w:docVar w:name="FooterJN" w:val="GE.15-13373"/>
    <w:docVar w:name="jobn" w:val="GE.15-13373 (E)"/>
    <w:docVar w:name="jobnDT" w:val="GE.15-13373 (E)   010915"/>
    <w:docVar w:name="jobnDTDT" w:val="GE. 15-13373 (E)   010915   010915"/>
    <w:docVar w:name="JobNo" w:val="GE.1513373E"/>
    <w:docVar w:name="JobNo2" w:val="1517513E"/>
    <w:docVar w:name="LocalDrive" w:val="0"/>
    <w:docVar w:name="OandT" w:val="AVT"/>
    <w:docVar w:name="PaperSize" w:val="A4"/>
    <w:docVar w:name="sss1" w:val="ECE/TRANS/WP.15/2015/7"/>
    <w:docVar w:name="sss2" w:val="-"/>
    <w:docVar w:name="Symbol1" w:val="ECE/TRANS/WP.15/2015/7"/>
    <w:docVar w:name="Symbol2" w:val="-"/>
  </w:docVars>
  <w:rsids>
    <w:rsidRoot w:val="00363974"/>
    <w:rsid w:val="0000301C"/>
    <w:rsid w:val="000044BD"/>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509B8"/>
    <w:rsid w:val="00051981"/>
    <w:rsid w:val="00051D6F"/>
    <w:rsid w:val="00054828"/>
    <w:rsid w:val="00054D4B"/>
    <w:rsid w:val="00057F15"/>
    <w:rsid w:val="00057FD3"/>
    <w:rsid w:val="00060FB4"/>
    <w:rsid w:val="00062E0F"/>
    <w:rsid w:val="00073B00"/>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E3E97"/>
    <w:rsid w:val="000E454F"/>
    <w:rsid w:val="000E4DB4"/>
    <w:rsid w:val="000E578F"/>
    <w:rsid w:val="000E6736"/>
    <w:rsid w:val="000E7174"/>
    <w:rsid w:val="000E7902"/>
    <w:rsid w:val="000F0681"/>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875FB"/>
    <w:rsid w:val="001917A6"/>
    <w:rsid w:val="00191E88"/>
    <w:rsid w:val="0019245C"/>
    <w:rsid w:val="00192845"/>
    <w:rsid w:val="001936F0"/>
    <w:rsid w:val="001947AD"/>
    <w:rsid w:val="00196A9E"/>
    <w:rsid w:val="00197346"/>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5835"/>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D9B"/>
    <w:rsid w:val="00223E81"/>
    <w:rsid w:val="00225B63"/>
    <w:rsid w:val="00232F19"/>
    <w:rsid w:val="002339E2"/>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0B79"/>
    <w:rsid w:val="002F30AA"/>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293D"/>
    <w:rsid w:val="00357AA1"/>
    <w:rsid w:val="00363974"/>
    <w:rsid w:val="00365017"/>
    <w:rsid w:val="003769DF"/>
    <w:rsid w:val="0037786A"/>
    <w:rsid w:val="00383922"/>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57B33"/>
    <w:rsid w:val="0046329D"/>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53C8"/>
    <w:rsid w:val="004A635B"/>
    <w:rsid w:val="004A6F00"/>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AA8"/>
    <w:rsid w:val="004F71A8"/>
    <w:rsid w:val="00502499"/>
    <w:rsid w:val="00511E5A"/>
    <w:rsid w:val="00514854"/>
    <w:rsid w:val="00516D15"/>
    <w:rsid w:val="005200EA"/>
    <w:rsid w:val="005300F6"/>
    <w:rsid w:val="00534D74"/>
    <w:rsid w:val="00537D2B"/>
    <w:rsid w:val="00541089"/>
    <w:rsid w:val="00542A9C"/>
    <w:rsid w:val="00542FE7"/>
    <w:rsid w:val="0054390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6134F"/>
    <w:rsid w:val="0066368E"/>
    <w:rsid w:val="00664530"/>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42DA"/>
    <w:rsid w:val="006D74B5"/>
    <w:rsid w:val="006D766E"/>
    <w:rsid w:val="006E0E18"/>
    <w:rsid w:val="006E4D71"/>
    <w:rsid w:val="006E5457"/>
    <w:rsid w:val="006F40EA"/>
    <w:rsid w:val="006F6266"/>
    <w:rsid w:val="007004CC"/>
    <w:rsid w:val="00702C5A"/>
    <w:rsid w:val="00704652"/>
    <w:rsid w:val="00710880"/>
    <w:rsid w:val="007108C3"/>
    <w:rsid w:val="00716FBE"/>
    <w:rsid w:val="00717723"/>
    <w:rsid w:val="007222CF"/>
    <w:rsid w:val="0072272F"/>
    <w:rsid w:val="00724074"/>
    <w:rsid w:val="00730B23"/>
    <w:rsid w:val="00731357"/>
    <w:rsid w:val="00734332"/>
    <w:rsid w:val="007417DD"/>
    <w:rsid w:val="007444A3"/>
    <w:rsid w:val="00744F35"/>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6ECD"/>
    <w:rsid w:val="00835605"/>
    <w:rsid w:val="00835A0F"/>
    <w:rsid w:val="00836679"/>
    <w:rsid w:val="00837F18"/>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AA2"/>
    <w:rsid w:val="00875D2D"/>
    <w:rsid w:val="0088069E"/>
    <w:rsid w:val="00880CB5"/>
    <w:rsid w:val="00882652"/>
    <w:rsid w:val="00884D77"/>
    <w:rsid w:val="008858E6"/>
    <w:rsid w:val="00885F41"/>
    <w:rsid w:val="008915FF"/>
    <w:rsid w:val="00895AA1"/>
    <w:rsid w:val="00896C72"/>
    <w:rsid w:val="008971FD"/>
    <w:rsid w:val="008A2108"/>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1F61"/>
    <w:rsid w:val="008D2798"/>
    <w:rsid w:val="008D2AE6"/>
    <w:rsid w:val="008E0A8C"/>
    <w:rsid w:val="008E2435"/>
    <w:rsid w:val="008E2700"/>
    <w:rsid w:val="008E4C20"/>
    <w:rsid w:val="008F3AD2"/>
    <w:rsid w:val="008F78FD"/>
    <w:rsid w:val="00902473"/>
    <w:rsid w:val="00902D37"/>
    <w:rsid w:val="00902F4F"/>
    <w:rsid w:val="00902F7B"/>
    <w:rsid w:val="00905226"/>
    <w:rsid w:val="009117E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2A4F"/>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6111"/>
    <w:rsid w:val="00987852"/>
    <w:rsid w:val="00993204"/>
    <w:rsid w:val="00993D85"/>
    <w:rsid w:val="009946BE"/>
    <w:rsid w:val="009956B4"/>
    <w:rsid w:val="0099600D"/>
    <w:rsid w:val="00997C03"/>
    <w:rsid w:val="009A08DF"/>
    <w:rsid w:val="009A64C4"/>
    <w:rsid w:val="009A7DED"/>
    <w:rsid w:val="009B0CFA"/>
    <w:rsid w:val="009C20D0"/>
    <w:rsid w:val="009C219D"/>
    <w:rsid w:val="009C4614"/>
    <w:rsid w:val="009C7D16"/>
    <w:rsid w:val="009D23EF"/>
    <w:rsid w:val="009D3A01"/>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B1C"/>
    <w:rsid w:val="00A07847"/>
    <w:rsid w:val="00A12857"/>
    <w:rsid w:val="00A16DCD"/>
    <w:rsid w:val="00A224BA"/>
    <w:rsid w:val="00A24811"/>
    <w:rsid w:val="00A251C7"/>
    <w:rsid w:val="00A25D6E"/>
    <w:rsid w:val="00A2656D"/>
    <w:rsid w:val="00A26668"/>
    <w:rsid w:val="00A26996"/>
    <w:rsid w:val="00A274FC"/>
    <w:rsid w:val="00A309AC"/>
    <w:rsid w:val="00A33C7F"/>
    <w:rsid w:val="00A35945"/>
    <w:rsid w:val="00A35C59"/>
    <w:rsid w:val="00A4014F"/>
    <w:rsid w:val="00A42868"/>
    <w:rsid w:val="00A4417C"/>
    <w:rsid w:val="00A444F9"/>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0D17"/>
    <w:rsid w:val="00B13D70"/>
    <w:rsid w:val="00B150ED"/>
    <w:rsid w:val="00B16B46"/>
    <w:rsid w:val="00B170A3"/>
    <w:rsid w:val="00B24A17"/>
    <w:rsid w:val="00B25FD4"/>
    <w:rsid w:val="00B27C06"/>
    <w:rsid w:val="00B31A53"/>
    <w:rsid w:val="00B377FF"/>
    <w:rsid w:val="00B37801"/>
    <w:rsid w:val="00B37A0A"/>
    <w:rsid w:val="00B434BE"/>
    <w:rsid w:val="00B44C9A"/>
    <w:rsid w:val="00B4752D"/>
    <w:rsid w:val="00B518D4"/>
    <w:rsid w:val="00B51E41"/>
    <w:rsid w:val="00B52F52"/>
    <w:rsid w:val="00B53945"/>
    <w:rsid w:val="00B54B9F"/>
    <w:rsid w:val="00B61B0D"/>
    <w:rsid w:val="00B62DB0"/>
    <w:rsid w:val="00B63FF7"/>
    <w:rsid w:val="00B64723"/>
    <w:rsid w:val="00B64F34"/>
    <w:rsid w:val="00B6608A"/>
    <w:rsid w:val="00B67B92"/>
    <w:rsid w:val="00B704AF"/>
    <w:rsid w:val="00B72250"/>
    <w:rsid w:val="00B76E81"/>
    <w:rsid w:val="00B8044B"/>
    <w:rsid w:val="00B8116A"/>
    <w:rsid w:val="00B81452"/>
    <w:rsid w:val="00B8270B"/>
    <w:rsid w:val="00B82AC7"/>
    <w:rsid w:val="00B85869"/>
    <w:rsid w:val="00B8709A"/>
    <w:rsid w:val="00B93C4E"/>
    <w:rsid w:val="00B93E9A"/>
    <w:rsid w:val="00BA0548"/>
    <w:rsid w:val="00BA07D8"/>
    <w:rsid w:val="00BA0F90"/>
    <w:rsid w:val="00BA2239"/>
    <w:rsid w:val="00BA2886"/>
    <w:rsid w:val="00BA4E0D"/>
    <w:rsid w:val="00BA76AF"/>
    <w:rsid w:val="00BB1AD4"/>
    <w:rsid w:val="00BB3145"/>
    <w:rsid w:val="00BC05D7"/>
    <w:rsid w:val="00BC2DFF"/>
    <w:rsid w:val="00BC41F2"/>
    <w:rsid w:val="00BC44EE"/>
    <w:rsid w:val="00BD0908"/>
    <w:rsid w:val="00BD0DCE"/>
    <w:rsid w:val="00BD2782"/>
    <w:rsid w:val="00BD33F2"/>
    <w:rsid w:val="00BD54BF"/>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463AE"/>
    <w:rsid w:val="00C51E3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E5635"/>
    <w:rsid w:val="00CF08B0"/>
    <w:rsid w:val="00CF2576"/>
    <w:rsid w:val="00CF5802"/>
    <w:rsid w:val="00CF734C"/>
    <w:rsid w:val="00D048A7"/>
    <w:rsid w:val="00D05C08"/>
    <w:rsid w:val="00D13BFB"/>
    <w:rsid w:val="00D151CD"/>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1EBC"/>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D67BA"/>
    <w:rsid w:val="00DE0C29"/>
    <w:rsid w:val="00DF27DD"/>
    <w:rsid w:val="00DF6F2C"/>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5087"/>
    <w:rsid w:val="00E75CA7"/>
    <w:rsid w:val="00E763F4"/>
    <w:rsid w:val="00E76523"/>
    <w:rsid w:val="00E76A46"/>
    <w:rsid w:val="00E76B5C"/>
    <w:rsid w:val="00E77D32"/>
    <w:rsid w:val="00E836AF"/>
    <w:rsid w:val="00E85601"/>
    <w:rsid w:val="00E85EF4"/>
    <w:rsid w:val="00E85EFB"/>
    <w:rsid w:val="00E86E91"/>
    <w:rsid w:val="00E94566"/>
    <w:rsid w:val="00E94860"/>
    <w:rsid w:val="00EA19C9"/>
    <w:rsid w:val="00EA63A7"/>
    <w:rsid w:val="00EA659F"/>
    <w:rsid w:val="00EA739D"/>
    <w:rsid w:val="00EB1E10"/>
    <w:rsid w:val="00EB4B23"/>
    <w:rsid w:val="00EB7547"/>
    <w:rsid w:val="00EB7684"/>
    <w:rsid w:val="00EC008D"/>
    <w:rsid w:val="00EC0FD6"/>
    <w:rsid w:val="00EC2B23"/>
    <w:rsid w:val="00EC4A17"/>
    <w:rsid w:val="00EC744D"/>
    <w:rsid w:val="00ED10BE"/>
    <w:rsid w:val="00ED1D3A"/>
    <w:rsid w:val="00ED256B"/>
    <w:rsid w:val="00ED44D2"/>
    <w:rsid w:val="00EE0440"/>
    <w:rsid w:val="00EE08E8"/>
    <w:rsid w:val="00EE6196"/>
    <w:rsid w:val="00EE77A2"/>
    <w:rsid w:val="00EF0867"/>
    <w:rsid w:val="00EF31CF"/>
    <w:rsid w:val="00EF478C"/>
    <w:rsid w:val="00EF4C0F"/>
    <w:rsid w:val="00EF5557"/>
    <w:rsid w:val="00EF63BE"/>
    <w:rsid w:val="00EF7692"/>
    <w:rsid w:val="00F115B7"/>
    <w:rsid w:val="00F127C8"/>
    <w:rsid w:val="00F12DCE"/>
    <w:rsid w:val="00F12FAD"/>
    <w:rsid w:val="00F13B57"/>
    <w:rsid w:val="00F141EC"/>
    <w:rsid w:val="00F142CB"/>
    <w:rsid w:val="00F16A17"/>
    <w:rsid w:val="00F20B3F"/>
    <w:rsid w:val="00F20E96"/>
    <w:rsid w:val="00F25A51"/>
    <w:rsid w:val="00F260C9"/>
    <w:rsid w:val="00F272B2"/>
    <w:rsid w:val="00F27CCD"/>
    <w:rsid w:val="00F30B11"/>
    <w:rsid w:val="00F31418"/>
    <w:rsid w:val="00F32DEE"/>
    <w:rsid w:val="00F34519"/>
    <w:rsid w:val="00F35998"/>
    <w:rsid w:val="00F36302"/>
    <w:rsid w:val="00F44C19"/>
    <w:rsid w:val="00F44F26"/>
    <w:rsid w:val="00F455C2"/>
    <w:rsid w:val="00F457C3"/>
    <w:rsid w:val="00F45C7C"/>
    <w:rsid w:val="00F47CA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87FAF"/>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0195"/>
    <w:rsid w:val="00FD4657"/>
    <w:rsid w:val="00FD489F"/>
    <w:rsid w:val="00FD78CF"/>
    <w:rsid w:val="00FD7E27"/>
    <w:rsid w:val="00FE0CE3"/>
    <w:rsid w:val="00FE18BF"/>
    <w:rsid w:val="00FE49B3"/>
    <w:rsid w:val="00FE6063"/>
    <w:rsid w:val="00FF0891"/>
    <w:rsid w:val="00FF1C46"/>
    <w:rsid w:val="00FF5537"/>
    <w:rsid w:val="00FF64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xtedebulles">
    <w:name w:val="Balloon Text"/>
    <w:basedOn w:val="Normal"/>
    <w:semiHidden/>
    <w:rsid w:val="00546F5D"/>
    <w:rPr>
      <w:rFonts w:ascii="Tahoma" w:hAnsi="Tahoma" w:cs="Tahoma"/>
      <w:sz w:val="16"/>
      <w:szCs w:val="16"/>
    </w:rPr>
  </w:style>
  <w:style w:type="character" w:styleId="Marquedecommentaire">
    <w:name w:val="annotation reference"/>
    <w:semiHidden/>
    <w:rsid w:val="00546F5D"/>
    <w:rPr>
      <w:sz w:val="6"/>
    </w:rPr>
  </w:style>
  <w:style w:type="character" w:styleId="Appelnotedebasdep">
    <w:name w:val="footnote reference"/>
    <w:aliases w:val="4_G"/>
    <w:rsid w:val="009956B4"/>
    <w:rPr>
      <w:color w:val="943634" w:themeColor="accent2" w:themeShade="BF"/>
      <w:spacing w:val="5"/>
      <w:w w:val="103"/>
      <w:kern w:val="14"/>
      <w:position w:val="0"/>
      <w:vertAlign w:val="superscript"/>
    </w:rPr>
  </w:style>
  <w:style w:type="character" w:styleId="Appeldenotedefin">
    <w:name w:val="endnote reference"/>
    <w:semiHidden/>
    <w:rsid w:val="009956B4"/>
    <w:rPr>
      <w:color w:val="943634" w:themeColor="accent2" w:themeShade="BF"/>
      <w:spacing w:val="5"/>
      <w:w w:val="103"/>
      <w:kern w:val="14"/>
      <w:position w:val="0"/>
      <w:vertAlign w:val="superscript"/>
    </w:rPr>
  </w:style>
  <w:style w:type="paragraph" w:styleId="Notedebasdepage">
    <w:name w:val="footnote text"/>
    <w:aliases w:val="5_G"/>
    <w:basedOn w:val="Normal"/>
    <w:link w:val="NotedebasdepageCar"/>
    <w:rsid w:val="005F5764"/>
    <w:pPr>
      <w:widowControl w:val="0"/>
      <w:tabs>
        <w:tab w:val="right" w:pos="418"/>
      </w:tabs>
      <w:spacing w:line="210" w:lineRule="exact"/>
      <w:ind w:left="475" w:hanging="475"/>
    </w:pPr>
    <w:rPr>
      <w:spacing w:val="5"/>
      <w:sz w:val="17"/>
    </w:rPr>
  </w:style>
  <w:style w:type="paragraph" w:styleId="Notedefin">
    <w:name w:val="endnote text"/>
    <w:basedOn w:val="Notedebasdepage"/>
    <w:semiHidden/>
    <w:rsid w:val="00546F5D"/>
  </w:style>
  <w:style w:type="paragraph" w:styleId="Pieddepage">
    <w:name w:val="footer"/>
    <w:rsid w:val="00546F5D"/>
    <w:pPr>
      <w:tabs>
        <w:tab w:val="center" w:pos="4320"/>
        <w:tab w:val="right" w:pos="8640"/>
      </w:tabs>
    </w:pPr>
    <w:rPr>
      <w:b/>
      <w:noProof/>
      <w:sz w:val="17"/>
    </w:rPr>
  </w:style>
  <w:style w:type="paragraph" w:styleId="En-tte">
    <w:name w:val="header"/>
    <w:rsid w:val="00546F5D"/>
    <w:pPr>
      <w:tabs>
        <w:tab w:val="center" w:pos="4320"/>
        <w:tab w:val="right" w:pos="8640"/>
      </w:tabs>
    </w:pPr>
    <w:rPr>
      <w:noProof/>
      <w:sz w:val="17"/>
    </w:rPr>
  </w:style>
  <w:style w:type="character" w:styleId="Numrodeligne">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xtebru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Grilledutableau">
    <w:name w:val="Table Grid"/>
    <w:basedOn w:val="Tableau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Pieddepage"/>
    <w:rsid w:val="009F0EFA"/>
    <w:rPr>
      <w:spacing w:val="4"/>
      <w:w w:val="103"/>
      <w:kern w:val="14"/>
      <w:lang w:val="en-GB"/>
    </w:rPr>
  </w:style>
  <w:style w:type="character" w:styleId="Lienhypertexte">
    <w:name w:val="Hyperlink"/>
    <w:basedOn w:val="Policepardfau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aire">
    <w:name w:val="annotation text"/>
    <w:basedOn w:val="Normal"/>
    <w:link w:val="CommentaireCar"/>
    <w:rsid w:val="001875FB"/>
    <w:pPr>
      <w:spacing w:line="240" w:lineRule="auto"/>
    </w:pPr>
  </w:style>
  <w:style w:type="character" w:customStyle="1" w:styleId="CommentaireCar">
    <w:name w:val="Commentaire Car"/>
    <w:basedOn w:val="Policepardfaut"/>
    <w:link w:val="Commentaire"/>
    <w:rsid w:val="001875FB"/>
    <w:rPr>
      <w:spacing w:val="4"/>
      <w:w w:val="103"/>
      <w:kern w:val="14"/>
      <w:lang w:val="en-GB"/>
    </w:rPr>
  </w:style>
  <w:style w:type="paragraph" w:styleId="Objetducommentaire">
    <w:name w:val="annotation subject"/>
    <w:basedOn w:val="Commentaire"/>
    <w:next w:val="Commentaire"/>
    <w:link w:val="ObjetducommentaireCar"/>
    <w:rsid w:val="001875FB"/>
    <w:rPr>
      <w:b/>
      <w:bCs/>
    </w:rPr>
  </w:style>
  <w:style w:type="character" w:customStyle="1" w:styleId="ObjetducommentaireCar">
    <w:name w:val="Objet du commentaire Car"/>
    <w:basedOn w:val="CommentaireCar"/>
    <w:link w:val="Objetducommentaire"/>
    <w:rsid w:val="001875FB"/>
    <w:rPr>
      <w:b/>
      <w:bCs/>
      <w:spacing w:val="4"/>
      <w:w w:val="103"/>
      <w:kern w:val="14"/>
      <w:lang w:val="en-GB"/>
    </w:rPr>
  </w:style>
  <w:style w:type="character" w:customStyle="1" w:styleId="NotedebasdepageCar">
    <w:name w:val="Note de bas de page Car"/>
    <w:aliases w:val="5_G Car"/>
    <w:link w:val="Notedebasdepage"/>
    <w:rsid w:val="00054D4B"/>
    <w:rPr>
      <w:spacing w:val="5"/>
      <w:w w:val="103"/>
      <w:kern w:val="14"/>
      <w:sz w:val="17"/>
      <w:lang w:val="en-GB"/>
    </w:rPr>
  </w:style>
  <w:style w:type="paragraph" w:customStyle="1" w:styleId="SingleTxtG">
    <w:name w:val="_ Single Txt_G"/>
    <w:basedOn w:val="Normal"/>
    <w:rsid w:val="00F87FAF"/>
    <w:pPr>
      <w:spacing w:after="120" w:line="240" w:lineRule="atLeast"/>
      <w:ind w:left="1134" w:right="1134"/>
      <w:jc w:val="both"/>
    </w:pPr>
    <w:rPr>
      <w:rFonts w:eastAsia="Times New Roman"/>
      <w:spacing w:val="0"/>
      <w:w w:val="100"/>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875FB"/>
    <w:pPr>
      <w:spacing w:line="240" w:lineRule="auto"/>
    </w:pPr>
  </w:style>
  <w:style w:type="character" w:customStyle="1" w:styleId="CommentTextChar">
    <w:name w:val="Comment Text Char"/>
    <w:basedOn w:val="DefaultParagraphFont"/>
    <w:link w:val="CommentText"/>
    <w:rsid w:val="001875FB"/>
    <w:rPr>
      <w:spacing w:val="4"/>
      <w:w w:val="103"/>
      <w:kern w:val="14"/>
      <w:lang w:val="en-GB"/>
    </w:rPr>
  </w:style>
  <w:style w:type="paragraph" w:styleId="CommentSubject">
    <w:name w:val="annotation subject"/>
    <w:basedOn w:val="CommentText"/>
    <w:next w:val="CommentText"/>
    <w:link w:val="CommentSubjectChar"/>
    <w:rsid w:val="001875FB"/>
    <w:rPr>
      <w:b/>
      <w:bCs/>
    </w:rPr>
  </w:style>
  <w:style w:type="character" w:customStyle="1" w:styleId="CommentSubjectChar">
    <w:name w:val="Comment Subject Char"/>
    <w:basedOn w:val="CommentTextChar"/>
    <w:link w:val="CommentSubject"/>
    <w:rsid w:val="001875FB"/>
    <w:rPr>
      <w:b/>
      <w:bCs/>
      <w:spacing w:val="4"/>
      <w:w w:val="103"/>
      <w:kern w:val="14"/>
      <w:lang w:val="en-GB"/>
    </w:rPr>
  </w:style>
  <w:style w:type="character" w:customStyle="1" w:styleId="FootnoteTextChar">
    <w:name w:val="Footnote Text Char"/>
    <w:aliases w:val="5_G Char"/>
    <w:link w:val="FootnoteText"/>
    <w:rsid w:val="00054D4B"/>
    <w:rPr>
      <w:spacing w:val="5"/>
      <w:w w:val="103"/>
      <w:kern w:val="14"/>
      <w:sz w:val="17"/>
      <w:lang w:val="en-GB"/>
    </w:rPr>
  </w:style>
  <w:style w:type="paragraph" w:customStyle="1" w:styleId="SingleTxtG">
    <w:name w:val="_ Single Txt_G"/>
    <w:basedOn w:val="Normal"/>
    <w:rsid w:val="00F87FAF"/>
    <w:pPr>
      <w:spacing w:after="120" w:line="240" w:lineRule="atLeast"/>
      <w:ind w:left="1134" w:right="1134"/>
      <w:jc w:val="both"/>
    </w:pPr>
    <w:rPr>
      <w:rFonts w:eastAsia="Times New Roman"/>
      <w:spacing w:val="0"/>
      <w:w w:val="100"/>
      <w:kern w:val="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C576-451E-4B63-8DEE-23CE8782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1460</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Anni Vi Tirol</dc:creator>
  <cp:lastModifiedBy>Maison</cp:lastModifiedBy>
  <cp:revision>2</cp:revision>
  <cp:lastPrinted>2015-09-02T08:41:00Z</cp:lastPrinted>
  <dcterms:created xsi:type="dcterms:W3CDTF">2015-09-30T12:43:00Z</dcterms:created>
  <dcterms:modified xsi:type="dcterms:W3CDTF">2015-09-30T12:43:00Z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1513373</vt:lpwstr>
  </property>
  <property fmtid="{D5CDD505-2E9C-101B-9397-08002B2CF9AE}" pid="3" name="ODSRefJobNo">
    <vt:lpwstr>1517513E</vt:lpwstr>
  </property>
  <property fmtid="{D5CDD505-2E9C-101B-9397-08002B2CF9AE}" pid="4" name="Symbol1">
    <vt:lpwstr>ECE/TRANS/WP.15/2015/7</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7 August 2015</vt:lpwstr>
  </property>
  <property fmtid="{D5CDD505-2E9C-101B-9397-08002B2CF9AE}" pid="12" name="Original">
    <vt:lpwstr>French</vt:lpwstr>
  </property>
  <property fmtid="{D5CDD505-2E9C-101B-9397-08002B2CF9AE}" pid="13" name="Release Date">
    <vt:lpwstr>010915</vt:lpwstr>
  </property>
</Properties>
</file>