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91B" w:rsidRPr="00E85B17" w:rsidRDefault="002A591B" w:rsidP="002A591B">
      <w:pPr>
        <w:spacing w:line="240" w:lineRule="auto"/>
        <w:rPr>
          <w:sz w:val="2"/>
          <w:lang w:val="fr-CH"/>
        </w:rPr>
        <w:sectPr w:rsidR="002A591B" w:rsidRPr="00E85B17" w:rsidSect="002A591B">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p>
    <w:p w:rsidR="002A591B" w:rsidRPr="00E85B17" w:rsidRDefault="002A591B" w:rsidP="0040582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85B17">
        <w:rPr>
          <w:lang w:val="fr-CH"/>
        </w:rPr>
        <w:lastRenderedPageBreak/>
        <w:t>Commission économique pour l</w:t>
      </w:r>
      <w:r w:rsidR="00E85B17">
        <w:rPr>
          <w:lang w:val="fr-CH"/>
        </w:rPr>
        <w:t>’</w:t>
      </w:r>
      <w:r w:rsidRPr="00E85B17">
        <w:rPr>
          <w:lang w:val="fr-CH"/>
        </w:rPr>
        <w:t>Europe</w:t>
      </w:r>
    </w:p>
    <w:p w:rsidR="00E85B17" w:rsidRPr="00E85B17" w:rsidRDefault="00E85B17" w:rsidP="00E85B1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b w:val="0"/>
          <w:bCs/>
          <w:sz w:val="10"/>
          <w:lang w:val="fr-CH"/>
        </w:rPr>
      </w:pPr>
    </w:p>
    <w:p w:rsidR="002A591B" w:rsidRPr="00E85B17" w:rsidRDefault="002A591B" w:rsidP="00E85B1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E85B17">
        <w:rPr>
          <w:b w:val="0"/>
          <w:bCs/>
          <w:lang w:val="fr-CH"/>
        </w:rPr>
        <w:t>Comité des transports intérieurs</w:t>
      </w:r>
    </w:p>
    <w:p w:rsidR="002A591B" w:rsidRPr="00E85B17" w:rsidRDefault="002A591B" w:rsidP="00E85B17">
      <w:pPr>
        <w:pStyle w:val="H1"/>
        <w:spacing w:line="120" w:lineRule="exact"/>
        <w:rPr>
          <w:b w:val="0"/>
          <w:sz w:val="10"/>
          <w:lang w:val="fr-CH"/>
        </w:rPr>
      </w:pPr>
    </w:p>
    <w:p w:rsidR="00E85B17" w:rsidRPr="00E85B17" w:rsidRDefault="00E85B17" w:rsidP="00E85B1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E85B17">
        <w:t xml:space="preserve">Groupe de travail des transports </w:t>
      </w:r>
      <w:r>
        <w:br/>
      </w:r>
      <w:r w:rsidRPr="00E85B17">
        <w:t>de marchandises dangereuses</w:t>
      </w:r>
    </w:p>
    <w:p w:rsidR="00E85B17" w:rsidRPr="00E85B17" w:rsidRDefault="00E85B17" w:rsidP="00E85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E85B17" w:rsidRPr="00E85B17" w:rsidRDefault="00E85B17" w:rsidP="00E85B1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E85B17">
        <w:t>Quatre-vingt-dix-neuvième session</w:t>
      </w:r>
    </w:p>
    <w:p w:rsidR="00E85B17" w:rsidRPr="00E85B17" w:rsidRDefault="00E85B17" w:rsidP="00E85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E85B17">
        <w:t>Genève, 9-13 novembre 2015</w:t>
      </w:r>
    </w:p>
    <w:p w:rsidR="00E85B17" w:rsidRPr="00E85B17" w:rsidRDefault="00E85B17" w:rsidP="00E85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Point </w:t>
      </w:r>
      <w:r w:rsidRPr="00E85B17">
        <w:t>7 de l</w:t>
      </w:r>
      <w:r>
        <w:t>’</w:t>
      </w:r>
      <w:r w:rsidRPr="00E85B17">
        <w:t>ordre du jour provisoire</w:t>
      </w:r>
    </w:p>
    <w:p w:rsidR="00E85B17" w:rsidRPr="00E85B17" w:rsidRDefault="00E85B17" w:rsidP="00E85B1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E85B17">
        <w:t>Programme de travail</w:t>
      </w:r>
    </w:p>
    <w:p w:rsidR="00E85B17" w:rsidRPr="00E85B17" w:rsidRDefault="00E85B17" w:rsidP="00E85B17">
      <w:pPr>
        <w:pStyle w:val="SingleTxt"/>
        <w:spacing w:after="0" w:line="120" w:lineRule="exact"/>
        <w:rPr>
          <w:sz w:val="10"/>
        </w:rPr>
      </w:pPr>
    </w:p>
    <w:p w:rsidR="00E85B17" w:rsidRPr="00E85B17" w:rsidRDefault="00E85B17" w:rsidP="00E85B17">
      <w:pPr>
        <w:pStyle w:val="SingleTxt"/>
        <w:spacing w:after="0" w:line="120" w:lineRule="exact"/>
        <w:rPr>
          <w:sz w:val="10"/>
        </w:rPr>
      </w:pPr>
    </w:p>
    <w:p w:rsidR="00E85B17" w:rsidRPr="00E85B17" w:rsidRDefault="00E85B17" w:rsidP="00E85B17">
      <w:pPr>
        <w:pStyle w:val="SingleTxt"/>
        <w:spacing w:after="0" w:line="120" w:lineRule="exact"/>
        <w:rPr>
          <w:sz w:val="10"/>
        </w:rPr>
      </w:pPr>
    </w:p>
    <w:p w:rsidR="00E85B17" w:rsidRPr="00E85B17" w:rsidRDefault="00E85B17" w:rsidP="00E85B1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5B17">
        <w:tab/>
      </w:r>
      <w:r w:rsidRPr="00E85B17">
        <w:tab/>
        <w:t xml:space="preserve">Évaluation biennale </w:t>
      </w:r>
    </w:p>
    <w:p w:rsidR="00E85B17" w:rsidRPr="00E85B17" w:rsidRDefault="00E85B17" w:rsidP="00E85B17">
      <w:pPr>
        <w:pStyle w:val="SingleTxt"/>
        <w:spacing w:after="0" w:line="120" w:lineRule="exact"/>
        <w:rPr>
          <w:sz w:val="10"/>
        </w:rPr>
      </w:pPr>
    </w:p>
    <w:p w:rsidR="00E85B17" w:rsidRPr="00E85B17" w:rsidRDefault="00E85B17" w:rsidP="00E85B17">
      <w:pPr>
        <w:pStyle w:val="SingleTxt"/>
        <w:spacing w:after="0" w:line="120" w:lineRule="exact"/>
        <w:rPr>
          <w:sz w:val="10"/>
        </w:rPr>
      </w:pPr>
    </w:p>
    <w:p w:rsidR="00E85B17" w:rsidRPr="00E85B17" w:rsidRDefault="00E85B17" w:rsidP="00E85B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5B17">
        <w:tab/>
      </w:r>
      <w:r w:rsidRPr="00E85B17">
        <w:tab/>
        <w:t>Note du secrétariat</w:t>
      </w:r>
      <w:r w:rsidRPr="00E85B17">
        <w:rPr>
          <w:rStyle w:val="Appelnotedebasdep"/>
          <w:b w:val="0"/>
          <w:bCs/>
          <w:sz w:val="20"/>
          <w:szCs w:val="20"/>
        </w:rPr>
        <w:footnoteReference w:id="1"/>
      </w:r>
    </w:p>
    <w:p w:rsidR="00E85B17" w:rsidRPr="00E85B17" w:rsidRDefault="00E85B17" w:rsidP="00E85B17">
      <w:pPr>
        <w:pStyle w:val="SingleTxt"/>
        <w:spacing w:after="0" w:line="120" w:lineRule="exact"/>
        <w:rPr>
          <w:sz w:val="10"/>
        </w:rPr>
      </w:pPr>
    </w:p>
    <w:p w:rsidR="00E85B17" w:rsidRPr="00E85B17" w:rsidRDefault="00E85B17" w:rsidP="00E85B17">
      <w:pPr>
        <w:pStyle w:val="SingleTxt"/>
        <w:spacing w:after="0" w:line="120" w:lineRule="exact"/>
        <w:rPr>
          <w:sz w:val="10"/>
        </w:rPr>
      </w:pPr>
    </w:p>
    <w:p w:rsidR="00E85B17" w:rsidRPr="00E85B17" w:rsidRDefault="00E85B17" w:rsidP="00E85B17">
      <w:pPr>
        <w:pStyle w:val="SingleTxt"/>
        <w:numPr>
          <w:ilvl w:val="0"/>
          <w:numId w:val="6"/>
        </w:numPr>
        <w:tabs>
          <w:tab w:val="clear" w:pos="475"/>
          <w:tab w:val="num" w:pos="1742"/>
        </w:tabs>
        <w:ind w:left="1267"/>
        <w:rPr>
          <w:bCs/>
        </w:rPr>
      </w:pPr>
      <w:r w:rsidRPr="00E85B17">
        <w:t>Conformément aux décisions prises à la cinquante-huitième session du Groupe de travail, en juin</w:t>
      </w:r>
      <w:r>
        <w:t xml:space="preserve"> </w:t>
      </w:r>
      <w:r w:rsidRPr="00E85B17">
        <w:t>2007 (ECE/TRANS/WP.15/194</w:t>
      </w:r>
      <w:r w:rsidR="00800AD2">
        <w:t>,</w:t>
      </w:r>
      <w:r w:rsidRPr="00E85B17">
        <w:t xml:space="preserve"> par. 61 à 63, et annexe</w:t>
      </w:r>
      <w:r>
        <w:t xml:space="preserve"> </w:t>
      </w:r>
      <w:r w:rsidRPr="00E85B17">
        <w:t>III), les activités du Groupe sont mesurées, dans le cadre de l</w:t>
      </w:r>
      <w:r>
        <w:t>’</w:t>
      </w:r>
      <w:r w:rsidRPr="00E85B17">
        <w:t>évaluation biennale, au moyen d</w:t>
      </w:r>
      <w:r>
        <w:t>’</w:t>
      </w:r>
      <w:r w:rsidRPr="00E85B17">
        <w:t>une réalisation escomptée, de deux indicateurs de succès et des résultats correspondants. À s</w:t>
      </w:r>
      <w:bookmarkStart w:id="0" w:name="insstart"/>
      <w:bookmarkEnd w:id="0"/>
      <w:r w:rsidRPr="00E85B17">
        <w:t>a soixante-quatorzième session, le Comité des transports intérieurs a approuvé cette méthode au titre de la planification fonctionnelle en vue de l</w:t>
      </w:r>
      <w:r>
        <w:t>’</w:t>
      </w:r>
      <w:r w:rsidRPr="00E85B17">
        <w:t>évaluation des résultats de l</w:t>
      </w:r>
      <w:r>
        <w:t>’</w:t>
      </w:r>
      <w:r w:rsidRPr="00E85B17">
        <w:t>exercice 2014-2015 (ECE/TRANS/240 et ECE/TRANS/2014/24).</w:t>
      </w:r>
    </w:p>
    <w:p w:rsidR="00E85B17" w:rsidRPr="00E85B17" w:rsidRDefault="00E85B17" w:rsidP="00800AD2">
      <w:pPr>
        <w:pStyle w:val="SingleTxt"/>
        <w:numPr>
          <w:ilvl w:val="0"/>
          <w:numId w:val="6"/>
        </w:numPr>
        <w:tabs>
          <w:tab w:val="clear" w:pos="475"/>
          <w:tab w:val="num" w:pos="1742"/>
        </w:tabs>
        <w:ind w:left="1267"/>
        <w:rPr>
          <w:bCs/>
        </w:rPr>
      </w:pPr>
      <w:r w:rsidRPr="00E85B17">
        <w:t>Le Groupe de travail souhaitera peut-être examiner ces paramètres, ainsi que les résultats effectifs pour 2014-2015 (voir ci-après), en vue de les conserver ou d</w:t>
      </w:r>
      <w:r>
        <w:t>’</w:t>
      </w:r>
      <w:r w:rsidRPr="00E85B17">
        <w:t>en définir de nouveaux pour l</w:t>
      </w:r>
      <w:r>
        <w:t>’</w:t>
      </w:r>
      <w:r w:rsidRPr="00E85B17">
        <w:t>exercice 2016-2017.</w:t>
      </w:r>
    </w:p>
    <w:p w:rsidR="00E85B17" w:rsidRDefault="00E85B17">
      <w:pPr>
        <w:spacing w:line="240" w:lineRule="auto"/>
      </w:pPr>
      <w:r>
        <w:br w:type="page"/>
      </w:r>
    </w:p>
    <w:p w:rsidR="00E85B17" w:rsidRPr="00E85B17" w:rsidRDefault="00E85B17" w:rsidP="00E85B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5B17">
        <w:lastRenderedPageBreak/>
        <w:tab/>
      </w:r>
      <w:r w:rsidRPr="00E85B17">
        <w:tab/>
        <w:t xml:space="preserve">Examen des éléments de mesure des résultats pour 2014-2015 </w:t>
      </w:r>
      <w:r>
        <w:br/>
      </w:r>
      <w:r w:rsidRPr="00E85B17">
        <w:t>et établiss</w:t>
      </w:r>
      <w:bookmarkStart w:id="1" w:name="_GoBack"/>
      <w:bookmarkEnd w:id="1"/>
      <w:r w:rsidRPr="00E85B17">
        <w:t>ement des objectifs pour 2016-2017</w:t>
      </w:r>
    </w:p>
    <w:p w:rsidR="002A591B" w:rsidRPr="00E85B17" w:rsidRDefault="002A591B" w:rsidP="00E85B17">
      <w:pPr>
        <w:pStyle w:val="SingleTxt"/>
        <w:spacing w:after="0" w:line="120" w:lineRule="exact"/>
        <w:rPr>
          <w:sz w:val="10"/>
        </w:rPr>
      </w:pPr>
    </w:p>
    <w:p w:rsidR="00E85B17" w:rsidRPr="00E85B17" w:rsidRDefault="00E85B17" w:rsidP="00E85B17">
      <w:pPr>
        <w:pStyle w:val="SingleTxt"/>
        <w:spacing w:after="0" w:line="120" w:lineRule="exact"/>
        <w:rPr>
          <w:sz w:val="10"/>
        </w:rPr>
      </w:pPr>
    </w:p>
    <w:p w:rsidR="00E85B17" w:rsidRDefault="00E85B17" w:rsidP="00E85B17">
      <w:pPr>
        <w:pStyle w:val="SingleTxt"/>
        <w:spacing w:after="0" w:line="120" w:lineRule="exact"/>
        <w:rPr>
          <w:sz w:val="10"/>
        </w:rPr>
      </w:pPr>
    </w:p>
    <w:tbl>
      <w:tblPr>
        <w:tblW w:w="10044" w:type="dxa"/>
        <w:tblLayout w:type="fixed"/>
        <w:tblCellMar>
          <w:left w:w="0" w:type="dxa"/>
          <w:right w:w="0" w:type="dxa"/>
        </w:tblCellMar>
        <w:tblLook w:val="0000"/>
      </w:tblPr>
      <w:tblGrid>
        <w:gridCol w:w="1620"/>
        <w:gridCol w:w="3007"/>
        <w:gridCol w:w="3203"/>
        <w:gridCol w:w="2214"/>
      </w:tblGrid>
      <w:tr w:rsidR="00E85B17" w:rsidRPr="00E85B17" w:rsidTr="001F761C">
        <w:trPr>
          <w:tblHeader/>
        </w:trPr>
        <w:tc>
          <w:tcPr>
            <w:tcW w:w="1620" w:type="dxa"/>
            <w:tcBorders>
              <w:top w:val="single" w:sz="4" w:space="0" w:color="auto"/>
              <w:bottom w:val="single" w:sz="12" w:space="0" w:color="auto"/>
            </w:tcBorders>
            <w:shd w:val="clear" w:color="auto" w:fill="auto"/>
            <w:vAlign w:val="bottom"/>
          </w:tcPr>
          <w:p w:rsidR="00E85B17" w:rsidRPr="00E85B17" w:rsidRDefault="00E85B17" w:rsidP="00E85B17">
            <w:pPr>
              <w:tabs>
                <w:tab w:val="left" w:pos="288"/>
                <w:tab w:val="left" w:pos="576"/>
                <w:tab w:val="left" w:pos="864"/>
                <w:tab w:val="left" w:pos="1152"/>
              </w:tabs>
              <w:suppressAutoHyphens/>
              <w:spacing w:before="80" w:after="80" w:line="160" w:lineRule="exact"/>
              <w:ind w:right="115"/>
              <w:rPr>
                <w:i/>
                <w:sz w:val="14"/>
              </w:rPr>
            </w:pPr>
            <w:r w:rsidRPr="00E85B17">
              <w:rPr>
                <w:i/>
                <w:sz w:val="14"/>
              </w:rPr>
              <w:t>Module</w:t>
            </w:r>
          </w:p>
        </w:tc>
        <w:tc>
          <w:tcPr>
            <w:tcW w:w="3007" w:type="dxa"/>
            <w:tcBorders>
              <w:top w:val="single" w:sz="4" w:space="0" w:color="auto"/>
              <w:bottom w:val="single" w:sz="12" w:space="0" w:color="auto"/>
            </w:tcBorders>
            <w:shd w:val="clear" w:color="auto" w:fill="auto"/>
          </w:tcPr>
          <w:p w:rsidR="00E85B17" w:rsidRPr="00E85B17" w:rsidRDefault="00E85B17" w:rsidP="00E85B17">
            <w:pPr>
              <w:tabs>
                <w:tab w:val="left" w:pos="288"/>
                <w:tab w:val="left" w:pos="576"/>
                <w:tab w:val="left" w:pos="864"/>
                <w:tab w:val="left" w:pos="1152"/>
              </w:tabs>
              <w:suppressAutoHyphens/>
              <w:spacing w:before="80" w:after="80" w:line="160" w:lineRule="exact"/>
              <w:ind w:right="115"/>
              <w:rPr>
                <w:i/>
                <w:sz w:val="14"/>
              </w:rPr>
            </w:pPr>
            <w:r w:rsidRPr="00E85B17">
              <w:rPr>
                <w:i/>
                <w:sz w:val="14"/>
              </w:rPr>
              <w:t>Réalisations escomptées</w:t>
            </w:r>
          </w:p>
        </w:tc>
        <w:tc>
          <w:tcPr>
            <w:tcW w:w="3203" w:type="dxa"/>
            <w:tcBorders>
              <w:top w:val="single" w:sz="4" w:space="0" w:color="auto"/>
              <w:bottom w:val="single" w:sz="12" w:space="0" w:color="auto"/>
            </w:tcBorders>
            <w:shd w:val="clear" w:color="auto" w:fill="auto"/>
          </w:tcPr>
          <w:p w:rsidR="00E85B17" w:rsidRPr="00E85B17" w:rsidRDefault="00E85B17" w:rsidP="00E85B17">
            <w:pPr>
              <w:tabs>
                <w:tab w:val="left" w:pos="288"/>
                <w:tab w:val="left" w:pos="576"/>
                <w:tab w:val="left" w:pos="864"/>
                <w:tab w:val="left" w:pos="1152"/>
              </w:tabs>
              <w:suppressAutoHyphens/>
              <w:spacing w:before="80" w:after="80" w:line="160" w:lineRule="exact"/>
              <w:ind w:right="115"/>
              <w:rPr>
                <w:i/>
                <w:sz w:val="14"/>
              </w:rPr>
            </w:pPr>
            <w:r w:rsidRPr="00E85B17">
              <w:rPr>
                <w:i/>
                <w:sz w:val="14"/>
              </w:rPr>
              <w:t>Indicateurs de succès</w:t>
            </w:r>
          </w:p>
        </w:tc>
        <w:tc>
          <w:tcPr>
            <w:tcW w:w="2214" w:type="dxa"/>
            <w:tcBorders>
              <w:top w:val="single" w:sz="4" w:space="0" w:color="auto"/>
              <w:bottom w:val="single" w:sz="12" w:space="0" w:color="auto"/>
            </w:tcBorders>
            <w:shd w:val="clear" w:color="auto" w:fill="auto"/>
          </w:tcPr>
          <w:p w:rsidR="00E85B17" w:rsidRPr="00E85B17" w:rsidRDefault="00E85B17" w:rsidP="00E85B17">
            <w:pPr>
              <w:tabs>
                <w:tab w:val="left" w:pos="288"/>
                <w:tab w:val="left" w:pos="576"/>
                <w:tab w:val="left" w:pos="864"/>
                <w:tab w:val="left" w:pos="1152"/>
              </w:tabs>
              <w:suppressAutoHyphens/>
              <w:spacing w:before="80" w:after="80" w:line="160" w:lineRule="exact"/>
              <w:ind w:right="115"/>
              <w:rPr>
                <w:i/>
                <w:sz w:val="14"/>
              </w:rPr>
            </w:pPr>
            <w:r w:rsidRPr="00E85B17">
              <w:rPr>
                <w:i/>
                <w:sz w:val="14"/>
              </w:rPr>
              <w:t>Résultats effectifs</w:t>
            </w:r>
          </w:p>
        </w:tc>
      </w:tr>
      <w:tr w:rsidR="00E85B17" w:rsidRPr="00E85B17" w:rsidTr="001F761C">
        <w:trPr>
          <w:trHeight w:hRule="exact" w:val="115"/>
          <w:tblHeader/>
        </w:trPr>
        <w:tc>
          <w:tcPr>
            <w:tcW w:w="1620" w:type="dxa"/>
            <w:tcBorders>
              <w:top w:val="single" w:sz="12" w:space="0" w:color="auto"/>
            </w:tcBorders>
            <w:shd w:val="clear" w:color="auto" w:fill="auto"/>
            <w:vAlign w:val="bottom"/>
          </w:tcPr>
          <w:p w:rsidR="00E85B17" w:rsidRPr="00E85B17" w:rsidRDefault="00E85B17" w:rsidP="00E85B17">
            <w:pPr>
              <w:tabs>
                <w:tab w:val="left" w:pos="288"/>
                <w:tab w:val="left" w:pos="576"/>
                <w:tab w:val="left" w:pos="864"/>
                <w:tab w:val="left" w:pos="1152"/>
              </w:tabs>
              <w:suppressAutoHyphens/>
              <w:spacing w:before="40" w:after="80"/>
              <w:ind w:right="115"/>
            </w:pPr>
          </w:p>
        </w:tc>
        <w:tc>
          <w:tcPr>
            <w:tcW w:w="3007" w:type="dxa"/>
            <w:tcBorders>
              <w:top w:val="single" w:sz="12" w:space="0" w:color="auto"/>
            </w:tcBorders>
            <w:shd w:val="clear" w:color="auto" w:fill="auto"/>
            <w:vAlign w:val="bottom"/>
          </w:tcPr>
          <w:p w:rsidR="00E85B17" w:rsidRPr="00E85B17" w:rsidRDefault="00E85B17" w:rsidP="00E85B17">
            <w:pPr>
              <w:tabs>
                <w:tab w:val="left" w:pos="288"/>
                <w:tab w:val="left" w:pos="576"/>
                <w:tab w:val="left" w:pos="864"/>
                <w:tab w:val="left" w:pos="1152"/>
              </w:tabs>
              <w:suppressAutoHyphens/>
              <w:spacing w:before="40" w:after="80"/>
              <w:ind w:right="115"/>
            </w:pPr>
          </w:p>
        </w:tc>
        <w:tc>
          <w:tcPr>
            <w:tcW w:w="3203" w:type="dxa"/>
            <w:tcBorders>
              <w:top w:val="single" w:sz="12" w:space="0" w:color="auto"/>
            </w:tcBorders>
            <w:shd w:val="clear" w:color="auto" w:fill="auto"/>
            <w:vAlign w:val="bottom"/>
          </w:tcPr>
          <w:p w:rsidR="00E85B17" w:rsidRPr="00E85B17" w:rsidRDefault="00E85B17" w:rsidP="00E85B17">
            <w:pPr>
              <w:tabs>
                <w:tab w:val="left" w:pos="288"/>
                <w:tab w:val="left" w:pos="576"/>
                <w:tab w:val="left" w:pos="864"/>
                <w:tab w:val="left" w:pos="1152"/>
              </w:tabs>
              <w:suppressAutoHyphens/>
              <w:spacing w:before="40" w:after="80"/>
              <w:ind w:right="115"/>
            </w:pPr>
          </w:p>
        </w:tc>
        <w:tc>
          <w:tcPr>
            <w:tcW w:w="2214" w:type="dxa"/>
            <w:tcBorders>
              <w:top w:val="single" w:sz="12" w:space="0" w:color="auto"/>
            </w:tcBorders>
            <w:shd w:val="clear" w:color="auto" w:fill="auto"/>
            <w:vAlign w:val="bottom"/>
          </w:tcPr>
          <w:p w:rsidR="00E85B17" w:rsidRPr="00E85B17" w:rsidRDefault="00E85B17" w:rsidP="00E85B17">
            <w:pPr>
              <w:tabs>
                <w:tab w:val="left" w:pos="288"/>
                <w:tab w:val="left" w:pos="576"/>
                <w:tab w:val="left" w:pos="864"/>
                <w:tab w:val="left" w:pos="1152"/>
              </w:tabs>
              <w:suppressAutoHyphens/>
              <w:spacing w:before="40" w:after="80"/>
              <w:ind w:right="115"/>
            </w:pPr>
          </w:p>
        </w:tc>
      </w:tr>
      <w:tr w:rsidR="00E85B17" w:rsidRPr="00E85B17" w:rsidTr="001F761C">
        <w:tc>
          <w:tcPr>
            <w:tcW w:w="1620" w:type="dxa"/>
            <w:shd w:val="clear" w:color="auto" w:fill="auto"/>
          </w:tcPr>
          <w:p w:rsidR="00E85B17" w:rsidRPr="00E85B17" w:rsidRDefault="00E85B17" w:rsidP="00E85B17">
            <w:pPr>
              <w:tabs>
                <w:tab w:val="left" w:pos="288"/>
                <w:tab w:val="left" w:pos="576"/>
                <w:tab w:val="left" w:pos="864"/>
                <w:tab w:val="left" w:pos="1152"/>
              </w:tabs>
              <w:suppressAutoHyphens/>
              <w:spacing w:before="40" w:after="80"/>
              <w:ind w:right="115"/>
            </w:pPr>
            <w:r w:rsidRPr="00E85B17">
              <w:t xml:space="preserve">9.a Transport </w:t>
            </w:r>
            <w:r w:rsidR="001F761C">
              <w:br/>
            </w:r>
            <w:r w:rsidRPr="00E85B17">
              <w:t>de marchandises dangereuses (CEE)</w:t>
            </w:r>
          </w:p>
        </w:tc>
        <w:tc>
          <w:tcPr>
            <w:tcW w:w="3007" w:type="dxa"/>
            <w:shd w:val="clear" w:color="auto" w:fill="auto"/>
          </w:tcPr>
          <w:p w:rsidR="00E85B17" w:rsidRDefault="00E85B17" w:rsidP="00E85B17">
            <w:pPr>
              <w:tabs>
                <w:tab w:val="left" w:pos="288"/>
                <w:tab w:val="left" w:pos="576"/>
                <w:tab w:val="left" w:pos="864"/>
                <w:tab w:val="left" w:pos="1152"/>
              </w:tabs>
              <w:suppressAutoHyphens/>
              <w:spacing w:before="40" w:after="80"/>
              <w:ind w:right="115"/>
            </w:pPr>
            <w:r>
              <w:t>RE 9.a Adoption d’amendements à l’ADR</w:t>
            </w:r>
            <w:r w:rsidRPr="005F3C5E">
              <w:rPr>
                <w:rStyle w:val="Appelnotedebasdep"/>
                <w:bCs/>
                <w:szCs w:val="20"/>
              </w:rPr>
              <w:footnoteReference w:id="2"/>
            </w:r>
            <w:r>
              <w:t xml:space="preserve"> et, à l’issue d’activités communes entreprises avec l’Organisation intergouvernementale pour les transports internationaux ferroviaires (OTIF) et la Commission centrale pour la navigation du Rhin (CCNR) respectivement, d’amendements au RID</w:t>
            </w:r>
            <w:r w:rsidRPr="005F3C5E">
              <w:rPr>
                <w:rStyle w:val="Appelnotedebasdep"/>
                <w:bCs/>
                <w:szCs w:val="20"/>
              </w:rPr>
              <w:footnoteReference w:id="3"/>
            </w:r>
            <w:r>
              <w:t xml:space="preserve"> et à l’ADN</w:t>
            </w:r>
            <w:r w:rsidRPr="005F3C5E">
              <w:rPr>
                <w:rStyle w:val="Appelnotedebasdep"/>
                <w:bCs/>
                <w:szCs w:val="20"/>
              </w:rPr>
              <w:footnoteReference w:id="4"/>
            </w:r>
            <w:r>
              <w:t xml:space="preserve">, afin de conserver le niveau nécessaire </w:t>
            </w:r>
            <w:r w:rsidR="001F761C">
              <w:br/>
            </w:r>
            <w:r>
              <w:t>de sûreté, de sécurité et de protection de l’environnement dans un dispositif réglementaire harmonisé et cohérent applicable au transport des marchandises dangereuses, en s’inspirant des Recommandations de l’ONU relatives au transport des marchandises dangereuses; mise en application effective par la voie de la législation internationale et nationale</w:t>
            </w:r>
          </w:p>
        </w:tc>
        <w:tc>
          <w:tcPr>
            <w:tcW w:w="3203" w:type="dxa"/>
            <w:shd w:val="clear" w:color="auto" w:fill="auto"/>
          </w:tcPr>
          <w:p w:rsidR="00E85B17" w:rsidRDefault="00E85B17" w:rsidP="00800AD2">
            <w:pPr>
              <w:tabs>
                <w:tab w:val="left" w:pos="288"/>
                <w:tab w:val="left" w:pos="576"/>
                <w:tab w:val="left" w:pos="864"/>
                <w:tab w:val="left" w:pos="1152"/>
              </w:tabs>
              <w:suppressAutoHyphens/>
              <w:spacing w:before="40" w:after="80"/>
              <w:ind w:right="115"/>
            </w:pPr>
            <w:r>
              <w:t>IS 9.a a) Amendements à l’Accord ADR, au Règlement RID et à l’Accord ADN adoptés en 2015 et 2016 et entrés en vigueur le 1</w:t>
            </w:r>
            <w:r w:rsidRPr="00800AD2">
              <w:rPr>
                <w:vertAlign w:val="superscript"/>
              </w:rPr>
              <w:t>er</w:t>
            </w:r>
            <w:r w:rsidR="00800AD2">
              <w:t> </w:t>
            </w:r>
            <w:r>
              <w:t>janvier 2017 pour le transport international et applicables à compter du 1</w:t>
            </w:r>
            <w:r w:rsidRPr="00800AD2">
              <w:rPr>
                <w:vertAlign w:val="superscript"/>
              </w:rPr>
              <w:t>er</w:t>
            </w:r>
            <w:r w:rsidR="00800AD2">
              <w:t> </w:t>
            </w:r>
            <w:r>
              <w:t>juillet 2017 pour la circulation intérieure dans tous les pays membres de l’Union européenne et de l’Espace économique européen (EEE), correspondant notamment à la dix-neuvième édition révisée des Recommandations de l’Organisation des Nations Unies relatives au transport des marchandises dangereuses (Règlement type, 2015)</w:t>
            </w:r>
          </w:p>
          <w:p w:rsidR="00E85B17" w:rsidRDefault="00E85B17" w:rsidP="00E85B17">
            <w:pPr>
              <w:tabs>
                <w:tab w:val="left" w:pos="288"/>
                <w:tab w:val="left" w:pos="576"/>
                <w:tab w:val="left" w:pos="864"/>
                <w:tab w:val="left" w:pos="1152"/>
              </w:tabs>
              <w:suppressAutoHyphens/>
              <w:spacing w:before="40" w:after="80"/>
              <w:ind w:right="115"/>
            </w:pPr>
            <w:r w:rsidRPr="005F3C5E">
              <w:rPr>
                <w:i/>
                <w:iCs/>
              </w:rPr>
              <w:t>Mesure des résultats</w:t>
            </w:r>
            <w:r w:rsidR="005F3C5E">
              <w:t> :</w:t>
            </w:r>
            <w:r>
              <w:br/>
              <w:t>Objectif 2016-2017</w:t>
            </w:r>
            <w:r w:rsidR="005F3C5E">
              <w:t> :</w:t>
            </w:r>
            <w:r>
              <w:t xml:space="preserve"> </w:t>
            </w:r>
            <w:r>
              <w:br/>
              <w:t>1 ensemble d’amendements pour chaque instrument juridique</w:t>
            </w:r>
          </w:p>
        </w:tc>
        <w:tc>
          <w:tcPr>
            <w:tcW w:w="2214" w:type="dxa"/>
            <w:shd w:val="clear" w:color="auto" w:fill="auto"/>
          </w:tcPr>
          <w:p w:rsidR="00E85B17" w:rsidRDefault="00E85B17" w:rsidP="00E85B17">
            <w:pPr>
              <w:tabs>
                <w:tab w:val="left" w:pos="288"/>
                <w:tab w:val="left" w:pos="576"/>
                <w:tab w:val="left" w:pos="864"/>
                <w:tab w:val="left" w:pos="1152"/>
              </w:tabs>
              <w:suppressAutoHyphens/>
              <w:spacing w:before="40" w:after="80"/>
              <w:ind w:right="115"/>
            </w:pPr>
            <w:r>
              <w:t>Référence 2014-2015</w:t>
            </w:r>
            <w:r w:rsidR="005F3C5E">
              <w:t> </w:t>
            </w:r>
            <w:r>
              <w:t>: 1 ensemble d’amendements pour chaque instrument juridique</w:t>
            </w:r>
          </w:p>
        </w:tc>
      </w:tr>
      <w:tr w:rsidR="00E85B17" w:rsidRPr="00E85B17" w:rsidTr="001F761C">
        <w:tc>
          <w:tcPr>
            <w:tcW w:w="1620" w:type="dxa"/>
            <w:shd w:val="clear" w:color="auto" w:fill="auto"/>
          </w:tcPr>
          <w:p w:rsidR="00E85B17" w:rsidRPr="00E85B17" w:rsidRDefault="00E85B17" w:rsidP="00E85B17">
            <w:pPr>
              <w:tabs>
                <w:tab w:val="left" w:pos="288"/>
                <w:tab w:val="left" w:pos="576"/>
                <w:tab w:val="left" w:pos="864"/>
                <w:tab w:val="left" w:pos="1152"/>
              </w:tabs>
              <w:suppressAutoHyphens/>
              <w:spacing w:before="40" w:after="80"/>
              <w:ind w:right="115"/>
            </w:pPr>
          </w:p>
        </w:tc>
        <w:tc>
          <w:tcPr>
            <w:tcW w:w="3007" w:type="dxa"/>
            <w:shd w:val="clear" w:color="auto" w:fill="auto"/>
          </w:tcPr>
          <w:p w:rsidR="00E85B17" w:rsidRDefault="00E85B17" w:rsidP="00E85B17">
            <w:pPr>
              <w:tabs>
                <w:tab w:val="left" w:pos="288"/>
                <w:tab w:val="left" w:pos="576"/>
                <w:tab w:val="left" w:pos="864"/>
                <w:tab w:val="left" w:pos="1152"/>
              </w:tabs>
              <w:suppressAutoHyphens/>
              <w:spacing w:before="40" w:after="80"/>
              <w:ind w:right="115"/>
            </w:pPr>
          </w:p>
        </w:tc>
        <w:tc>
          <w:tcPr>
            <w:tcW w:w="3203" w:type="dxa"/>
            <w:shd w:val="clear" w:color="auto" w:fill="auto"/>
          </w:tcPr>
          <w:p w:rsidR="00E85B17" w:rsidRDefault="00E85B17" w:rsidP="00E85B17">
            <w:pPr>
              <w:tabs>
                <w:tab w:val="left" w:pos="288"/>
                <w:tab w:val="left" w:pos="576"/>
                <w:tab w:val="left" w:pos="864"/>
                <w:tab w:val="left" w:pos="1152"/>
              </w:tabs>
              <w:suppressAutoHyphens/>
              <w:spacing w:before="40" w:after="80"/>
              <w:ind w:right="115"/>
            </w:pPr>
            <w:r>
              <w:t>IS 9.a Publication des éditions 2017 complètes et révisées de l’ADR et de l’ADN avant la fin de 2016</w:t>
            </w:r>
          </w:p>
          <w:p w:rsidR="00E85B17" w:rsidRDefault="00E85B17" w:rsidP="00E85B17">
            <w:pPr>
              <w:tabs>
                <w:tab w:val="left" w:pos="288"/>
                <w:tab w:val="left" w:pos="576"/>
                <w:tab w:val="left" w:pos="864"/>
                <w:tab w:val="left" w:pos="1152"/>
              </w:tabs>
              <w:suppressAutoHyphens/>
              <w:spacing w:before="40" w:after="80"/>
              <w:ind w:right="115"/>
            </w:pPr>
            <w:r w:rsidRPr="005F3C5E">
              <w:rPr>
                <w:i/>
                <w:iCs/>
              </w:rPr>
              <w:t>Mesure des résultats</w:t>
            </w:r>
            <w:r w:rsidR="005F3C5E">
              <w:t> :</w:t>
            </w:r>
            <w:r>
              <w:br/>
              <w:t>Objectif 2016-2017</w:t>
            </w:r>
            <w:r w:rsidR="005F3C5E">
              <w:t> :</w:t>
            </w:r>
            <w:r>
              <w:t xml:space="preserve"> </w:t>
            </w:r>
            <w:r>
              <w:br/>
              <w:t>1 ADR et 1 ADN</w:t>
            </w:r>
          </w:p>
        </w:tc>
        <w:tc>
          <w:tcPr>
            <w:tcW w:w="2214" w:type="dxa"/>
            <w:shd w:val="clear" w:color="auto" w:fill="auto"/>
          </w:tcPr>
          <w:p w:rsidR="00E85B17" w:rsidRDefault="00E85B17" w:rsidP="00E85B17">
            <w:pPr>
              <w:tabs>
                <w:tab w:val="left" w:pos="288"/>
                <w:tab w:val="left" w:pos="576"/>
                <w:tab w:val="left" w:pos="864"/>
                <w:tab w:val="left" w:pos="1152"/>
              </w:tabs>
              <w:suppressAutoHyphens/>
              <w:spacing w:before="40" w:after="80"/>
              <w:ind w:right="115"/>
            </w:pPr>
            <w:r>
              <w:t>Référence 2014-2015</w:t>
            </w:r>
            <w:r w:rsidR="005F3C5E">
              <w:t> </w:t>
            </w:r>
            <w:r>
              <w:t>: 1 ADR et 1 ADN</w:t>
            </w:r>
          </w:p>
        </w:tc>
      </w:tr>
      <w:tr w:rsidR="00E85B17" w:rsidRPr="00E85B17" w:rsidTr="001F761C">
        <w:trPr>
          <w:cantSplit/>
        </w:trPr>
        <w:tc>
          <w:tcPr>
            <w:tcW w:w="1620" w:type="dxa"/>
            <w:shd w:val="clear" w:color="auto" w:fill="auto"/>
          </w:tcPr>
          <w:p w:rsidR="00E85B17" w:rsidRPr="00E85B17" w:rsidRDefault="00E85B17" w:rsidP="00E85B17">
            <w:pPr>
              <w:tabs>
                <w:tab w:val="left" w:pos="288"/>
                <w:tab w:val="left" w:pos="576"/>
                <w:tab w:val="left" w:pos="864"/>
                <w:tab w:val="left" w:pos="1152"/>
              </w:tabs>
              <w:suppressAutoHyphens/>
              <w:spacing w:before="40" w:after="80"/>
              <w:ind w:right="115"/>
            </w:pPr>
          </w:p>
        </w:tc>
        <w:tc>
          <w:tcPr>
            <w:tcW w:w="3007" w:type="dxa"/>
            <w:shd w:val="clear" w:color="auto" w:fill="auto"/>
          </w:tcPr>
          <w:p w:rsidR="00E85B17" w:rsidRDefault="00E85B17" w:rsidP="00E85B17">
            <w:pPr>
              <w:tabs>
                <w:tab w:val="left" w:pos="288"/>
                <w:tab w:val="left" w:pos="576"/>
                <w:tab w:val="left" w:pos="864"/>
                <w:tab w:val="left" w:pos="1152"/>
              </w:tabs>
              <w:suppressAutoHyphens/>
              <w:spacing w:before="40" w:after="80"/>
              <w:ind w:right="115"/>
            </w:pPr>
            <w:r>
              <w:t>RE 9.b Adoption d’un plan d’établissement des structures administratives requises pour la mise en œuvre de l’ADR Élaboration de recommandations et/ou d’orientations fondées sur ce plan</w:t>
            </w:r>
          </w:p>
        </w:tc>
        <w:tc>
          <w:tcPr>
            <w:tcW w:w="3203" w:type="dxa"/>
            <w:shd w:val="clear" w:color="auto" w:fill="auto"/>
          </w:tcPr>
          <w:p w:rsidR="00E85B17" w:rsidRDefault="00E85B17" w:rsidP="00E85B17">
            <w:pPr>
              <w:tabs>
                <w:tab w:val="left" w:pos="288"/>
                <w:tab w:val="left" w:pos="576"/>
                <w:tab w:val="left" w:pos="864"/>
                <w:tab w:val="left" w:pos="1152"/>
              </w:tabs>
              <w:suppressAutoHyphens/>
              <w:spacing w:before="40" w:after="80"/>
              <w:ind w:right="115"/>
            </w:pPr>
            <w:r>
              <w:t>IS 9.b Plan adopté et recommandations/orientations disponibles</w:t>
            </w:r>
          </w:p>
          <w:p w:rsidR="00E85B17" w:rsidRDefault="00E85B17" w:rsidP="00E85B17">
            <w:pPr>
              <w:tabs>
                <w:tab w:val="left" w:pos="288"/>
                <w:tab w:val="left" w:pos="576"/>
                <w:tab w:val="left" w:pos="864"/>
                <w:tab w:val="left" w:pos="1152"/>
              </w:tabs>
              <w:suppressAutoHyphens/>
              <w:spacing w:before="40" w:after="80"/>
              <w:ind w:right="115"/>
            </w:pPr>
            <w:r w:rsidRPr="005F3C5E">
              <w:rPr>
                <w:i/>
                <w:iCs/>
              </w:rPr>
              <w:t>Mesure des résultats</w:t>
            </w:r>
            <w:r w:rsidR="005F3C5E">
              <w:t> :</w:t>
            </w:r>
            <w:r>
              <w:br/>
              <w:t>Objectif</w:t>
            </w:r>
            <w:r w:rsidR="005F3C5E">
              <w:t> :</w:t>
            </w:r>
            <w:r>
              <w:t xml:space="preserve"> 2016-2017</w:t>
            </w:r>
            <w:r w:rsidR="005F3C5E">
              <w:t> :</w:t>
            </w:r>
            <w:r>
              <w:br/>
              <w:t>Sans objet</w:t>
            </w:r>
          </w:p>
        </w:tc>
        <w:tc>
          <w:tcPr>
            <w:tcW w:w="2214" w:type="dxa"/>
            <w:shd w:val="clear" w:color="auto" w:fill="auto"/>
          </w:tcPr>
          <w:p w:rsidR="00E85B17" w:rsidRDefault="00E85B17" w:rsidP="00E85B17">
            <w:pPr>
              <w:tabs>
                <w:tab w:val="left" w:pos="288"/>
                <w:tab w:val="left" w:pos="576"/>
                <w:tab w:val="left" w:pos="864"/>
                <w:tab w:val="left" w:pos="1152"/>
              </w:tabs>
              <w:suppressAutoHyphens/>
              <w:spacing w:before="40" w:after="80"/>
              <w:ind w:right="115"/>
            </w:pPr>
            <w:r>
              <w:t>Référence 2014-2015</w:t>
            </w:r>
            <w:r w:rsidR="005F3C5E">
              <w:t> </w:t>
            </w:r>
            <w:r>
              <w:t>: Sans objet</w:t>
            </w:r>
          </w:p>
        </w:tc>
      </w:tr>
      <w:tr w:rsidR="00E85B17" w:rsidRPr="00E85B17" w:rsidTr="001F761C">
        <w:tc>
          <w:tcPr>
            <w:tcW w:w="1620" w:type="dxa"/>
            <w:tcBorders>
              <w:bottom w:val="single" w:sz="12" w:space="0" w:color="auto"/>
            </w:tcBorders>
            <w:shd w:val="clear" w:color="auto" w:fill="auto"/>
          </w:tcPr>
          <w:p w:rsidR="00E85B17" w:rsidRPr="00E85B17" w:rsidRDefault="00E85B17" w:rsidP="001F761C">
            <w:pPr>
              <w:keepNext/>
              <w:keepLines/>
              <w:tabs>
                <w:tab w:val="left" w:pos="288"/>
                <w:tab w:val="left" w:pos="576"/>
                <w:tab w:val="left" w:pos="864"/>
                <w:tab w:val="left" w:pos="1152"/>
              </w:tabs>
              <w:suppressAutoHyphens/>
              <w:spacing w:before="40" w:after="80"/>
              <w:ind w:right="115"/>
            </w:pPr>
          </w:p>
        </w:tc>
        <w:tc>
          <w:tcPr>
            <w:tcW w:w="3007" w:type="dxa"/>
            <w:tcBorders>
              <w:bottom w:val="single" w:sz="12" w:space="0" w:color="auto"/>
            </w:tcBorders>
            <w:shd w:val="clear" w:color="auto" w:fill="auto"/>
          </w:tcPr>
          <w:p w:rsidR="00E85B17" w:rsidRDefault="00E85B17" w:rsidP="001F761C">
            <w:pPr>
              <w:keepNext/>
              <w:keepLines/>
              <w:tabs>
                <w:tab w:val="left" w:pos="288"/>
                <w:tab w:val="left" w:pos="576"/>
                <w:tab w:val="left" w:pos="864"/>
                <w:tab w:val="left" w:pos="1152"/>
              </w:tabs>
              <w:suppressAutoHyphens/>
              <w:spacing w:before="40" w:after="80"/>
              <w:ind w:right="115"/>
            </w:pPr>
            <w:r>
              <w:t>RE 9.c Suivi de la mise en œuvre du plan d’établissement des structures administratives requises pour la mise en œuvre de l’ADR par les États membres anciens et nouveaux</w:t>
            </w:r>
          </w:p>
        </w:tc>
        <w:tc>
          <w:tcPr>
            <w:tcW w:w="3203" w:type="dxa"/>
            <w:tcBorders>
              <w:bottom w:val="single" w:sz="12" w:space="0" w:color="auto"/>
            </w:tcBorders>
            <w:shd w:val="clear" w:color="auto" w:fill="auto"/>
          </w:tcPr>
          <w:p w:rsidR="00E85B17" w:rsidRDefault="00E85B17" w:rsidP="001F761C">
            <w:pPr>
              <w:keepNext/>
              <w:keepLines/>
              <w:tabs>
                <w:tab w:val="left" w:pos="288"/>
                <w:tab w:val="left" w:pos="576"/>
                <w:tab w:val="left" w:pos="864"/>
                <w:tab w:val="left" w:pos="1152"/>
              </w:tabs>
              <w:suppressAutoHyphens/>
              <w:spacing w:before="40" w:after="80"/>
              <w:ind w:right="115"/>
            </w:pPr>
            <w:r>
              <w:t>IS 9.c Informations des pays sur l’ADR et notifications obligatoires (informations sur les certificats de formation des conducteurs et informations spécifiées à l’annexe I du plan) complétées et affichées sur le site Web de la CEE</w:t>
            </w:r>
          </w:p>
          <w:p w:rsidR="00E85B17" w:rsidRDefault="00E85B17" w:rsidP="001F761C">
            <w:pPr>
              <w:keepNext/>
              <w:keepLines/>
              <w:tabs>
                <w:tab w:val="left" w:pos="288"/>
                <w:tab w:val="left" w:pos="576"/>
                <w:tab w:val="left" w:pos="864"/>
                <w:tab w:val="left" w:pos="1152"/>
              </w:tabs>
              <w:suppressAutoHyphens/>
              <w:spacing w:before="40" w:after="80"/>
              <w:ind w:right="115"/>
            </w:pPr>
            <w:r w:rsidRPr="005F3C5E">
              <w:rPr>
                <w:i/>
                <w:iCs/>
              </w:rPr>
              <w:t>Mesure des résultats</w:t>
            </w:r>
            <w:r w:rsidR="005F3C5E">
              <w:t xml:space="preserve"> : </w:t>
            </w:r>
            <w:r>
              <w:t>[Objectif</w:t>
            </w:r>
            <w:r w:rsidR="005F3C5E">
              <w:t> :</w:t>
            </w:r>
            <w:r>
              <w:t xml:space="preserve"> Informations disponibles pour 75 % des Parties contractantes </w:t>
            </w:r>
            <w:r w:rsidR="001F761C">
              <w:br/>
            </w:r>
            <w:r>
              <w:t>à l’ADR]</w:t>
            </w:r>
          </w:p>
        </w:tc>
        <w:tc>
          <w:tcPr>
            <w:tcW w:w="2214" w:type="dxa"/>
            <w:tcBorders>
              <w:bottom w:val="single" w:sz="12" w:space="0" w:color="auto"/>
            </w:tcBorders>
            <w:shd w:val="clear" w:color="auto" w:fill="auto"/>
          </w:tcPr>
          <w:p w:rsidR="00E85B17" w:rsidRDefault="00E85B17" w:rsidP="001F761C">
            <w:pPr>
              <w:keepNext/>
              <w:keepLines/>
              <w:tabs>
                <w:tab w:val="left" w:pos="288"/>
                <w:tab w:val="left" w:pos="576"/>
                <w:tab w:val="left" w:pos="864"/>
                <w:tab w:val="left" w:pos="1152"/>
              </w:tabs>
              <w:suppressAutoHyphens/>
              <w:spacing w:before="40" w:after="80"/>
              <w:ind w:right="115"/>
            </w:pPr>
            <w:r>
              <w:t>Référence 2014-2015</w:t>
            </w:r>
            <w:r w:rsidR="005F3C5E">
              <w:t> :</w:t>
            </w:r>
            <w:r>
              <w:t xml:space="preserve"> [Informations disponibles pour 75 % des Parties contractantes à l’ADR]</w:t>
            </w:r>
          </w:p>
          <w:p w:rsidR="00E85B17" w:rsidRPr="00E85B17" w:rsidRDefault="00E85B17" w:rsidP="001F761C">
            <w:pPr>
              <w:keepNext/>
              <w:keepLines/>
              <w:tabs>
                <w:tab w:val="left" w:pos="288"/>
                <w:tab w:val="left" w:pos="576"/>
                <w:tab w:val="left" w:pos="864"/>
                <w:tab w:val="left" w:pos="1152"/>
              </w:tabs>
              <w:suppressAutoHyphens/>
              <w:spacing w:before="40" w:after="80"/>
              <w:ind w:right="115"/>
            </w:pPr>
            <w:r w:rsidRPr="00800AD2">
              <w:rPr>
                <w:b/>
                <w:bCs/>
                <w:i/>
                <w:iCs/>
              </w:rPr>
              <w:t>NOTA</w:t>
            </w:r>
            <w:r w:rsidR="005F3C5E">
              <w:t> :</w:t>
            </w:r>
            <w:r w:rsidRPr="00E85B17">
              <w:t xml:space="preserve"> </w:t>
            </w:r>
            <w:r w:rsidRPr="00E85B17">
              <w:rPr>
                <w:i/>
                <w:iCs/>
              </w:rPr>
              <w:t>Des renseignements détaillés seront communiqués dans un document informel avant la session.</w:t>
            </w:r>
          </w:p>
        </w:tc>
      </w:tr>
    </w:tbl>
    <w:p w:rsidR="00E85B17" w:rsidRPr="005F3C5E" w:rsidRDefault="008936EB" w:rsidP="005F3C5E">
      <w:pPr>
        <w:pStyle w:val="SingleTxt"/>
        <w:spacing w:after="0" w:line="240" w:lineRule="auto"/>
        <w:rPr>
          <w:lang w:val="fr-CH"/>
        </w:rPr>
      </w:pPr>
      <w:r w:rsidRPr="008936EB">
        <w:rPr>
          <w:noProof/>
          <w:w w:val="100"/>
          <w:lang w:val="en-US"/>
        </w:rPr>
        <w:pict>
          <v:line id="Straight Connector 4" o:spid="_x0000_s1026" style="position:absolute;left:0;text-align:left;z-index:251659264;visibility:visible;mso-position-horizontal-relative:pag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w:r>
    </w:p>
    <w:sectPr w:rsidR="00E85B17" w:rsidRPr="005F3C5E" w:rsidSect="002A591B">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A87" w:rsidRDefault="003C5A87" w:rsidP="00F3330B">
      <w:pPr>
        <w:spacing w:line="240" w:lineRule="auto"/>
      </w:pPr>
      <w:r>
        <w:separator/>
      </w:r>
    </w:p>
  </w:endnote>
  <w:endnote w:type="continuationSeparator" w:id="0">
    <w:p w:rsidR="003C5A87" w:rsidRDefault="003C5A87"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CellMar>
        <w:left w:w="70" w:type="dxa"/>
        <w:right w:w="70" w:type="dxa"/>
      </w:tblCellMar>
      <w:tblLook w:val="0000"/>
    </w:tblPr>
    <w:tblGrid>
      <w:gridCol w:w="5088"/>
      <w:gridCol w:w="5089"/>
    </w:tblGrid>
    <w:tr w:rsidR="002A591B" w:rsidTr="002A591B">
      <w:trPr>
        <w:jc w:val="center"/>
      </w:trPr>
      <w:tc>
        <w:tcPr>
          <w:tcW w:w="5088" w:type="dxa"/>
          <w:shd w:val="clear" w:color="auto" w:fill="auto"/>
        </w:tcPr>
        <w:p w:rsidR="002A591B" w:rsidRPr="002A591B" w:rsidRDefault="008936EB" w:rsidP="002A591B">
          <w:pPr>
            <w:pStyle w:val="Pieddepage"/>
            <w:jc w:val="right"/>
            <w:rPr>
              <w:b w:val="0"/>
              <w:w w:val="103"/>
              <w:sz w:val="14"/>
            </w:rPr>
          </w:pPr>
          <w:fldSimple w:instr=" DOCVARIABLE &quot;FooterJN&quot; \* MERGEFORMAT ">
            <w:r w:rsidR="00912D56">
              <w:rPr>
                <w:b w:val="0"/>
                <w:w w:val="103"/>
                <w:sz w:val="14"/>
              </w:rPr>
              <w:t>GE.15-14560</w:t>
            </w:r>
          </w:fldSimple>
        </w:p>
      </w:tc>
      <w:tc>
        <w:tcPr>
          <w:tcW w:w="5089" w:type="dxa"/>
          <w:shd w:val="clear" w:color="auto" w:fill="auto"/>
        </w:tcPr>
        <w:p w:rsidR="002A591B" w:rsidRPr="002A591B" w:rsidRDefault="008936EB" w:rsidP="002A591B">
          <w:pPr>
            <w:pStyle w:val="Pieddepage"/>
            <w:rPr>
              <w:w w:val="103"/>
            </w:rPr>
          </w:pPr>
          <w:r>
            <w:rPr>
              <w:w w:val="103"/>
            </w:rPr>
            <w:fldChar w:fldCharType="begin"/>
          </w:r>
          <w:r w:rsidR="002A591B">
            <w:rPr>
              <w:w w:val="103"/>
            </w:rPr>
            <w:instrText xml:space="preserve"> PAGE  \* Arabic  \* MERGEFORMAT </w:instrText>
          </w:r>
          <w:r>
            <w:rPr>
              <w:w w:val="103"/>
            </w:rPr>
            <w:fldChar w:fldCharType="separate"/>
          </w:r>
          <w:r w:rsidR="00F51555">
            <w:rPr>
              <w:noProof/>
              <w:w w:val="103"/>
            </w:rPr>
            <w:t>2</w:t>
          </w:r>
          <w:r>
            <w:rPr>
              <w:w w:val="103"/>
            </w:rPr>
            <w:fldChar w:fldCharType="end"/>
          </w:r>
          <w:r w:rsidR="002A591B">
            <w:rPr>
              <w:w w:val="103"/>
            </w:rPr>
            <w:t>/</w:t>
          </w:r>
          <w:fldSimple w:instr=" NUMPAGES  \* Arabic  \* MERGEFORMAT ">
            <w:r w:rsidR="00F51555">
              <w:rPr>
                <w:noProof/>
                <w:w w:val="103"/>
              </w:rPr>
              <w:t>3</w:t>
            </w:r>
          </w:fldSimple>
        </w:p>
      </w:tc>
    </w:tr>
  </w:tbl>
  <w:p w:rsidR="002A591B" w:rsidRPr="002A591B" w:rsidRDefault="002A591B" w:rsidP="002A591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CellMar>
        <w:left w:w="70" w:type="dxa"/>
        <w:right w:w="70" w:type="dxa"/>
      </w:tblCellMar>
      <w:tblLook w:val="0000"/>
    </w:tblPr>
    <w:tblGrid>
      <w:gridCol w:w="5088"/>
      <w:gridCol w:w="5089"/>
    </w:tblGrid>
    <w:tr w:rsidR="002A591B" w:rsidTr="002A591B">
      <w:trPr>
        <w:jc w:val="center"/>
      </w:trPr>
      <w:tc>
        <w:tcPr>
          <w:tcW w:w="5088" w:type="dxa"/>
          <w:shd w:val="clear" w:color="auto" w:fill="auto"/>
        </w:tcPr>
        <w:p w:rsidR="002A591B" w:rsidRPr="002A591B" w:rsidRDefault="008936EB" w:rsidP="002A591B">
          <w:pPr>
            <w:pStyle w:val="Pieddepage"/>
            <w:jc w:val="right"/>
            <w:rPr>
              <w:w w:val="103"/>
            </w:rPr>
          </w:pPr>
          <w:r>
            <w:rPr>
              <w:w w:val="103"/>
            </w:rPr>
            <w:fldChar w:fldCharType="begin"/>
          </w:r>
          <w:r w:rsidR="002A591B">
            <w:rPr>
              <w:w w:val="103"/>
            </w:rPr>
            <w:instrText xml:space="preserve"> PAGE  \* Arabic  \* MERGEFORMAT </w:instrText>
          </w:r>
          <w:r>
            <w:rPr>
              <w:w w:val="103"/>
            </w:rPr>
            <w:fldChar w:fldCharType="separate"/>
          </w:r>
          <w:r w:rsidR="00F51555">
            <w:rPr>
              <w:noProof/>
              <w:w w:val="103"/>
            </w:rPr>
            <w:t>3</w:t>
          </w:r>
          <w:r>
            <w:rPr>
              <w:w w:val="103"/>
            </w:rPr>
            <w:fldChar w:fldCharType="end"/>
          </w:r>
          <w:r w:rsidR="002A591B">
            <w:rPr>
              <w:w w:val="103"/>
            </w:rPr>
            <w:t>/</w:t>
          </w:r>
          <w:fldSimple w:instr=" NUMPAGES  \* Arabic  \* MERGEFORMAT ">
            <w:r w:rsidR="00F51555">
              <w:rPr>
                <w:noProof/>
                <w:w w:val="103"/>
              </w:rPr>
              <w:t>3</w:t>
            </w:r>
          </w:fldSimple>
        </w:p>
      </w:tc>
      <w:tc>
        <w:tcPr>
          <w:tcW w:w="5089" w:type="dxa"/>
          <w:shd w:val="clear" w:color="auto" w:fill="auto"/>
        </w:tcPr>
        <w:p w:rsidR="002A591B" w:rsidRPr="002A591B" w:rsidRDefault="008936EB" w:rsidP="002A591B">
          <w:pPr>
            <w:pStyle w:val="Pieddepage"/>
            <w:rPr>
              <w:b w:val="0"/>
              <w:w w:val="103"/>
              <w:sz w:val="14"/>
            </w:rPr>
          </w:pPr>
          <w:fldSimple w:instr=" DOCVARIABLE &quot;FooterJN&quot; \* MERGEFORMAT ">
            <w:r w:rsidR="00912D56">
              <w:rPr>
                <w:b w:val="0"/>
                <w:w w:val="103"/>
                <w:sz w:val="14"/>
              </w:rPr>
              <w:t>GE.15-14560</w:t>
            </w:r>
          </w:fldSimple>
        </w:p>
      </w:tc>
    </w:tr>
  </w:tbl>
  <w:p w:rsidR="002A591B" w:rsidRPr="002A591B" w:rsidRDefault="002A591B" w:rsidP="002A591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91B" w:rsidRDefault="002A591B">
    <w:pPr>
      <w:pStyle w:val="Pieddepage"/>
    </w:pPr>
    <w:r>
      <w:rPr>
        <w:noProof/>
        <w:lang w:val="fr-FR" w:eastAsia="fr-FR"/>
      </w:rPr>
      <w:drawing>
        <wp:anchor distT="0" distB="0" distL="114300" distR="114300" simplePos="0" relativeHeight="251658240" behindDoc="0" locked="0" layoutInCell="1" allowOverlap="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2015/1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2015/10&amp;Size =1&amp;Lang = 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p>
  <w:tbl>
    <w:tblPr>
      <w:tblW w:w="0" w:type="auto"/>
      <w:tblLayout w:type="fixed"/>
      <w:tblCellMar>
        <w:left w:w="70" w:type="dxa"/>
        <w:right w:w="70" w:type="dxa"/>
      </w:tblCellMar>
      <w:tblLook w:val="0000"/>
    </w:tblPr>
    <w:tblGrid>
      <w:gridCol w:w="3859"/>
      <w:gridCol w:w="5089"/>
    </w:tblGrid>
    <w:tr w:rsidR="002A591B" w:rsidTr="002A591B">
      <w:tc>
        <w:tcPr>
          <w:tcW w:w="3859" w:type="dxa"/>
        </w:tcPr>
        <w:p w:rsidR="002A591B" w:rsidRDefault="008936EB" w:rsidP="002A591B">
          <w:pPr>
            <w:pStyle w:val="Pieddepage"/>
            <w:rPr>
              <w:b w:val="0"/>
              <w:sz w:val="20"/>
            </w:rPr>
          </w:pPr>
          <w:fldSimple w:instr=" DOCVARIABLE &quot;jobn&quot; \* MERGEFORMAT ">
            <w:r w:rsidR="00912D56">
              <w:rPr>
                <w:b w:val="0"/>
                <w:sz w:val="20"/>
              </w:rPr>
              <w:t>GE.15-14560 (F)</w:t>
            </w:r>
          </w:fldSimple>
          <w:r w:rsidR="00800AD2">
            <w:rPr>
              <w:b w:val="0"/>
              <w:sz w:val="20"/>
            </w:rPr>
            <w:t xml:space="preserve">    220915    28</w:t>
          </w:r>
          <w:r w:rsidR="002A591B">
            <w:rPr>
              <w:b w:val="0"/>
              <w:sz w:val="20"/>
            </w:rPr>
            <w:t>0915</w:t>
          </w:r>
        </w:p>
        <w:p w:rsidR="002A591B" w:rsidRPr="002A591B" w:rsidRDefault="008936EB" w:rsidP="002A591B">
          <w:pPr>
            <w:pStyle w:val="Pieddepage"/>
            <w:spacing w:before="120" w:line="200" w:lineRule="exact"/>
            <w:rPr>
              <w:rFonts w:ascii="Barcode 3 of 9 by request" w:hAnsi="Barcode 3 of 9 by request"/>
              <w:b w:val="0"/>
              <w:spacing w:val="0"/>
              <w:w w:val="100"/>
              <w:sz w:val="24"/>
            </w:rPr>
          </w:pPr>
          <w:fldSimple w:instr=" DOCVARIABLE &quot;Barcode&quot; \* MERGEFORMAT ">
            <w:r w:rsidR="00912D56">
              <w:rPr>
                <w:rFonts w:ascii="Barcode 3 of 9 by request" w:hAnsi="Barcode 3 of 9 by request"/>
                <w:b w:val="0"/>
                <w:spacing w:val="0"/>
                <w:w w:val="100"/>
                <w:sz w:val="24"/>
              </w:rPr>
              <w:t>*1514560*</w:t>
            </w:r>
          </w:fldSimple>
        </w:p>
      </w:tc>
      <w:tc>
        <w:tcPr>
          <w:tcW w:w="5089" w:type="dxa"/>
        </w:tcPr>
        <w:p w:rsidR="002A591B" w:rsidRDefault="002A591B" w:rsidP="002A591B">
          <w:pPr>
            <w:pStyle w:val="Pieddepage"/>
            <w:spacing w:line="240" w:lineRule="atLeast"/>
            <w:jc w:val="right"/>
            <w:rPr>
              <w:b w:val="0"/>
              <w:sz w:val="20"/>
            </w:rPr>
          </w:pPr>
          <w:r>
            <w:rPr>
              <w:b w:val="0"/>
              <w:noProof/>
              <w:sz w:val="20"/>
              <w:lang w:val="fr-FR" w:eastAsia="fr-FR"/>
            </w:rPr>
            <w:drawing>
              <wp:inline distT="0" distB="0" distL="0" distR="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A591B" w:rsidRPr="002A591B" w:rsidRDefault="002A591B" w:rsidP="002A591B">
    <w:pPr>
      <w:pStyle w:val="Pieddepage"/>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A87" w:rsidRPr="00E85B17" w:rsidRDefault="003C5A87" w:rsidP="00E85B17">
      <w:pPr>
        <w:pStyle w:val="Pieddepage"/>
        <w:spacing w:after="80"/>
        <w:ind w:left="792"/>
        <w:rPr>
          <w:sz w:val="16"/>
        </w:rPr>
      </w:pPr>
      <w:r w:rsidRPr="00E85B17">
        <w:rPr>
          <w:sz w:val="16"/>
        </w:rPr>
        <w:t>__________________</w:t>
      </w:r>
    </w:p>
  </w:footnote>
  <w:footnote w:type="continuationSeparator" w:id="0">
    <w:p w:rsidR="003C5A87" w:rsidRPr="00E85B17" w:rsidRDefault="003C5A87" w:rsidP="00E85B17">
      <w:pPr>
        <w:pStyle w:val="Pieddepage"/>
        <w:spacing w:after="80"/>
        <w:ind w:left="792"/>
        <w:rPr>
          <w:sz w:val="16"/>
        </w:rPr>
      </w:pPr>
      <w:r w:rsidRPr="00E85B17">
        <w:rPr>
          <w:sz w:val="16"/>
        </w:rPr>
        <w:t>__________________</w:t>
      </w:r>
    </w:p>
  </w:footnote>
  <w:footnote w:id="1">
    <w:p w:rsidR="00E85B17" w:rsidRDefault="00E85B17" w:rsidP="00E85B17">
      <w:pPr>
        <w:pStyle w:val="Notedebasdepage"/>
        <w:widowControl w:val="0"/>
        <w:tabs>
          <w:tab w:val="right" w:pos="1195"/>
          <w:tab w:val="left" w:pos="1267"/>
          <w:tab w:val="left" w:pos="1742"/>
          <w:tab w:val="left" w:pos="2218"/>
          <w:tab w:val="left" w:pos="2693"/>
        </w:tabs>
        <w:ind w:left="1267" w:right="1260" w:hanging="432"/>
      </w:pPr>
      <w:r>
        <w:tab/>
      </w:r>
      <w:r>
        <w:rPr>
          <w:rStyle w:val="Appelnotedebasdep"/>
        </w:rPr>
        <w:footnoteRef/>
      </w:r>
      <w:r>
        <w:tab/>
        <w:t>Conformément au programme de travail du Comité des transports intérieurs pour la période 201</w:t>
      </w:r>
      <w:r w:rsidR="000140F5">
        <w:t>4-2015 (ECE/TRANS/240, par. 100;</w:t>
      </w:r>
      <w:r>
        <w:t xml:space="preserve"> ECE/TRANS/2014/23, module 9, par. 9.1). </w:t>
      </w:r>
    </w:p>
  </w:footnote>
  <w:footnote w:id="2">
    <w:p w:rsidR="00E85B17" w:rsidRDefault="00E85B17" w:rsidP="00E85B17">
      <w:pPr>
        <w:pStyle w:val="Notedebasdepage"/>
        <w:widowControl w:val="0"/>
        <w:tabs>
          <w:tab w:val="right" w:pos="1195"/>
          <w:tab w:val="left" w:pos="1267"/>
          <w:tab w:val="left" w:pos="1742"/>
          <w:tab w:val="left" w:pos="2218"/>
          <w:tab w:val="left" w:pos="2693"/>
        </w:tabs>
        <w:ind w:left="1267" w:right="1260" w:hanging="432"/>
        <w:rPr>
          <w:lang w:val="fr-CH"/>
        </w:rPr>
      </w:pPr>
      <w:r>
        <w:tab/>
      </w:r>
      <w:r>
        <w:rPr>
          <w:rStyle w:val="Appelnotedebasdep"/>
        </w:rPr>
        <w:footnoteRef/>
      </w:r>
      <w:r>
        <w:tab/>
        <w:t xml:space="preserve">Accord européen relatif au transport international des marchandises dangereuses par route </w:t>
      </w:r>
    </w:p>
  </w:footnote>
  <w:footnote w:id="3">
    <w:p w:rsidR="00E85B17" w:rsidRDefault="00E85B17" w:rsidP="00E85B17">
      <w:pPr>
        <w:pStyle w:val="Notedebasdepage"/>
        <w:widowControl w:val="0"/>
        <w:tabs>
          <w:tab w:val="right" w:pos="1195"/>
          <w:tab w:val="left" w:pos="1267"/>
          <w:tab w:val="left" w:pos="1742"/>
          <w:tab w:val="left" w:pos="2218"/>
          <w:tab w:val="left" w:pos="2693"/>
        </w:tabs>
        <w:ind w:left="1267" w:right="1260" w:hanging="432"/>
        <w:rPr>
          <w:lang w:val="fr-CH"/>
        </w:rPr>
      </w:pPr>
      <w:r>
        <w:tab/>
      </w:r>
      <w:r>
        <w:rPr>
          <w:rStyle w:val="Appelnotedebasdep"/>
        </w:rPr>
        <w:footnoteRef/>
      </w:r>
      <w:r>
        <w:tab/>
        <w:t xml:space="preserve">Règlement concernant le transport international ferroviaire des marchandises dangereuses </w:t>
      </w:r>
    </w:p>
  </w:footnote>
  <w:footnote w:id="4">
    <w:p w:rsidR="00E85B17" w:rsidRDefault="00E85B17" w:rsidP="00E85B17">
      <w:pPr>
        <w:pStyle w:val="Notedebasdepage"/>
        <w:widowControl w:val="0"/>
        <w:tabs>
          <w:tab w:val="right" w:pos="1195"/>
          <w:tab w:val="left" w:pos="1267"/>
          <w:tab w:val="left" w:pos="1742"/>
          <w:tab w:val="left" w:pos="2218"/>
          <w:tab w:val="left" w:pos="2693"/>
        </w:tabs>
        <w:ind w:left="1267" w:right="1260" w:hanging="432"/>
        <w:rPr>
          <w:lang w:val="fr-CH"/>
        </w:rPr>
      </w:pPr>
      <w:r>
        <w:tab/>
      </w:r>
      <w:r>
        <w:rPr>
          <w:rStyle w:val="Appelnotedebasdep"/>
        </w:rPr>
        <w:footnoteRef/>
      </w:r>
      <w:r>
        <w:tab/>
        <w:t xml:space="preserve">Accord européen relatif au transport international des marchandises dangereuses par voies de navigation intérieures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089"/>
    </w:tblGrid>
    <w:tr w:rsidR="002A591B" w:rsidTr="002A591B">
      <w:trPr>
        <w:trHeight w:hRule="exact" w:val="864"/>
        <w:jc w:val="center"/>
      </w:trPr>
      <w:tc>
        <w:tcPr>
          <w:tcW w:w="4882" w:type="dxa"/>
          <w:shd w:val="clear" w:color="auto" w:fill="auto"/>
          <w:vAlign w:val="bottom"/>
        </w:tcPr>
        <w:p w:rsidR="002A591B" w:rsidRPr="002A591B" w:rsidRDefault="008936EB" w:rsidP="002A591B">
          <w:pPr>
            <w:pStyle w:val="En-tte"/>
            <w:spacing w:after="80"/>
            <w:rPr>
              <w:b/>
              <w:color w:val="000000"/>
            </w:rPr>
          </w:pPr>
          <w:fldSimple w:instr=" DOCVARIABLE &quot;sss1&quot; \* MERGEFORMAT ">
            <w:r w:rsidR="00912D56">
              <w:rPr>
                <w:b/>
                <w:color w:val="000000"/>
              </w:rPr>
              <w:t>ECE/TRANS/WP.15/2015/10</w:t>
            </w:r>
          </w:fldSimple>
        </w:p>
      </w:tc>
      <w:tc>
        <w:tcPr>
          <w:tcW w:w="5089" w:type="dxa"/>
          <w:shd w:val="clear" w:color="auto" w:fill="auto"/>
          <w:vAlign w:val="bottom"/>
        </w:tcPr>
        <w:p w:rsidR="002A591B" w:rsidRDefault="002A591B" w:rsidP="002A591B">
          <w:pPr>
            <w:pStyle w:val="En-tte"/>
          </w:pPr>
        </w:p>
      </w:tc>
    </w:tr>
  </w:tbl>
  <w:p w:rsidR="002A591B" w:rsidRPr="002A591B" w:rsidRDefault="002A591B" w:rsidP="002A591B">
    <w:pPr>
      <w:pStyle w:val="En-tte"/>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089"/>
    </w:tblGrid>
    <w:tr w:rsidR="002A591B" w:rsidTr="002A591B">
      <w:trPr>
        <w:trHeight w:hRule="exact" w:val="864"/>
        <w:jc w:val="center"/>
      </w:trPr>
      <w:tc>
        <w:tcPr>
          <w:tcW w:w="4882" w:type="dxa"/>
          <w:shd w:val="clear" w:color="auto" w:fill="auto"/>
          <w:vAlign w:val="bottom"/>
        </w:tcPr>
        <w:p w:rsidR="002A591B" w:rsidRDefault="002A591B" w:rsidP="002A591B">
          <w:pPr>
            <w:pStyle w:val="En-tte"/>
          </w:pPr>
        </w:p>
      </w:tc>
      <w:tc>
        <w:tcPr>
          <w:tcW w:w="5089" w:type="dxa"/>
          <w:shd w:val="clear" w:color="auto" w:fill="auto"/>
          <w:vAlign w:val="bottom"/>
        </w:tcPr>
        <w:p w:rsidR="002A591B" w:rsidRPr="002A591B" w:rsidRDefault="008936EB" w:rsidP="002A591B">
          <w:pPr>
            <w:pStyle w:val="En-tte"/>
            <w:spacing w:after="80"/>
            <w:jc w:val="right"/>
            <w:rPr>
              <w:b/>
              <w:color w:val="000000"/>
            </w:rPr>
          </w:pPr>
          <w:fldSimple w:instr=" DOCVARIABLE &quot;sss1&quot; \* MERGEFORMAT ">
            <w:r w:rsidR="00912D56">
              <w:rPr>
                <w:b/>
                <w:color w:val="000000"/>
              </w:rPr>
              <w:t>ECE/TRANS/WP.15/2015/10</w:t>
            </w:r>
          </w:fldSimple>
        </w:p>
      </w:tc>
    </w:tr>
  </w:tbl>
  <w:p w:rsidR="002A591B" w:rsidRPr="002A591B" w:rsidRDefault="002A591B" w:rsidP="002A591B">
    <w:pPr>
      <w:pStyle w:val="En-tte"/>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7" w:type="dxa"/>
      <w:tblLayout w:type="fixed"/>
      <w:tblCellMar>
        <w:left w:w="0" w:type="dxa"/>
        <w:right w:w="0" w:type="dxa"/>
      </w:tblCellMar>
      <w:tblLook w:val="0000"/>
    </w:tblPr>
    <w:tblGrid>
      <w:gridCol w:w="1267"/>
      <w:gridCol w:w="2059"/>
      <w:gridCol w:w="58"/>
      <w:gridCol w:w="3110"/>
      <w:gridCol w:w="245"/>
      <w:gridCol w:w="3280"/>
      <w:gridCol w:w="18"/>
    </w:tblGrid>
    <w:tr w:rsidR="002A591B" w:rsidRPr="00E85B17" w:rsidTr="002A591B">
      <w:trPr>
        <w:trHeight w:hRule="exact" w:val="864"/>
      </w:trPr>
      <w:tc>
        <w:tcPr>
          <w:tcW w:w="1267" w:type="dxa"/>
          <w:tcBorders>
            <w:bottom w:val="single" w:sz="4" w:space="0" w:color="auto"/>
          </w:tcBorders>
          <w:shd w:val="clear" w:color="auto" w:fill="auto"/>
          <w:vAlign w:val="bottom"/>
        </w:tcPr>
        <w:p w:rsidR="002A591B" w:rsidRPr="00E85B17" w:rsidRDefault="002A591B" w:rsidP="002A591B">
          <w:pPr>
            <w:pStyle w:val="En-tte"/>
            <w:spacing w:after="120"/>
            <w:rPr>
              <w:lang w:val="fr-CH"/>
            </w:rPr>
          </w:pPr>
        </w:p>
      </w:tc>
      <w:tc>
        <w:tcPr>
          <w:tcW w:w="2059" w:type="dxa"/>
          <w:tcBorders>
            <w:bottom w:val="single" w:sz="4" w:space="0" w:color="auto"/>
          </w:tcBorders>
          <w:shd w:val="clear" w:color="auto" w:fill="auto"/>
          <w:vAlign w:val="bottom"/>
        </w:tcPr>
        <w:p w:rsidR="002A591B" w:rsidRPr="00E85B17" w:rsidRDefault="002A591B" w:rsidP="002A591B">
          <w:pPr>
            <w:pStyle w:val="HCH"/>
            <w:spacing w:after="80"/>
            <w:rPr>
              <w:b w:val="0"/>
              <w:color w:val="010000"/>
              <w:spacing w:val="2"/>
              <w:w w:val="96"/>
              <w:lang w:val="fr-CH"/>
            </w:rPr>
          </w:pPr>
          <w:r w:rsidRPr="00E85B17">
            <w:rPr>
              <w:b w:val="0"/>
              <w:color w:val="010000"/>
              <w:spacing w:val="2"/>
              <w:w w:val="96"/>
              <w:lang w:val="fr-CH"/>
            </w:rPr>
            <w:t>Nations Unies</w:t>
          </w:r>
        </w:p>
      </w:tc>
      <w:tc>
        <w:tcPr>
          <w:tcW w:w="58" w:type="dxa"/>
          <w:tcBorders>
            <w:bottom w:val="single" w:sz="4" w:space="0" w:color="auto"/>
          </w:tcBorders>
          <w:shd w:val="clear" w:color="auto" w:fill="auto"/>
          <w:vAlign w:val="bottom"/>
        </w:tcPr>
        <w:p w:rsidR="002A591B" w:rsidRPr="00E85B17" w:rsidRDefault="002A591B" w:rsidP="002A591B">
          <w:pPr>
            <w:pStyle w:val="En-tte"/>
            <w:spacing w:after="120"/>
            <w:rPr>
              <w:lang w:val="fr-CH"/>
            </w:rPr>
          </w:pPr>
        </w:p>
      </w:tc>
      <w:tc>
        <w:tcPr>
          <w:tcW w:w="6653" w:type="dxa"/>
          <w:gridSpan w:val="4"/>
          <w:tcBorders>
            <w:bottom w:val="single" w:sz="4" w:space="0" w:color="auto"/>
          </w:tcBorders>
          <w:shd w:val="clear" w:color="auto" w:fill="auto"/>
          <w:vAlign w:val="bottom"/>
        </w:tcPr>
        <w:p w:rsidR="002A591B" w:rsidRPr="00E85B17" w:rsidRDefault="002A591B" w:rsidP="002A591B">
          <w:pPr>
            <w:spacing w:after="80" w:line="240" w:lineRule="auto"/>
            <w:jc w:val="right"/>
            <w:rPr>
              <w:position w:val="-4"/>
              <w:lang w:val="fr-CH"/>
            </w:rPr>
          </w:pPr>
          <w:r w:rsidRPr="00E85B17">
            <w:rPr>
              <w:position w:val="-4"/>
              <w:sz w:val="40"/>
              <w:lang w:val="fr-CH"/>
            </w:rPr>
            <w:t>ECE</w:t>
          </w:r>
          <w:r w:rsidRPr="00E85B17">
            <w:rPr>
              <w:position w:val="-4"/>
              <w:lang w:val="fr-CH"/>
            </w:rPr>
            <w:t>/TRANS/WP.15/2015/10</w:t>
          </w:r>
        </w:p>
      </w:tc>
    </w:tr>
    <w:tr w:rsidR="002A591B" w:rsidRPr="00E85B17" w:rsidTr="002A591B">
      <w:trPr>
        <w:gridAfter w:val="1"/>
        <w:wAfter w:w="18" w:type="dxa"/>
        <w:trHeight w:hRule="exact" w:val="2880"/>
      </w:trPr>
      <w:tc>
        <w:tcPr>
          <w:tcW w:w="1267" w:type="dxa"/>
          <w:tcBorders>
            <w:top w:val="single" w:sz="4" w:space="0" w:color="auto"/>
            <w:bottom w:val="single" w:sz="12" w:space="0" w:color="auto"/>
          </w:tcBorders>
          <w:shd w:val="clear" w:color="auto" w:fill="auto"/>
        </w:tcPr>
        <w:p w:rsidR="002A591B" w:rsidRPr="00E85B17" w:rsidRDefault="002A591B" w:rsidP="002A591B">
          <w:pPr>
            <w:pStyle w:val="En-tte"/>
            <w:spacing w:before="120" w:line="240" w:lineRule="auto"/>
            <w:ind w:left="-72"/>
            <w:jc w:val="center"/>
            <w:rPr>
              <w:lang w:val="fr-CH"/>
            </w:rPr>
          </w:pPr>
          <w:r w:rsidRPr="00E85B17">
            <w:rPr>
              <w:lang w:val="fr-CH"/>
            </w:rPr>
            <w:t xml:space="preserve">  </w:t>
          </w:r>
          <w:r w:rsidRPr="00E85B17">
            <w:rPr>
              <w:noProof/>
              <w:lang w:val="fr-FR" w:eastAsia="fr-FR"/>
            </w:rPr>
            <w:drawing>
              <wp:inline distT="0" distB="0" distL="0" distR="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A591B" w:rsidRPr="00E85B17" w:rsidRDefault="002A591B" w:rsidP="002A591B">
          <w:pPr>
            <w:pStyle w:val="XLarge"/>
            <w:spacing w:before="109"/>
            <w:rPr>
              <w:lang w:val="fr-CH"/>
            </w:rPr>
          </w:pPr>
          <w:r w:rsidRPr="00E85B17">
            <w:rPr>
              <w:lang w:val="fr-CH"/>
            </w:rPr>
            <w:t>Conseil économique et social</w:t>
          </w:r>
        </w:p>
      </w:tc>
      <w:tc>
        <w:tcPr>
          <w:tcW w:w="245" w:type="dxa"/>
          <w:tcBorders>
            <w:top w:val="single" w:sz="4" w:space="0" w:color="auto"/>
            <w:bottom w:val="single" w:sz="12" w:space="0" w:color="auto"/>
          </w:tcBorders>
          <w:shd w:val="clear" w:color="auto" w:fill="auto"/>
        </w:tcPr>
        <w:p w:rsidR="002A591B" w:rsidRPr="00E85B17" w:rsidRDefault="002A591B" w:rsidP="002A591B">
          <w:pPr>
            <w:pStyle w:val="En-tte"/>
            <w:spacing w:before="109"/>
            <w:rPr>
              <w:lang w:val="fr-CH"/>
            </w:rPr>
          </w:pPr>
        </w:p>
      </w:tc>
      <w:tc>
        <w:tcPr>
          <w:tcW w:w="3280" w:type="dxa"/>
          <w:tcBorders>
            <w:top w:val="single" w:sz="4" w:space="0" w:color="auto"/>
            <w:bottom w:val="single" w:sz="12" w:space="0" w:color="auto"/>
          </w:tcBorders>
          <w:shd w:val="clear" w:color="auto" w:fill="auto"/>
        </w:tcPr>
        <w:p w:rsidR="002A591B" w:rsidRPr="00E85B17" w:rsidRDefault="002A591B" w:rsidP="002A591B">
          <w:pPr>
            <w:pStyle w:val="Distribution"/>
            <w:rPr>
              <w:color w:val="000000"/>
              <w:lang w:val="fr-CH"/>
            </w:rPr>
          </w:pPr>
          <w:r w:rsidRPr="00E85B17">
            <w:rPr>
              <w:color w:val="000000"/>
              <w:lang w:val="fr-CH"/>
            </w:rPr>
            <w:t>Distr. générale</w:t>
          </w:r>
        </w:p>
        <w:p w:rsidR="002A591B" w:rsidRPr="00E85B17" w:rsidRDefault="002A591B" w:rsidP="002A591B">
          <w:pPr>
            <w:pStyle w:val="Publication"/>
            <w:rPr>
              <w:color w:val="000000"/>
              <w:lang w:val="fr-CH"/>
            </w:rPr>
          </w:pPr>
          <w:r w:rsidRPr="00E85B17">
            <w:rPr>
              <w:color w:val="000000"/>
              <w:lang w:val="fr-CH"/>
            </w:rPr>
            <w:t>28 août 2015</w:t>
          </w:r>
        </w:p>
        <w:p w:rsidR="002A591B" w:rsidRPr="00E85B17" w:rsidRDefault="002A591B" w:rsidP="002A591B">
          <w:pPr>
            <w:rPr>
              <w:lang w:val="fr-CH"/>
            </w:rPr>
          </w:pPr>
          <w:r w:rsidRPr="00E85B17">
            <w:rPr>
              <w:lang w:val="fr-CH"/>
            </w:rPr>
            <w:t>Français</w:t>
          </w:r>
        </w:p>
        <w:p w:rsidR="002A591B" w:rsidRPr="00E85B17" w:rsidRDefault="002A591B" w:rsidP="002A591B">
          <w:pPr>
            <w:pStyle w:val="Original"/>
            <w:rPr>
              <w:color w:val="000000"/>
              <w:lang w:val="fr-CH"/>
            </w:rPr>
          </w:pPr>
          <w:r w:rsidRPr="00E85B17">
            <w:rPr>
              <w:color w:val="000000"/>
              <w:lang w:val="fr-CH"/>
            </w:rPr>
            <w:t>Original : anglais</w:t>
          </w:r>
        </w:p>
      </w:tc>
    </w:tr>
  </w:tbl>
  <w:p w:rsidR="002A591B" w:rsidRPr="00E85B17" w:rsidRDefault="002A591B" w:rsidP="002A591B">
    <w:pPr>
      <w:pStyle w:val="En-tte"/>
      <w:spacing w:line="240" w:lineRule="auto"/>
      <w:rPr>
        <w:sz w:val="2"/>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C722D"/>
    <w:multiLevelType w:val="singleLevel"/>
    <w:tmpl w:val="4510CE7C"/>
    <w:lvl w:ilvl="0">
      <w:start w:val="1"/>
      <w:numFmt w:val="decimal"/>
      <w:lvlRestart w:val="0"/>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SortMethod w:val="0003"/>
  <w:defaultTabStop w:val="475"/>
  <w:hyphenationZone w:val="425"/>
  <w:doNotHyphenateCaps/>
  <w:evenAndOddHeaders/>
  <w:characterSpacingControl w:val="doNotCompress"/>
  <w:hdrShapeDefaults>
    <o:shapedefaults v:ext="edit" spidmax="15362"/>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
  <w:docVars>
    <w:docVar w:name="Barcode" w:val="*1514560*"/>
    <w:docVar w:name="CreationDt" w:val="9/22/2015 9:52: AM"/>
    <w:docVar w:name="DocCategory" w:val="Doc"/>
    <w:docVar w:name="DocType" w:val="Final"/>
    <w:docVar w:name="DutyStation" w:val="Geneva"/>
    <w:docVar w:name="FooterJN" w:val="GE.15-14560"/>
    <w:docVar w:name="jobn" w:val="GE.15-14560 (F)"/>
    <w:docVar w:name="jobnDT" w:val="GE.15-14560 (F)   220915"/>
    <w:docVar w:name="jobnDTDT" w:val="GE.15-14560 (F)   220915   220915"/>
    <w:docVar w:name="JobNo" w:val="GE.1514560F"/>
    <w:docVar w:name="JobNo2" w:val="GE.1519432F"/>
    <w:docVar w:name="LocalDrive" w:val="0"/>
    <w:docVar w:name="OandT" w:val="N.Morin"/>
    <w:docVar w:name="PaperSize" w:val="A4"/>
    <w:docVar w:name="sss1" w:val="ECE/TRANS/WP.15/2015/10"/>
    <w:docVar w:name="sss2" w:val="-"/>
    <w:docVar w:name="Symbol1" w:val="ECE/TRANS/WP.15/2015/10"/>
    <w:docVar w:name="Symbol2" w:val="-"/>
  </w:docVars>
  <w:rsids>
    <w:rsidRoot w:val="00D04C70"/>
    <w:rsid w:val="000015B8"/>
    <w:rsid w:val="000046A5"/>
    <w:rsid w:val="000055FB"/>
    <w:rsid w:val="00010C97"/>
    <w:rsid w:val="000140F5"/>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6A45"/>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2BA"/>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2D50"/>
    <w:rsid w:val="001E44F3"/>
    <w:rsid w:val="001F053A"/>
    <w:rsid w:val="001F2DA6"/>
    <w:rsid w:val="001F4DBE"/>
    <w:rsid w:val="001F62AF"/>
    <w:rsid w:val="001F761C"/>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91B"/>
    <w:rsid w:val="002A69DB"/>
    <w:rsid w:val="002B037D"/>
    <w:rsid w:val="002B1D15"/>
    <w:rsid w:val="002B4A7F"/>
    <w:rsid w:val="002B5449"/>
    <w:rsid w:val="002B5928"/>
    <w:rsid w:val="002C3640"/>
    <w:rsid w:val="002C3FD3"/>
    <w:rsid w:val="002C419A"/>
    <w:rsid w:val="002C472D"/>
    <w:rsid w:val="002C77CF"/>
    <w:rsid w:val="002D45C0"/>
    <w:rsid w:val="002D5861"/>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5A87"/>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582B"/>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399D"/>
    <w:rsid w:val="004973EC"/>
    <w:rsid w:val="004A0AA6"/>
    <w:rsid w:val="004A1763"/>
    <w:rsid w:val="004A186E"/>
    <w:rsid w:val="004A2319"/>
    <w:rsid w:val="004A2455"/>
    <w:rsid w:val="004A698E"/>
    <w:rsid w:val="004A7606"/>
    <w:rsid w:val="004B1DBB"/>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765D"/>
    <w:rsid w:val="005C7B4D"/>
    <w:rsid w:val="005D7CA9"/>
    <w:rsid w:val="005F12E0"/>
    <w:rsid w:val="005F2726"/>
    <w:rsid w:val="005F2A30"/>
    <w:rsid w:val="005F2FA6"/>
    <w:rsid w:val="005F35C5"/>
    <w:rsid w:val="005F3C5E"/>
    <w:rsid w:val="005F6A9F"/>
    <w:rsid w:val="005F6E3F"/>
    <w:rsid w:val="0060033F"/>
    <w:rsid w:val="00603211"/>
    <w:rsid w:val="0060375B"/>
    <w:rsid w:val="00606A0C"/>
    <w:rsid w:val="00607448"/>
    <w:rsid w:val="0060792E"/>
    <w:rsid w:val="00611860"/>
    <w:rsid w:val="00611DA0"/>
    <w:rsid w:val="00612407"/>
    <w:rsid w:val="006125AC"/>
    <w:rsid w:val="00616E84"/>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C9C"/>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1AB9"/>
    <w:rsid w:val="007F3DCC"/>
    <w:rsid w:val="007F49BD"/>
    <w:rsid w:val="007F6F95"/>
    <w:rsid w:val="007F77CB"/>
    <w:rsid w:val="00800903"/>
    <w:rsid w:val="00800AD2"/>
    <w:rsid w:val="008040BA"/>
    <w:rsid w:val="00804131"/>
    <w:rsid w:val="00804565"/>
    <w:rsid w:val="00806A3B"/>
    <w:rsid w:val="00807CA4"/>
    <w:rsid w:val="008100FD"/>
    <w:rsid w:val="008114C3"/>
    <w:rsid w:val="00814C2A"/>
    <w:rsid w:val="00816ECE"/>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36EB"/>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2D56"/>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5DBA"/>
    <w:rsid w:val="00957244"/>
    <w:rsid w:val="00962CAC"/>
    <w:rsid w:val="00964BDE"/>
    <w:rsid w:val="009676D3"/>
    <w:rsid w:val="00970A5C"/>
    <w:rsid w:val="00970FA0"/>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04C70"/>
    <w:rsid w:val="00D12150"/>
    <w:rsid w:val="00D12CFB"/>
    <w:rsid w:val="00D1326C"/>
    <w:rsid w:val="00D1431B"/>
    <w:rsid w:val="00D14690"/>
    <w:rsid w:val="00D15BBA"/>
    <w:rsid w:val="00D16823"/>
    <w:rsid w:val="00D16F48"/>
    <w:rsid w:val="00D17215"/>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5B17"/>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555"/>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basedOn w:val="Normal"/>
    <w:link w:val="NotedebasdepageCar"/>
    <w:uiPriority w:val="99"/>
    <w:rsid w:val="00611DA0"/>
    <w:pPr>
      <w:spacing w:line="210" w:lineRule="exact"/>
    </w:pPr>
    <w:rPr>
      <w:sz w:val="17"/>
      <w:szCs w:val="20"/>
    </w:rPr>
  </w:style>
  <w:style w:type="character" w:customStyle="1" w:styleId="NotedebasdepageCar">
    <w:name w:val="Note de bas de page Car"/>
    <w:link w:val="Notedebasdepage"/>
    <w:uiPriority w:val="99"/>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uiPriority w:val="99"/>
    <w:semiHidden/>
    <w:rsid w:val="00915FB9"/>
    <w:rPr>
      <w:color w:val="943634" w:themeColor="accent2" w:themeShade="BF"/>
      <w:spacing w:val="5"/>
      <w:w w:val="103"/>
      <w:kern w:val="14"/>
      <w:position w:val="0"/>
      <w:vertAlign w:val="superscript"/>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basedOn w:val="Policepardfaut"/>
    <w:uiPriority w:val="99"/>
    <w:semiHidden/>
    <w:rsid w:val="009C5249"/>
    <w:rPr>
      <w:color w:val="943634" w:themeColor="accent2" w:themeShade="BF"/>
      <w:spacing w:val="5"/>
      <w:w w:val="103"/>
      <w:kern w:val="14"/>
      <w:position w:val="0"/>
      <w:vertAlign w:val="superscript"/>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uiPriority w:val="99"/>
    <w:semiHidden/>
    <w:unhideWhenUsed/>
    <w:rsid w:val="002A591B"/>
    <w:rPr>
      <w:sz w:val="16"/>
      <w:szCs w:val="16"/>
    </w:rPr>
  </w:style>
  <w:style w:type="paragraph" w:styleId="Commentaire">
    <w:name w:val="annotation text"/>
    <w:basedOn w:val="Normal"/>
    <w:link w:val="CommentaireCar"/>
    <w:uiPriority w:val="99"/>
    <w:semiHidden/>
    <w:unhideWhenUsed/>
    <w:rsid w:val="002A591B"/>
    <w:pPr>
      <w:spacing w:line="240" w:lineRule="auto"/>
    </w:pPr>
    <w:rPr>
      <w:szCs w:val="20"/>
    </w:rPr>
  </w:style>
  <w:style w:type="character" w:customStyle="1" w:styleId="CommentaireCar">
    <w:name w:val="Commentaire Car"/>
    <w:basedOn w:val="Policepardfaut"/>
    <w:link w:val="Commentaire"/>
    <w:uiPriority w:val="99"/>
    <w:semiHidden/>
    <w:rsid w:val="002A591B"/>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2A591B"/>
    <w:rPr>
      <w:b/>
      <w:bCs/>
    </w:rPr>
  </w:style>
  <w:style w:type="character" w:customStyle="1" w:styleId="ObjetducommentaireCar">
    <w:name w:val="Objet du commentaire Car"/>
    <w:basedOn w:val="CommentaireCar"/>
    <w:link w:val="Objetducommentaire"/>
    <w:uiPriority w:val="99"/>
    <w:semiHidden/>
    <w:rsid w:val="002A591B"/>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A591B"/>
    <w:rPr>
      <w:sz w:val="16"/>
      <w:szCs w:val="16"/>
    </w:rPr>
  </w:style>
  <w:style w:type="paragraph" w:styleId="CommentText">
    <w:name w:val="annotation text"/>
    <w:basedOn w:val="Normal"/>
    <w:link w:val="CommentTextChar"/>
    <w:uiPriority w:val="99"/>
    <w:semiHidden/>
    <w:unhideWhenUsed/>
    <w:rsid w:val="002A591B"/>
    <w:pPr>
      <w:spacing w:line="240" w:lineRule="auto"/>
    </w:pPr>
    <w:rPr>
      <w:szCs w:val="20"/>
    </w:rPr>
  </w:style>
  <w:style w:type="character" w:customStyle="1" w:styleId="CommentTextChar">
    <w:name w:val="Comment Text Char"/>
    <w:basedOn w:val="DefaultParagraphFont"/>
    <w:link w:val="CommentText"/>
    <w:uiPriority w:val="99"/>
    <w:semiHidden/>
    <w:rsid w:val="002A591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A591B"/>
    <w:rPr>
      <w:b/>
      <w:bCs/>
    </w:rPr>
  </w:style>
  <w:style w:type="character" w:customStyle="1" w:styleId="CommentSubjectChar">
    <w:name w:val="Comment Subject Char"/>
    <w:basedOn w:val="CommentTextChar"/>
    <w:link w:val="CommentSubject"/>
    <w:uiPriority w:val="99"/>
    <w:semiHidden/>
    <w:rsid w:val="002A591B"/>
    <w:rPr>
      <w:rFonts w:ascii="Times New Roman" w:hAnsi="Times New Roman"/>
      <w:b/>
      <w:bCs/>
      <w:spacing w:val="4"/>
      <w:w w:val="103"/>
      <w:kern w:val="14"/>
      <w:lang w:val="fr-CA"/>
    </w:rPr>
  </w:style>
</w:styles>
</file>

<file path=word/webSettings.xml><?xml version="1.0" encoding="utf-8"?>
<w:webSettings xmlns:r="http://schemas.openxmlformats.org/officeDocument/2006/relationships" xmlns:w="http://schemas.openxmlformats.org/wordprocessingml/2006/main">
  <w:divs>
    <w:div w:id="5402160">
      <w:bodyDiv w:val="1"/>
      <w:marLeft w:val="0"/>
      <w:marRight w:val="0"/>
      <w:marTop w:val="0"/>
      <w:marBottom w:val="0"/>
      <w:divBdr>
        <w:top w:val="none" w:sz="0" w:space="0" w:color="auto"/>
        <w:left w:val="none" w:sz="0" w:space="0" w:color="auto"/>
        <w:bottom w:val="none" w:sz="0" w:space="0" w:color="auto"/>
        <w:right w:val="none" w:sz="0" w:space="0" w:color="auto"/>
      </w:divBdr>
    </w:div>
    <w:div w:id="292298228">
      <w:bodyDiv w:val="1"/>
      <w:marLeft w:val="0"/>
      <w:marRight w:val="0"/>
      <w:marTop w:val="0"/>
      <w:marBottom w:val="0"/>
      <w:divBdr>
        <w:top w:val="none" w:sz="0" w:space="0" w:color="auto"/>
        <w:left w:val="none" w:sz="0" w:space="0" w:color="auto"/>
        <w:bottom w:val="none" w:sz="0" w:space="0" w:color="auto"/>
        <w:right w:val="none" w:sz="0" w:space="0" w:color="auto"/>
      </w:divBdr>
    </w:div>
    <w:div w:id="505874542">
      <w:bodyDiv w:val="1"/>
      <w:marLeft w:val="0"/>
      <w:marRight w:val="0"/>
      <w:marTop w:val="0"/>
      <w:marBottom w:val="0"/>
      <w:divBdr>
        <w:top w:val="none" w:sz="0" w:space="0" w:color="auto"/>
        <w:left w:val="none" w:sz="0" w:space="0" w:color="auto"/>
        <w:bottom w:val="none" w:sz="0" w:space="0" w:color="auto"/>
        <w:right w:val="none" w:sz="0" w:space="0" w:color="auto"/>
      </w:divBdr>
    </w:div>
    <w:div w:id="808398108">
      <w:bodyDiv w:val="1"/>
      <w:marLeft w:val="0"/>
      <w:marRight w:val="0"/>
      <w:marTop w:val="0"/>
      <w:marBottom w:val="0"/>
      <w:divBdr>
        <w:top w:val="none" w:sz="0" w:space="0" w:color="auto"/>
        <w:left w:val="none" w:sz="0" w:space="0" w:color="auto"/>
        <w:bottom w:val="none" w:sz="0" w:space="0" w:color="auto"/>
        <w:right w:val="none" w:sz="0" w:space="0" w:color="auto"/>
      </w:divBdr>
    </w:div>
    <w:div w:id="169896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2D3B9-4EA2-40B3-B795-A51EC04C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Maison</cp:lastModifiedBy>
  <cp:revision>2</cp:revision>
  <cp:lastPrinted>2015-09-22T09:11:00Z</cp:lastPrinted>
  <dcterms:created xsi:type="dcterms:W3CDTF">2015-09-30T12:51:00Z</dcterms:created>
  <dcterms:modified xsi:type="dcterms:W3CDTF">2015-09-30T12:51:00Z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1514560F</vt:lpwstr>
  </property>
  <property fmtid="{D5CDD505-2E9C-101B-9397-08002B2CF9AE}" pid="3" name="ODSRefJobNo">
    <vt:lpwstr>1519432F</vt:lpwstr>
  </property>
  <property fmtid="{D5CDD505-2E9C-101B-9397-08002B2CF9AE}" pid="4" name="Symbol1">
    <vt:lpwstr>ECE/TRANS/WP.15/2015/10</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28 août 2015</vt:lpwstr>
  </property>
  <property fmtid="{D5CDD505-2E9C-101B-9397-08002B2CF9AE}" pid="12" name="Original">
    <vt:lpwstr>anglais</vt:lpwstr>
  </property>
  <property fmtid="{D5CDD505-2E9C-101B-9397-08002B2CF9AE}" pid="13" name="Release Date">
    <vt:lpwstr>220915</vt:lpwstr>
  </property>
</Properties>
</file>