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6A84BA27" w:rsidR="00E52109" w:rsidRDefault="0039370E" w:rsidP="0039370E">
            <w:pPr>
              <w:jc w:val="right"/>
            </w:pPr>
            <w:r w:rsidRPr="00224447">
              <w:rPr>
                <w:b/>
                <w:bCs/>
                <w:sz w:val="40"/>
              </w:rPr>
              <w:t>UN</w:t>
            </w:r>
            <w:r w:rsidRPr="00224447">
              <w:rPr>
                <w:b/>
                <w:bCs/>
                <w:sz w:val="40"/>
                <w:szCs w:val="40"/>
              </w:rPr>
              <w:t>/SCETDG/2024/INF.10</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0458303A"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F90EE7">
        <w:rPr>
          <w:b/>
        </w:rPr>
        <w:t>2</w:t>
      </w:r>
      <w:r w:rsidR="0033310E" w:rsidRPr="00F90EE7">
        <w:rPr>
          <w:b/>
        </w:rPr>
        <w:t xml:space="preserve"> </w:t>
      </w:r>
      <w:r w:rsidR="00F90EE7">
        <w:rPr>
          <w:b/>
        </w:rPr>
        <w:t>Ma</w:t>
      </w:r>
      <w:r w:rsidR="00F90EE7">
        <w:rPr>
          <w:b/>
          <w:lang w:val="es-ES"/>
        </w:rPr>
        <w:t>y</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1513BFD5" w:rsidR="0039370E" w:rsidRPr="006500BA" w:rsidRDefault="0039370E" w:rsidP="004858F5">
      <w:r w:rsidRPr="006500BA">
        <w:t xml:space="preserve">Geneva, </w:t>
      </w:r>
      <w:r w:rsidR="002E76EA">
        <w:t>3-5 July 2024</w:t>
      </w:r>
      <w:r>
        <w:t xml:space="preserve"> </w:t>
      </w:r>
    </w:p>
    <w:p w14:paraId="0F4878BA" w14:textId="0EF12D5F" w:rsidR="0039370E" w:rsidRPr="006500BA" w:rsidRDefault="0039370E" w:rsidP="004858F5">
      <w:r w:rsidRPr="006500BA">
        <w:t xml:space="preserve">Item </w:t>
      </w:r>
      <w:r w:rsidR="00B55DFE">
        <w:t>4 (c)</w:t>
      </w:r>
      <w:r w:rsidRPr="006500BA">
        <w:t xml:space="preserve"> of the provisional agenda</w:t>
      </w:r>
    </w:p>
    <w:p w14:paraId="7AB37807" w14:textId="7459CBF6" w:rsidR="00AF5DE1" w:rsidRDefault="008923C4" w:rsidP="004858F5">
      <w:pPr>
        <w:rPr>
          <w:b/>
          <w:bCs/>
        </w:rPr>
      </w:pPr>
      <w:r w:rsidRPr="009B6DE9">
        <w:rPr>
          <w:b/>
          <w:bCs/>
        </w:rPr>
        <w:t>Electric storage systems</w:t>
      </w:r>
      <w:r>
        <w:rPr>
          <w:b/>
          <w:bCs/>
        </w:rPr>
        <w:t>:</w:t>
      </w:r>
      <w:r>
        <w:rPr>
          <w:b/>
          <w:bCs/>
        </w:rPr>
        <w:br/>
        <w:t>Transport provisions</w:t>
      </w:r>
    </w:p>
    <w:p w14:paraId="31A7DD84" w14:textId="70B60923" w:rsidR="00CF5A5B" w:rsidRPr="00333973" w:rsidRDefault="00CC7758" w:rsidP="00CF5A5B">
      <w:pPr>
        <w:pStyle w:val="HChG"/>
        <w:rPr>
          <w:lang w:val="en-US"/>
        </w:rPr>
      </w:pPr>
      <w:r>
        <w:tab/>
      </w:r>
      <w:r>
        <w:tab/>
      </w:r>
      <w:r w:rsidR="00CF5A5B" w:rsidRPr="00333973">
        <w:rPr>
          <w:lang w:val="en-US"/>
        </w:rPr>
        <w:t xml:space="preserve">Communication of surrounding conditions </w:t>
      </w:r>
      <w:r w:rsidR="00CF5A5B">
        <w:rPr>
          <w:lang w:val="en-US"/>
        </w:rPr>
        <w:t xml:space="preserve">in accordance with </w:t>
      </w:r>
      <w:r w:rsidR="001E4972" w:rsidRPr="008C541F">
        <w:t>packing instruction</w:t>
      </w:r>
      <w:r w:rsidR="00EE5FFB">
        <w:t>s</w:t>
      </w:r>
      <w:r w:rsidR="001E4972" w:rsidRPr="008C541F">
        <w:t xml:space="preserve"> </w:t>
      </w:r>
      <w:r w:rsidR="00CF5A5B">
        <w:rPr>
          <w:lang w:val="en-US"/>
        </w:rPr>
        <w:t>P911 and LP906</w:t>
      </w:r>
    </w:p>
    <w:p w14:paraId="0FE9EBEB" w14:textId="6B04A5C4" w:rsidR="00CF5A5B" w:rsidRDefault="00CF5A5B" w:rsidP="00CF5A5B">
      <w:pPr>
        <w:pStyle w:val="H1G"/>
      </w:pPr>
      <w:r>
        <w:tab/>
      </w:r>
      <w:r>
        <w:tab/>
        <w:t xml:space="preserve">Transmitted by the </w:t>
      </w:r>
      <w:r w:rsidR="00785B39">
        <w:t>e</w:t>
      </w:r>
      <w:r w:rsidRPr="00CF5A5B">
        <w:t>xpert</w:t>
      </w:r>
      <w:r>
        <w:t xml:space="preserve"> from Belgium</w:t>
      </w:r>
    </w:p>
    <w:p w14:paraId="1C0C5D7B" w14:textId="5F1A7A3E" w:rsidR="00CF5A5B" w:rsidRPr="0063591F" w:rsidRDefault="00CF5A5B" w:rsidP="00CF5A5B">
      <w:pPr>
        <w:pStyle w:val="HChG"/>
        <w:rPr>
          <w:rFonts w:eastAsia="Calibri"/>
        </w:rPr>
      </w:pPr>
      <w:r>
        <w:tab/>
        <w:t>I.</w:t>
      </w:r>
      <w:r>
        <w:tab/>
      </w:r>
      <w:r w:rsidRPr="0063591F">
        <w:t>Introduction</w:t>
      </w:r>
    </w:p>
    <w:p w14:paraId="216AF99F" w14:textId="77777777" w:rsidR="00CF5A5B" w:rsidRPr="0063591F" w:rsidRDefault="00CF5A5B" w:rsidP="00CF5A5B">
      <w:pPr>
        <w:pStyle w:val="SingleTxtG"/>
      </w:pPr>
      <w:r>
        <w:t>1.</w:t>
      </w:r>
      <w:r>
        <w:tab/>
      </w:r>
      <w:r w:rsidRPr="008C541F">
        <w:t xml:space="preserve">Special provision 376 in chapter 3.3 of the </w:t>
      </w:r>
      <w:r w:rsidRPr="00ED744F">
        <w:rPr>
          <w:i/>
          <w:iCs/>
        </w:rPr>
        <w:t>Model Regulations on the Transport of Dangerous Goods</w:t>
      </w:r>
      <w:r w:rsidRPr="008C541F">
        <w:t xml:space="preserve"> requires that “cells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 or LP906 of 4.1.4.3”.</w:t>
      </w:r>
    </w:p>
    <w:p w14:paraId="1FF71C9C" w14:textId="2C584398" w:rsidR="00CF5A5B" w:rsidRDefault="00CF5A5B" w:rsidP="00CF5A5B">
      <w:pPr>
        <w:pStyle w:val="SingleTxtG"/>
      </w:pPr>
      <w:r>
        <w:t>2.</w:t>
      </w:r>
      <w:r>
        <w:tab/>
      </w:r>
      <w:r w:rsidRPr="008C541F">
        <w:t xml:space="preserve">Paragraph </w:t>
      </w:r>
      <w:r w:rsidR="00074A36">
        <w:t>(</w:t>
      </w:r>
      <w:r w:rsidRPr="008C541F">
        <w:t xml:space="preserve">2) of those packing instructions require that the additional packaging </w:t>
      </w:r>
      <w:r w:rsidR="00EF1ECC">
        <w:t xml:space="preserve">performance </w:t>
      </w:r>
      <w:r w:rsidRPr="008C541F">
        <w:t xml:space="preserve">requirements are verified </w:t>
      </w:r>
      <w:r w:rsidRPr="00CF5A5B">
        <w:t>according</w:t>
      </w:r>
      <w:r w:rsidRPr="008C541F">
        <w:t xml:space="preserve"> to a test specified by the competent authority. Criteria that can be used to assess the performance of the packages are listed in note </w:t>
      </w:r>
      <w:r w:rsidRPr="008C541F">
        <w:rPr>
          <w:vertAlign w:val="superscript"/>
        </w:rPr>
        <w:t>a</w:t>
      </w:r>
      <w:r w:rsidRPr="008C541F">
        <w:t xml:space="preserve"> to both packing instructions. Point </w:t>
      </w:r>
      <w:r w:rsidR="00D77868">
        <w:t>(</w:t>
      </w:r>
      <w:r w:rsidRPr="008C541F">
        <w:t>f) of this note mentions “surrounding conditions in which the packaging may be used and carried (including possible consequences of gas or smoke emissions on the environment, such as ventilation or other methods) according to the gas management system of the packaging”.</w:t>
      </w:r>
    </w:p>
    <w:p w14:paraId="661149F6" w14:textId="2EFDEAFF" w:rsidR="00CF5A5B" w:rsidRPr="00BA6B67" w:rsidRDefault="00CF5A5B" w:rsidP="00CF5A5B">
      <w:pPr>
        <w:pStyle w:val="SingleTxtG"/>
        <w:spacing w:after="60"/>
      </w:pPr>
      <w:r>
        <w:t>3.</w:t>
      </w:r>
      <w:r>
        <w:tab/>
        <w:t xml:space="preserve">As already referred to </w:t>
      </w:r>
      <w:r w:rsidR="00876F04">
        <w:t xml:space="preserve">informal </w:t>
      </w:r>
      <w:r w:rsidRPr="00876F04">
        <w:t>document INF.9</w:t>
      </w:r>
      <w:r w:rsidR="00036051" w:rsidRPr="001B09B1">
        <w:rPr>
          <w:rStyle w:val="FootnoteReference"/>
          <w:color w:val="000000" w:themeColor="text1"/>
        </w:rPr>
        <w:footnoteReference w:id="2"/>
      </w:r>
      <w:r>
        <w:t xml:space="preserve"> from the </w:t>
      </w:r>
      <w:r w:rsidR="00AF1608">
        <w:t>sixty-second</w:t>
      </w:r>
      <w:r>
        <w:t xml:space="preserve"> session of </w:t>
      </w:r>
      <w:r w:rsidR="00CF638E">
        <w:t xml:space="preserve">the </w:t>
      </w:r>
      <w:r>
        <w:t>Sub</w:t>
      </w:r>
      <w:r w:rsidR="00365509">
        <w:noBreakHyphen/>
      </w:r>
      <w:r>
        <w:t xml:space="preserve">Committee, </w:t>
      </w:r>
      <w:r w:rsidRPr="00BA6B67">
        <w:t xml:space="preserve">Belgium has come across </w:t>
      </w:r>
      <w:proofErr w:type="spellStart"/>
      <w:r w:rsidRPr="00BA6B67">
        <w:t>packagings</w:t>
      </w:r>
      <w:proofErr w:type="spellEnd"/>
      <w:r w:rsidRPr="00BA6B67">
        <w:t xml:space="preserve"> approved in accordance with packing instruction P911 for which the following conditions of use and carriage were imposed by the competent authority that approved the packaging:</w:t>
      </w:r>
    </w:p>
    <w:p w14:paraId="404F5289" w14:textId="76E6637A" w:rsidR="00CF5A5B" w:rsidRPr="00BA6B67" w:rsidRDefault="00CF5A5B" w:rsidP="00365509">
      <w:pPr>
        <w:pStyle w:val="Bullet1G"/>
      </w:pPr>
      <w:r w:rsidRPr="00BA6B67">
        <w:t>Free space around the packaging is required to protect the materials next to it from the external temperature of the packaging (100 °C).</w:t>
      </w:r>
    </w:p>
    <w:p w14:paraId="3E1E2863" w14:textId="2E9860B6" w:rsidR="00CF5A5B" w:rsidRPr="00BA6B67" w:rsidRDefault="00CF5A5B" w:rsidP="00D41E65">
      <w:pPr>
        <w:pStyle w:val="Bullet1G"/>
      </w:pPr>
      <w:r w:rsidRPr="00BA6B67">
        <w:t>Packages must be placed in an easily accessible place.</w:t>
      </w:r>
    </w:p>
    <w:p w14:paraId="260036E8" w14:textId="7A83C3C8" w:rsidR="00CF5A5B" w:rsidRDefault="00CF5A5B" w:rsidP="00D41E65">
      <w:pPr>
        <w:pStyle w:val="Bullet1G"/>
      </w:pPr>
      <w:r w:rsidRPr="00BA6B67">
        <w:t>Carriage in a means of transport with sufficient ventilation to allow smoke and any toxic, flammable or asphyxiating components to escape.</w:t>
      </w:r>
    </w:p>
    <w:p w14:paraId="71472D0F" w14:textId="255627A5" w:rsidR="00CF5A5B" w:rsidRPr="0063591F" w:rsidRDefault="00AA3FA0" w:rsidP="00CF5A5B">
      <w:pPr>
        <w:pStyle w:val="SingleTxtG"/>
      </w:pPr>
      <w:r>
        <w:tab/>
      </w:r>
      <w:r w:rsidR="00CF5A5B" w:rsidRPr="00697FE5">
        <w:t>Depending on the characteristics of the packaging, other conditions (e.g. stowage and segregations conditions or cooling requirements) may need to be applied also.</w:t>
      </w:r>
    </w:p>
    <w:p w14:paraId="3EFD8044" w14:textId="77777777" w:rsidR="00CF5A5B" w:rsidRDefault="00CF5A5B" w:rsidP="00CF5A5B">
      <w:pPr>
        <w:pStyle w:val="SingleTxtG"/>
      </w:pPr>
      <w:r w:rsidRPr="0075003D">
        <w:rPr>
          <w:lang w:val="en-US"/>
        </w:rPr>
        <w:t>4</w:t>
      </w:r>
      <w:r>
        <w:t>.</w:t>
      </w:r>
      <w:r>
        <w:tab/>
      </w:r>
      <w:r w:rsidRPr="008C541F">
        <w:t xml:space="preserve">However, packing instructions P911 and LP906 do not stipulate or indicate how these </w:t>
      </w:r>
      <w:bookmarkStart w:id="0" w:name="_Hlk152749806"/>
      <w:r w:rsidRPr="008C541F">
        <w:t xml:space="preserve">surrounding conditions of use and carriage </w:t>
      </w:r>
      <w:bookmarkEnd w:id="0"/>
      <w:r w:rsidRPr="008C541F">
        <w:t>are to be communicated to the parties involved during transport. In Belgium’s view, there is a significant risk that the parties involved in the transport operation will not be aware of these conditions</w:t>
      </w:r>
      <w:r>
        <w:t>. As such, these packages may be transported in suboptimal conditions which increases the risk of a serious incident happening when the batteries contained go into thermal runway.</w:t>
      </w:r>
    </w:p>
    <w:p w14:paraId="1E2E8753" w14:textId="168FEE9C" w:rsidR="00CF5A5B" w:rsidRDefault="00CF5A5B" w:rsidP="00CF5A5B">
      <w:pPr>
        <w:pStyle w:val="SingleTxtG"/>
      </w:pPr>
      <w:r>
        <w:rPr>
          <w:lang w:val="en-US"/>
        </w:rPr>
        <w:t>5.</w:t>
      </w:r>
      <w:r>
        <w:tab/>
      </w:r>
      <w:r w:rsidRPr="00650B94">
        <w:t xml:space="preserve">To ensure that the parties involved in the transport operation are properly informed of the surrounding conditions in which the packaging is to be used and carried, Belgium </w:t>
      </w:r>
      <w:r w:rsidRPr="00650B94">
        <w:lastRenderedPageBreak/>
        <w:t xml:space="preserve">proposed in informal document </w:t>
      </w:r>
      <w:r w:rsidRPr="00883E68">
        <w:t>INF.8</w:t>
      </w:r>
      <w:r w:rsidR="00876F04" w:rsidRPr="00883E68">
        <w:rPr>
          <w:rStyle w:val="FootnoteReference"/>
        </w:rPr>
        <w:footnoteReference w:id="3"/>
      </w:r>
      <w:r w:rsidRPr="00650B94">
        <w:rPr>
          <w:rStyle w:val="Hyperlink"/>
        </w:rPr>
        <w:t xml:space="preserve"> </w:t>
      </w:r>
      <w:r w:rsidRPr="00650B94">
        <w:t>at the Joint Meeting in September 2023 that the carriage of critically damaged lithium cells and batteries should require authorisation from the competent authorities involved in the transport operation, at least for carriage by rail and inland waterways. This way, the competent authority could ensure that all parties are made aware of the applicable surrounding conditions of use and carriage.</w:t>
      </w:r>
    </w:p>
    <w:p w14:paraId="7A0A2DBA" w14:textId="14C404A3" w:rsidR="00CF5A5B" w:rsidRPr="00650B94" w:rsidRDefault="00CF5A5B" w:rsidP="00CF5A5B">
      <w:pPr>
        <w:pStyle w:val="SingleTxtG"/>
        <w:rPr>
          <w:lang w:val="en-US"/>
        </w:rPr>
      </w:pPr>
      <w:r>
        <w:rPr>
          <w:lang w:val="en-US"/>
        </w:rPr>
        <w:t>6</w:t>
      </w:r>
      <w:r w:rsidRPr="00650B94">
        <w:rPr>
          <w:lang w:val="en-US"/>
        </w:rPr>
        <w:t>.</w:t>
      </w:r>
      <w:r>
        <w:rPr>
          <w:lang w:val="en-US"/>
        </w:rPr>
        <w:tab/>
      </w:r>
      <w:r w:rsidRPr="00650B94">
        <w:t xml:space="preserve">The Joint Meeting did not support this proposal but supported the idea to introduce a new special provision specifying that the consignor must inform the loader and the carrier of the surrounding conditions in which the packaging must be used and carried in accordance with packing instruction P911 or LP906 (see </w:t>
      </w:r>
      <w:r w:rsidR="00C544C4">
        <w:t>i</w:t>
      </w:r>
      <w:r w:rsidRPr="00650B94">
        <w:t xml:space="preserve">nformal document </w:t>
      </w:r>
      <w:r w:rsidRPr="00AD141E">
        <w:t>INF.44</w:t>
      </w:r>
      <w:r w:rsidR="00011DAD" w:rsidRPr="00AD141E">
        <w:rPr>
          <w:rStyle w:val="FootnoteReference"/>
        </w:rPr>
        <w:footnoteReference w:id="4"/>
      </w:r>
      <w:r w:rsidRPr="00650B94">
        <w:rPr>
          <w:rStyle w:val="Hyperlink"/>
        </w:rPr>
        <w:t xml:space="preserve"> </w:t>
      </w:r>
      <w:r w:rsidRPr="00650B94">
        <w:t>from the RID/ADR/ADN Joint Meeting in September 2023</w:t>
      </w:r>
      <w:r>
        <w:t>)</w:t>
      </w:r>
      <w:r w:rsidRPr="00650B94">
        <w:t>.</w:t>
      </w:r>
    </w:p>
    <w:p w14:paraId="738929B6" w14:textId="5E2CF999" w:rsidR="00CF5A5B" w:rsidRDefault="00CF5A5B" w:rsidP="00CF5A5B">
      <w:pPr>
        <w:pStyle w:val="SingleTxtG"/>
      </w:pPr>
      <w:r w:rsidRPr="008C3A3D">
        <w:rPr>
          <w:lang w:val="en-US"/>
        </w:rPr>
        <w:t>7</w:t>
      </w:r>
      <w:r>
        <w:t>.</w:t>
      </w:r>
      <w:r>
        <w:tab/>
      </w:r>
      <w:r w:rsidRPr="00650B94">
        <w:t xml:space="preserve">At the RID/ADR/ADN Joint Meeting in March 2024, Belgium </w:t>
      </w:r>
      <w:r w:rsidR="009502AA">
        <w:t>proposed</w:t>
      </w:r>
      <w:r>
        <w:t xml:space="preserve"> </w:t>
      </w:r>
      <w:r w:rsidRPr="00650B94">
        <w:t xml:space="preserve">in document </w:t>
      </w:r>
      <w:r w:rsidRPr="00446BBE">
        <w:t>ECE/TRANS/WP.15/AC.1/2024/27</w:t>
      </w:r>
      <w:r w:rsidR="00AD141E" w:rsidRPr="00446BBE">
        <w:rPr>
          <w:rStyle w:val="FootnoteReference"/>
        </w:rPr>
        <w:footnoteReference w:id="5"/>
      </w:r>
      <w:r>
        <w:rPr>
          <w:rStyle w:val="Hyperlink"/>
        </w:rPr>
        <w:t xml:space="preserve"> </w:t>
      </w:r>
      <w:r w:rsidRPr="00C45ABA">
        <w:t>to introduce a new special provision assigned</w:t>
      </w:r>
      <w:r w:rsidRPr="00446BBE">
        <w:t xml:space="preserve"> to</w:t>
      </w:r>
      <w:r>
        <w:rPr>
          <w:rStyle w:val="Hyperlink"/>
        </w:rPr>
        <w:t xml:space="preserve"> </w:t>
      </w:r>
      <w:r w:rsidRPr="00650B94">
        <w:t>UN Nos. 3090, 3091, 3480 and 3481</w:t>
      </w:r>
      <w:r>
        <w:t>. This new special provision required that the loader and carrier were informed by the consigner of the applicable surrounding conditions of the packaging in addition to contact details to provide technical assistance if necessary.</w:t>
      </w:r>
    </w:p>
    <w:p w14:paraId="70120FBE" w14:textId="7E704EED" w:rsidR="00CF5A5B" w:rsidRPr="00650B94" w:rsidRDefault="00CF5A5B" w:rsidP="00CF5A5B">
      <w:pPr>
        <w:pStyle w:val="SingleTxtG"/>
        <w:spacing w:after="60"/>
      </w:pPr>
      <w:r>
        <w:t>8.</w:t>
      </w:r>
      <w:r>
        <w:tab/>
        <w:t xml:space="preserve">After discussion during that session, most delegates supported the addition of a new special provision assigned to </w:t>
      </w:r>
      <w:r w:rsidRPr="007116C4">
        <w:t>UN Nos. 3090, 3091, 3480 and 3481</w:t>
      </w:r>
      <w:r>
        <w:t xml:space="preserve"> (see </w:t>
      </w:r>
      <w:r w:rsidR="003D2EA4" w:rsidRPr="00650B94">
        <w:t>informal document</w:t>
      </w:r>
      <w:r w:rsidR="00E14B48">
        <w:t> </w:t>
      </w:r>
      <w:r w:rsidRPr="00EE699E">
        <w:t>INF</w:t>
      </w:r>
      <w:r w:rsidR="003D2EA4">
        <w:t>.</w:t>
      </w:r>
      <w:r w:rsidRPr="00EE699E">
        <w:t>28</w:t>
      </w:r>
      <w:r>
        <w:t>)</w:t>
      </w:r>
      <w:r w:rsidR="00E26C01">
        <w:rPr>
          <w:rStyle w:val="FootnoteReference"/>
        </w:rPr>
        <w:footnoteReference w:id="6"/>
      </w:r>
      <w:r w:rsidR="003070C4">
        <w:t>:</w:t>
      </w:r>
    </w:p>
    <w:p w14:paraId="7FF2EA20" w14:textId="55D9012E" w:rsidR="00CF5A5B" w:rsidRPr="00650B94" w:rsidRDefault="00FD7048" w:rsidP="002E3CFB">
      <w:pPr>
        <w:pStyle w:val="SingleTxtG"/>
        <w:ind w:left="1701"/>
      </w:pPr>
      <w:r>
        <w:rPr>
          <w:i/>
          <w:iCs/>
        </w:rPr>
        <w:t>“</w:t>
      </w:r>
      <w:r w:rsidR="00CF5A5B" w:rsidRPr="00650B94">
        <w:rPr>
          <w:i/>
          <w:iCs/>
        </w:rPr>
        <w:t xml:space="preserve">XXX When the packaging has been designed to be used and carried under the conditions referred to in </w:t>
      </w:r>
      <w:r w:rsidR="00F66365">
        <w:rPr>
          <w:i/>
          <w:iCs/>
        </w:rPr>
        <w:t>(</w:t>
      </w:r>
      <w:r w:rsidR="00CF5A5B" w:rsidRPr="00650B94">
        <w:rPr>
          <w:i/>
          <w:iCs/>
        </w:rPr>
        <w:t>f) of packing instructions P911 and LP906, the consignor shall provide the loader and the carrier with the appropriate instructions.</w:t>
      </w:r>
      <w:r>
        <w:rPr>
          <w:i/>
          <w:iCs/>
        </w:rPr>
        <w:t>”</w:t>
      </w:r>
    </w:p>
    <w:p w14:paraId="250CC271" w14:textId="3590CCF7" w:rsidR="00CF5A5B" w:rsidRPr="00650B94" w:rsidRDefault="00CF5A5B" w:rsidP="00CF5A5B">
      <w:pPr>
        <w:pStyle w:val="SingleTxtG"/>
      </w:pPr>
      <w:r>
        <w:t>9</w:t>
      </w:r>
      <w:r w:rsidRPr="00650B94">
        <w:t>.</w:t>
      </w:r>
      <w:r w:rsidRPr="00650B94">
        <w:tab/>
      </w:r>
      <w:r>
        <w:t>Nevertheless</w:t>
      </w:r>
      <w:r w:rsidRPr="00650B94">
        <w:t xml:space="preserve">, </w:t>
      </w:r>
      <w:proofErr w:type="spellStart"/>
      <w:r w:rsidRPr="00650B94">
        <w:t>packagings</w:t>
      </w:r>
      <w:proofErr w:type="spellEnd"/>
      <w:r w:rsidRPr="00650B94">
        <w:t xml:space="preserve"> according to </w:t>
      </w:r>
      <w:r w:rsidR="004B10E7" w:rsidRPr="004B10E7">
        <w:t xml:space="preserve">packing instructions </w:t>
      </w:r>
      <w:r w:rsidRPr="00650B94">
        <w:t xml:space="preserve">P911 and LP906 can also be transported by sea and since application of suitable transport conditions is also important for maritime </w:t>
      </w:r>
      <w:r>
        <w:t>transport</w:t>
      </w:r>
      <w:r w:rsidRPr="00650B94">
        <w:t xml:space="preserve">, it was suggested to bring forward </w:t>
      </w:r>
      <w:r>
        <w:t>a</w:t>
      </w:r>
      <w:r w:rsidRPr="00650B94">
        <w:t xml:space="preserve"> proposal to th</w:t>
      </w:r>
      <w:r w:rsidR="006B75AD">
        <w:t>e</w:t>
      </w:r>
      <w:r w:rsidRPr="00650B94">
        <w:t xml:space="preserve"> </w:t>
      </w:r>
      <w:r>
        <w:t>S</w:t>
      </w:r>
      <w:r w:rsidRPr="00650B94">
        <w:t>ub-</w:t>
      </w:r>
      <w:r>
        <w:t>C</w:t>
      </w:r>
      <w:r w:rsidRPr="00650B94">
        <w:t>ommittee.</w:t>
      </w:r>
    </w:p>
    <w:p w14:paraId="758C236B" w14:textId="393B4CE7" w:rsidR="00CF5A5B" w:rsidRDefault="00CF5A5B" w:rsidP="00CF5A5B">
      <w:pPr>
        <w:pStyle w:val="SingleTxtG"/>
        <w:rPr>
          <w:lang w:val="en-US"/>
        </w:rPr>
      </w:pPr>
      <w:r>
        <w:rPr>
          <w:lang w:val="en-US"/>
        </w:rPr>
        <w:t>10</w:t>
      </w:r>
      <w:r>
        <w:t>.</w:t>
      </w:r>
      <w:r>
        <w:tab/>
      </w:r>
      <w:r w:rsidRPr="00C17D21">
        <w:rPr>
          <w:lang w:val="en-US"/>
        </w:rPr>
        <w:t>Si</w:t>
      </w:r>
      <w:r>
        <w:rPr>
          <w:lang w:val="en-US"/>
        </w:rPr>
        <w:t>nce the Sub-Committee is the decisive body for the drafting of special provision</w:t>
      </w:r>
      <w:r w:rsidR="00E14B48">
        <w:rPr>
          <w:lang w:val="en-US"/>
        </w:rPr>
        <w:t> </w:t>
      </w:r>
      <w:r>
        <w:rPr>
          <w:lang w:val="en-US"/>
        </w:rPr>
        <w:t xml:space="preserve">376, it is proposed to amend </w:t>
      </w:r>
      <w:r w:rsidR="003D6064">
        <w:rPr>
          <w:lang w:val="en-US"/>
        </w:rPr>
        <w:t>it</w:t>
      </w:r>
      <w:r w:rsidR="00E51935">
        <w:rPr>
          <w:lang w:val="en-US"/>
        </w:rPr>
        <w:t>s current wording as it</w:t>
      </w:r>
      <w:r>
        <w:rPr>
          <w:lang w:val="en-US"/>
        </w:rPr>
        <w:t xml:space="preserve"> is already assigned to the entries for lithium</w:t>
      </w:r>
      <w:r w:rsidR="00DB52EE">
        <w:rPr>
          <w:lang w:val="en-US"/>
        </w:rPr>
        <w:t xml:space="preserve"> </w:t>
      </w:r>
      <w:r>
        <w:rPr>
          <w:lang w:val="en-US"/>
        </w:rPr>
        <w:t>batteries</w:t>
      </w:r>
      <w:r w:rsidR="00A945EB">
        <w:rPr>
          <w:lang w:val="en-US"/>
        </w:rPr>
        <w:t>,</w:t>
      </w:r>
      <w:r>
        <w:rPr>
          <w:lang w:val="en-US"/>
        </w:rPr>
        <w:t xml:space="preserve"> instead of introducing a new special provision.</w:t>
      </w:r>
    </w:p>
    <w:p w14:paraId="1C37ACD2" w14:textId="375B7896" w:rsidR="00CF5A5B" w:rsidRDefault="00CF5A5B" w:rsidP="00CF5A5B">
      <w:pPr>
        <w:pStyle w:val="SingleTxtG"/>
        <w:rPr>
          <w:lang w:val="en-US"/>
        </w:rPr>
      </w:pPr>
      <w:r w:rsidRPr="00686763">
        <w:rPr>
          <w:lang w:val="en-US"/>
        </w:rPr>
        <w:t>11.</w:t>
      </w:r>
      <w:r w:rsidR="00C96282">
        <w:rPr>
          <w:lang w:val="en-US"/>
        </w:rPr>
        <w:tab/>
      </w:r>
      <w:r w:rsidRPr="00686763">
        <w:rPr>
          <w:lang w:val="en-US"/>
        </w:rPr>
        <w:t>Additionally, during the drafting of this document, it was remarked that more specification</w:t>
      </w:r>
      <w:r w:rsidR="00A945EB">
        <w:rPr>
          <w:lang w:val="en-US"/>
        </w:rPr>
        <w:t>s</w:t>
      </w:r>
      <w:r w:rsidRPr="00686763">
        <w:rPr>
          <w:lang w:val="en-US"/>
        </w:rPr>
        <w:t xml:space="preserve"> might be needed on how these conditions need to be communicated. Belgium believes that a copy of the usage instructions must accompany the transport. Therefore, this document also contains a proposal for such a requirement.</w:t>
      </w:r>
    </w:p>
    <w:p w14:paraId="31EC23A5" w14:textId="7CBF7CD0" w:rsidR="00CF5A5B" w:rsidRDefault="00CF5A5B" w:rsidP="00CF5A5B">
      <w:pPr>
        <w:pStyle w:val="HChG"/>
      </w:pPr>
      <w:r>
        <w:rPr>
          <w:lang w:val="en-US"/>
        </w:rPr>
        <w:br w:type="page"/>
      </w:r>
      <w:r>
        <w:lastRenderedPageBreak/>
        <w:tab/>
        <w:t>II.</w:t>
      </w:r>
      <w:r>
        <w:tab/>
      </w:r>
      <w:r w:rsidRPr="00DC6F94">
        <w:t>Proposal</w:t>
      </w:r>
      <w:r>
        <w:t>s</w:t>
      </w:r>
    </w:p>
    <w:p w14:paraId="4B202DC8" w14:textId="77777777" w:rsidR="00CF5A5B" w:rsidRPr="002B1BC2" w:rsidRDefault="00CF5A5B" w:rsidP="00CF5A5B">
      <w:pPr>
        <w:pStyle w:val="H1G"/>
      </w:pPr>
      <w:r w:rsidRPr="002B1BC2">
        <w:tab/>
      </w:r>
      <w:r w:rsidRPr="002B1BC2">
        <w:tab/>
        <w:t>Option 1</w:t>
      </w:r>
    </w:p>
    <w:p w14:paraId="2C893E61" w14:textId="77777777" w:rsidR="00CF5A5B" w:rsidRDefault="00CF5A5B" w:rsidP="00CF5A5B">
      <w:pPr>
        <w:pStyle w:val="H23G"/>
      </w:pPr>
      <w:r>
        <w:tab/>
      </w:r>
      <w:r>
        <w:tab/>
      </w:r>
      <w:r w:rsidRPr="008A0C95">
        <w:t>Proposal 1</w:t>
      </w:r>
    </w:p>
    <w:p w14:paraId="0EB5B30A" w14:textId="33021315" w:rsidR="00CF5A5B" w:rsidRPr="00DC6F94" w:rsidRDefault="00CF5A5B" w:rsidP="00CF5A5B">
      <w:pPr>
        <w:pStyle w:val="SingleTxtG"/>
      </w:pPr>
      <w:r>
        <w:t>12</w:t>
      </w:r>
      <w:r w:rsidRPr="00DC6F94">
        <w:t>.</w:t>
      </w:r>
      <w:r w:rsidRPr="00DC6F94">
        <w:tab/>
        <w:t xml:space="preserve">In </w:t>
      </w:r>
      <w:r w:rsidRPr="00CF5A5B">
        <w:t>Chapter</w:t>
      </w:r>
      <w:r w:rsidRPr="00DC6F94">
        <w:t xml:space="preserve"> 3.3, </w:t>
      </w:r>
      <w:r w:rsidR="008D51A7">
        <w:t>amend</w:t>
      </w:r>
      <w:r w:rsidRPr="00DC6F94">
        <w:t xml:space="preserve"> the fifth paragraph of special provision 376 as follows (</w:t>
      </w:r>
      <w:r w:rsidRPr="00442657">
        <w:rPr>
          <w:u w:val="single"/>
        </w:rPr>
        <w:t>new text is underlined</w:t>
      </w:r>
      <w:r w:rsidRPr="00DC6F94">
        <w:t>):</w:t>
      </w:r>
    </w:p>
    <w:p w14:paraId="6BA2402D" w14:textId="53721F76" w:rsidR="00CF5A5B" w:rsidRDefault="00CF5A5B" w:rsidP="00AA74D9">
      <w:pPr>
        <w:pStyle w:val="SingleTxtG"/>
        <w:ind w:left="1701"/>
      </w:pPr>
      <w:r w:rsidRPr="00DC6F94">
        <w:rPr>
          <w:bCs/>
        </w:rPr>
        <w:t xml:space="preserve">“Cells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 or LP906 of 4.1.4.3, as applicable. </w:t>
      </w:r>
      <w:r w:rsidRPr="00DC6F94">
        <w:rPr>
          <w:bCs/>
          <w:u w:val="single"/>
        </w:rPr>
        <w:t xml:space="preserve">When the packaging has been designed to be used and carried under the conditions referred to in </w:t>
      </w:r>
      <w:r w:rsidR="00595C55">
        <w:rPr>
          <w:bCs/>
          <w:u w:val="single"/>
        </w:rPr>
        <w:t>(</w:t>
      </w:r>
      <w:r w:rsidRPr="00DC6F94">
        <w:rPr>
          <w:bCs/>
          <w:u w:val="single"/>
        </w:rPr>
        <w:t>f) of packing instructions P911 and LP906, the consignor shall provide the loader and the carrier with the appropriate instructions</w:t>
      </w:r>
      <w:r w:rsidRPr="00ED744F">
        <w:rPr>
          <w:bCs/>
        </w:rPr>
        <w:t xml:space="preserve">. </w:t>
      </w:r>
      <w:r w:rsidRPr="00DC6F94">
        <w:t>Alternative packing and/or carriage conditions may be authorized by the competent authority.</w:t>
      </w:r>
      <w:r w:rsidR="00BA2C79">
        <w:t>”</w:t>
      </w:r>
    </w:p>
    <w:p w14:paraId="68465A13" w14:textId="4D6A0F8A" w:rsidR="00CF5A5B" w:rsidRDefault="00CF5A5B" w:rsidP="00CF5A5B">
      <w:pPr>
        <w:pStyle w:val="H23G"/>
      </w:pPr>
      <w:r>
        <w:tab/>
      </w:r>
      <w:r>
        <w:tab/>
      </w:r>
      <w:r w:rsidRPr="008A0C95">
        <w:t xml:space="preserve">Proposal </w:t>
      </w:r>
      <w:r>
        <w:t>2</w:t>
      </w:r>
    </w:p>
    <w:p w14:paraId="3DD19256" w14:textId="71A2EC4F" w:rsidR="00CF5A5B" w:rsidRPr="004C6E7B" w:rsidRDefault="00CF5A5B" w:rsidP="00CF5A5B">
      <w:pPr>
        <w:pStyle w:val="SingleTxtG"/>
      </w:pPr>
      <w:r w:rsidRPr="004C6E7B">
        <w:t>13.</w:t>
      </w:r>
      <w:r w:rsidRPr="004C6E7B">
        <w:tab/>
        <w:t xml:space="preserve">In Chapter 3.3, </w:t>
      </w:r>
      <w:r w:rsidR="008D51A7">
        <w:t>amend</w:t>
      </w:r>
      <w:r w:rsidRPr="004C6E7B">
        <w:t xml:space="preserve"> the last paragraph of special provision 376 </w:t>
      </w:r>
      <w:r w:rsidR="007139BD">
        <w:t>as follows</w:t>
      </w:r>
      <w:r w:rsidR="007139BD" w:rsidRPr="004C6E7B">
        <w:t xml:space="preserve"> </w:t>
      </w:r>
      <w:r w:rsidRPr="004C6E7B">
        <w:t>(</w:t>
      </w:r>
      <w:r w:rsidRPr="004C6E7B">
        <w:rPr>
          <w:u w:val="single"/>
        </w:rPr>
        <w:t>new text is underlined</w:t>
      </w:r>
      <w:r w:rsidRPr="004C6E7B">
        <w:t>):</w:t>
      </w:r>
    </w:p>
    <w:p w14:paraId="2BE7CCA1" w14:textId="2B7D37EB" w:rsidR="00CF5A5B" w:rsidRDefault="008D51A7" w:rsidP="00ED744F">
      <w:pPr>
        <w:pStyle w:val="SingleTxtG"/>
        <w:ind w:left="1701"/>
      </w:pPr>
      <w:r>
        <w:t>“</w:t>
      </w:r>
      <w:r w:rsidR="00CF5A5B" w:rsidRPr="004C6E7B">
        <w:t xml:space="preserve">If applicable, a copy of the competent authority approval </w:t>
      </w:r>
      <w:r w:rsidR="00CF5A5B" w:rsidRPr="004C6E7B">
        <w:rPr>
          <w:u w:val="single"/>
        </w:rPr>
        <w:t>and the appropriate instructions for use</w:t>
      </w:r>
      <w:r w:rsidR="00CF5A5B" w:rsidRPr="004C6E7B">
        <w:t xml:space="preserve"> shall accompany the transport.</w:t>
      </w:r>
      <w:r>
        <w:t>”</w:t>
      </w:r>
    </w:p>
    <w:p w14:paraId="4B9AB617" w14:textId="33E204A4" w:rsidR="00CF5A5B" w:rsidRDefault="00CF5A5B" w:rsidP="00CF5A5B">
      <w:pPr>
        <w:pStyle w:val="H1G"/>
      </w:pPr>
      <w:r>
        <w:tab/>
      </w:r>
      <w:r>
        <w:tab/>
        <w:t>Option 2</w:t>
      </w:r>
    </w:p>
    <w:p w14:paraId="09486B06" w14:textId="027ACDD6" w:rsidR="00CF5A5B" w:rsidRPr="002B1BC2" w:rsidRDefault="00CF5A5B" w:rsidP="00CF5A5B">
      <w:pPr>
        <w:pStyle w:val="H23G"/>
      </w:pPr>
      <w:r>
        <w:tab/>
      </w:r>
      <w:r>
        <w:tab/>
      </w:r>
      <w:r w:rsidRPr="002B1BC2">
        <w:t>Proposal 3</w:t>
      </w:r>
    </w:p>
    <w:p w14:paraId="3A3E706A" w14:textId="77777777" w:rsidR="00CF5A5B" w:rsidRPr="004C6E7B" w:rsidRDefault="00CF5A5B" w:rsidP="00CF5A5B">
      <w:pPr>
        <w:pStyle w:val="SingleTxtG"/>
      </w:pPr>
      <w:r w:rsidRPr="004C6E7B">
        <w:t>14.</w:t>
      </w:r>
      <w:r w:rsidRPr="004C6E7B">
        <w:tab/>
        <w:t>In Chapter 3.3, add a new sentence in the fifth paragraph of special provision 376 as follows (</w:t>
      </w:r>
      <w:r w:rsidRPr="004C6E7B">
        <w:rPr>
          <w:u w:val="single"/>
        </w:rPr>
        <w:t>new text is underlined</w:t>
      </w:r>
      <w:r w:rsidRPr="004C6E7B">
        <w:t>):</w:t>
      </w:r>
    </w:p>
    <w:p w14:paraId="1B0BD0CF" w14:textId="49C4544B" w:rsidR="00CF5A5B" w:rsidRDefault="00CF5A5B" w:rsidP="006B5A8C">
      <w:pPr>
        <w:pStyle w:val="SingleTxtG"/>
        <w:ind w:left="1701"/>
      </w:pPr>
      <w:r w:rsidRPr="004C6E7B">
        <w:rPr>
          <w:bCs/>
        </w:rPr>
        <w:t xml:space="preserve">“Cells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 or LP906 of 4.1.4.3, as applicable. </w:t>
      </w:r>
      <w:r w:rsidRPr="004C6E7B">
        <w:rPr>
          <w:bCs/>
          <w:u w:val="single"/>
        </w:rPr>
        <w:t xml:space="preserve">When the packaging has been designed to be used and carried under the conditions referred to in </w:t>
      </w:r>
      <w:r w:rsidR="00D1625A">
        <w:rPr>
          <w:bCs/>
          <w:u w:val="single"/>
        </w:rPr>
        <w:t>(</w:t>
      </w:r>
      <w:r w:rsidRPr="004C6E7B">
        <w:rPr>
          <w:bCs/>
          <w:u w:val="single"/>
        </w:rPr>
        <w:t>f) of packing instructions P911 and LP906, the consignor shall provide the loader and the carrier with the appropriate instructions</w:t>
      </w:r>
      <w:r w:rsidRPr="00ED744F">
        <w:rPr>
          <w:bCs/>
          <w:u w:val="single"/>
        </w:rPr>
        <w:t xml:space="preserve">. </w:t>
      </w:r>
      <w:r w:rsidRPr="00D1625A">
        <w:rPr>
          <w:bCs/>
          <w:u w:val="single"/>
        </w:rPr>
        <w:t>These instructions shall accompany the transport</w:t>
      </w:r>
      <w:r w:rsidRPr="00ED744F">
        <w:rPr>
          <w:bCs/>
          <w:u w:val="single"/>
        </w:rPr>
        <w:t>.</w:t>
      </w:r>
      <w:r w:rsidRPr="00ED744F">
        <w:rPr>
          <w:bCs/>
        </w:rPr>
        <w:t xml:space="preserve"> A</w:t>
      </w:r>
      <w:r w:rsidRPr="004C6E7B">
        <w:t>lternative packing and/or carriage conditions may be authorized by the competent authority.</w:t>
      </w:r>
      <w:r w:rsidR="006B5A8C">
        <w:t>”</w:t>
      </w:r>
    </w:p>
    <w:p w14:paraId="380C48D4" w14:textId="2020979F" w:rsidR="00CF5A5B" w:rsidRDefault="00CF5A5B" w:rsidP="00CF5A5B">
      <w:pPr>
        <w:pStyle w:val="HChG"/>
        <w:rPr>
          <w:b w:val="0"/>
          <w:lang w:val="en-US"/>
        </w:rPr>
      </w:pPr>
      <w:r>
        <w:tab/>
      </w:r>
      <w:r w:rsidRPr="00D3203A">
        <w:rPr>
          <w:lang w:val="en-US"/>
        </w:rPr>
        <w:t>III</w:t>
      </w:r>
      <w:r w:rsidRPr="00E62844">
        <w:rPr>
          <w:lang w:val="en-US"/>
        </w:rPr>
        <w:t>.</w:t>
      </w:r>
      <w:r w:rsidRPr="00E62844">
        <w:rPr>
          <w:lang w:val="en-US"/>
        </w:rPr>
        <w:tab/>
      </w:r>
      <w:r w:rsidRPr="00CF5A5B">
        <w:t>Sustainable</w:t>
      </w:r>
      <w:r w:rsidRPr="00E62844">
        <w:rPr>
          <w:lang w:val="en-US"/>
        </w:rPr>
        <w:t xml:space="preserve"> Development </w:t>
      </w:r>
      <w:r w:rsidR="00B31A1A">
        <w:rPr>
          <w:lang w:val="en-US"/>
        </w:rPr>
        <w:t>G</w:t>
      </w:r>
      <w:r w:rsidRPr="00E62844">
        <w:rPr>
          <w:lang w:val="en-US"/>
        </w:rPr>
        <w:t>oals</w:t>
      </w:r>
    </w:p>
    <w:p w14:paraId="58810238" w14:textId="781C5F97" w:rsidR="00CC7758" w:rsidRPr="00620BE9" w:rsidRDefault="00CF5A5B" w:rsidP="00CF5A5B">
      <w:pPr>
        <w:pStyle w:val="SingleTxtG"/>
        <w:rPr>
          <w:i/>
          <w:iCs/>
          <w:lang w:val="en-US"/>
        </w:rPr>
      </w:pPr>
      <w:r w:rsidRPr="007C276B">
        <w:rPr>
          <w:lang w:val="en-US"/>
        </w:rPr>
        <w:t>1</w:t>
      </w:r>
      <w:r>
        <w:rPr>
          <w:lang w:val="en-US"/>
        </w:rPr>
        <w:t>5</w:t>
      </w:r>
      <w:r w:rsidRPr="007C276B">
        <w:rPr>
          <w:lang w:val="en-US"/>
        </w:rPr>
        <w:t>.</w:t>
      </w:r>
      <w:r>
        <w:rPr>
          <w:lang w:val="en-US"/>
        </w:rPr>
        <w:tab/>
      </w:r>
      <w:r w:rsidRPr="00964116">
        <w:rPr>
          <w:lang w:val="en-US"/>
        </w:rPr>
        <w:t xml:space="preserve">This proposal </w:t>
      </w:r>
      <w:r>
        <w:rPr>
          <w:lang w:val="en-US"/>
        </w:rPr>
        <w:t>contributes to</w:t>
      </w:r>
      <w:r w:rsidRPr="00964116">
        <w:rPr>
          <w:lang w:val="en-US"/>
        </w:rPr>
        <w:t xml:space="preserve"> Sustainable Development Goal 12</w:t>
      </w:r>
      <w:r w:rsidR="00827299">
        <w:rPr>
          <w:lang w:val="en-US"/>
        </w:rPr>
        <w:t>:</w:t>
      </w:r>
      <w:r w:rsidRPr="00964116">
        <w:rPr>
          <w:lang w:val="en-US"/>
        </w:rPr>
        <w:t xml:space="preserve"> </w:t>
      </w:r>
      <w:r w:rsidRPr="00620BE9">
        <w:rPr>
          <w:i/>
          <w:iCs/>
          <w:lang w:val="en-US"/>
        </w:rPr>
        <w:t xml:space="preserve">Ensure sustainable consumption and production patterns </w:t>
      </w:r>
      <w:r w:rsidRPr="00ED744F">
        <w:rPr>
          <w:lang w:val="en-US"/>
        </w:rPr>
        <w:t>and more specifically its target 12.4</w:t>
      </w:r>
      <w:r w:rsidRPr="00620BE9">
        <w:rPr>
          <w:i/>
          <w:iCs/>
          <w:lang w:val="en-US"/>
        </w:rPr>
        <w:t xml:space="preserve"> </w:t>
      </w:r>
      <w:r w:rsidR="00827299">
        <w:rPr>
          <w:i/>
          <w:iCs/>
          <w:lang w:val="en-US"/>
        </w:rPr>
        <w:t xml:space="preserve">to </w:t>
      </w:r>
      <w:r w:rsidRPr="00620BE9">
        <w:rPr>
          <w:i/>
          <w:iCs/>
          <w:lang w:val="en-US"/>
        </w:rPr>
        <w:t>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24F254F8" w14:textId="32A190C0" w:rsidR="00CF5A5B" w:rsidRPr="00CF5A5B" w:rsidRDefault="00CF5A5B" w:rsidP="00CF5A5B">
      <w:pPr>
        <w:spacing w:before="240"/>
        <w:jc w:val="center"/>
        <w:rPr>
          <w:u w:val="single"/>
          <w:lang w:val="en-US"/>
        </w:rPr>
      </w:pPr>
      <w:r>
        <w:rPr>
          <w:u w:val="single"/>
          <w:lang w:val="en-US"/>
        </w:rPr>
        <w:tab/>
      </w:r>
      <w:r>
        <w:rPr>
          <w:u w:val="single"/>
          <w:lang w:val="en-US"/>
        </w:rPr>
        <w:tab/>
      </w:r>
      <w:r>
        <w:rPr>
          <w:u w:val="single"/>
          <w:lang w:val="en-US"/>
        </w:rPr>
        <w:tab/>
      </w:r>
    </w:p>
    <w:sectPr w:rsidR="00CF5A5B" w:rsidRPr="00CF5A5B"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70DF" w14:textId="77777777" w:rsidR="00204760" w:rsidRPr="00C47B2E" w:rsidRDefault="00204760" w:rsidP="00C47B2E">
      <w:pPr>
        <w:pStyle w:val="Footer"/>
      </w:pPr>
    </w:p>
  </w:endnote>
  <w:endnote w:type="continuationSeparator" w:id="0">
    <w:p w14:paraId="42AA4B49" w14:textId="77777777" w:rsidR="00204760" w:rsidRPr="00C47B2E" w:rsidRDefault="00204760" w:rsidP="00C47B2E">
      <w:pPr>
        <w:pStyle w:val="Footer"/>
      </w:pPr>
    </w:p>
  </w:endnote>
  <w:endnote w:type="continuationNotice" w:id="1">
    <w:p w14:paraId="0216915B" w14:textId="77777777" w:rsidR="00204760" w:rsidRPr="00C47B2E" w:rsidRDefault="0020476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96FE" w14:textId="77777777" w:rsidR="00204760" w:rsidRPr="00C47B2E" w:rsidRDefault="00204760" w:rsidP="00C47B2E">
      <w:pPr>
        <w:tabs>
          <w:tab w:val="right" w:pos="2155"/>
        </w:tabs>
        <w:spacing w:after="80" w:line="240" w:lineRule="auto"/>
        <w:ind w:left="680"/>
      </w:pPr>
      <w:r>
        <w:rPr>
          <w:u w:val="single"/>
        </w:rPr>
        <w:tab/>
      </w:r>
    </w:p>
  </w:footnote>
  <w:footnote w:type="continuationSeparator" w:id="0">
    <w:p w14:paraId="50C28796" w14:textId="77777777" w:rsidR="00204760" w:rsidRPr="00C47B2E" w:rsidRDefault="00204760" w:rsidP="005E716E">
      <w:pPr>
        <w:tabs>
          <w:tab w:val="right" w:pos="2155"/>
        </w:tabs>
        <w:spacing w:after="80" w:line="240" w:lineRule="auto"/>
        <w:ind w:left="680"/>
      </w:pPr>
      <w:r>
        <w:rPr>
          <w:u w:val="single"/>
        </w:rPr>
        <w:tab/>
      </w:r>
    </w:p>
  </w:footnote>
  <w:footnote w:type="continuationNotice" w:id="1">
    <w:p w14:paraId="74D6B129" w14:textId="77777777" w:rsidR="00204760" w:rsidRPr="00C47B2E" w:rsidRDefault="00204760" w:rsidP="00C47B2E">
      <w:pPr>
        <w:pStyle w:val="Footer"/>
      </w:pPr>
    </w:p>
  </w:footnote>
  <w:footnote w:id="2">
    <w:p w14:paraId="7ECE99EF" w14:textId="4C948BFA" w:rsidR="00F26C33" w:rsidRPr="00F21781" w:rsidRDefault="00036051" w:rsidP="00F21781">
      <w:pPr>
        <w:pStyle w:val="FootnoteText"/>
        <w:widowControl w:val="0"/>
        <w:tabs>
          <w:tab w:val="clear" w:pos="1021"/>
          <w:tab w:val="right" w:pos="1020"/>
        </w:tabs>
        <w:suppressAutoHyphens/>
        <w:rPr>
          <w:sz w:val="20"/>
        </w:rPr>
      </w:pPr>
      <w:r>
        <w:tab/>
      </w:r>
      <w:r>
        <w:rPr>
          <w:rStyle w:val="FootnoteReference"/>
        </w:rPr>
        <w:footnoteRef/>
      </w:r>
      <w:r>
        <w:tab/>
        <w:t xml:space="preserve"> </w:t>
      </w:r>
      <w:hyperlink r:id="rId1" w:history="1">
        <w:r w:rsidR="00F21781" w:rsidRPr="00815063">
          <w:rPr>
            <w:rStyle w:val="Hyperlink"/>
            <w:szCs w:val="18"/>
            <w:lang w:val="fr-CH"/>
          </w:rPr>
          <w:t>https://unece.org/sites/default/files/2023-06/UN-SCETDG-62-INF09e_0.pdf</w:t>
        </w:r>
      </w:hyperlink>
      <w:r w:rsidR="00F21781" w:rsidRPr="00815063">
        <w:rPr>
          <w:szCs w:val="18"/>
          <w:lang w:val="fr-CH"/>
        </w:rPr>
        <w:t>.</w:t>
      </w:r>
      <w:r w:rsidR="00F21781">
        <w:rPr>
          <w:lang w:val="fr-CH"/>
        </w:rPr>
        <w:t xml:space="preserve"> </w:t>
      </w:r>
    </w:p>
  </w:footnote>
  <w:footnote w:id="3">
    <w:p w14:paraId="24827FC1" w14:textId="44579624" w:rsidR="00876F04" w:rsidRPr="00815063" w:rsidRDefault="00876F04" w:rsidP="00876F04">
      <w:pPr>
        <w:pStyle w:val="FootnoteText"/>
        <w:widowControl w:val="0"/>
        <w:tabs>
          <w:tab w:val="clear" w:pos="1021"/>
          <w:tab w:val="right" w:pos="1020"/>
        </w:tabs>
        <w:suppressAutoHyphens/>
        <w:rPr>
          <w:szCs w:val="18"/>
          <w:lang w:val="fr-CH"/>
        </w:rPr>
      </w:pPr>
      <w:r>
        <w:tab/>
      </w:r>
      <w:r>
        <w:rPr>
          <w:rStyle w:val="FootnoteReference"/>
        </w:rPr>
        <w:footnoteRef/>
      </w:r>
      <w:r>
        <w:tab/>
        <w:t xml:space="preserve"> </w:t>
      </w:r>
      <w:hyperlink r:id="rId2" w:history="1">
        <w:r w:rsidR="00391730" w:rsidRPr="00815063">
          <w:rPr>
            <w:rStyle w:val="Hyperlink"/>
            <w:szCs w:val="18"/>
          </w:rPr>
          <w:t>https://unece.org/sites/default/files/2023-09/ECE-TRANS-WP15-AC1-2023-GE-inf-08e_0.pdf</w:t>
        </w:r>
      </w:hyperlink>
      <w:r w:rsidR="00391730" w:rsidRPr="00815063">
        <w:rPr>
          <w:szCs w:val="18"/>
        </w:rPr>
        <w:t xml:space="preserve">. </w:t>
      </w:r>
    </w:p>
  </w:footnote>
  <w:footnote w:id="4">
    <w:p w14:paraId="014D80F5" w14:textId="4ADB7C17" w:rsidR="00011DAD" w:rsidRPr="00815063" w:rsidRDefault="00011DAD" w:rsidP="00011DAD">
      <w:pPr>
        <w:pStyle w:val="FootnoteText"/>
        <w:widowControl w:val="0"/>
        <w:tabs>
          <w:tab w:val="clear" w:pos="1021"/>
          <w:tab w:val="right" w:pos="1020"/>
        </w:tabs>
        <w:suppressAutoHyphens/>
        <w:rPr>
          <w:szCs w:val="18"/>
          <w:lang w:val="fr-CH"/>
        </w:rPr>
      </w:pPr>
      <w:r w:rsidRPr="00815063">
        <w:rPr>
          <w:szCs w:val="18"/>
        </w:rPr>
        <w:tab/>
      </w:r>
      <w:r w:rsidRPr="00815063">
        <w:rPr>
          <w:rStyle w:val="FootnoteReference"/>
          <w:szCs w:val="18"/>
        </w:rPr>
        <w:footnoteRef/>
      </w:r>
      <w:r w:rsidRPr="00815063">
        <w:rPr>
          <w:szCs w:val="18"/>
        </w:rPr>
        <w:tab/>
        <w:t xml:space="preserve"> </w:t>
      </w:r>
      <w:hyperlink r:id="rId3" w:history="1">
        <w:r w:rsidR="00391730" w:rsidRPr="00815063">
          <w:rPr>
            <w:rStyle w:val="Hyperlink"/>
            <w:szCs w:val="18"/>
          </w:rPr>
          <w:t>https://unece.org/sites/default/files/2023-09/ECE-TRANS-WP15-AC1-2023-GE-inf-44.pdf</w:t>
        </w:r>
      </w:hyperlink>
      <w:r w:rsidR="00391730" w:rsidRPr="00815063">
        <w:rPr>
          <w:szCs w:val="18"/>
        </w:rPr>
        <w:t xml:space="preserve">. </w:t>
      </w:r>
    </w:p>
  </w:footnote>
  <w:footnote w:id="5">
    <w:p w14:paraId="4B25E2C4" w14:textId="13849BBE" w:rsidR="00AD141E" w:rsidRPr="00815063" w:rsidRDefault="00AD141E" w:rsidP="00AD141E">
      <w:pPr>
        <w:pStyle w:val="FootnoteText"/>
        <w:widowControl w:val="0"/>
        <w:tabs>
          <w:tab w:val="clear" w:pos="1021"/>
          <w:tab w:val="right" w:pos="1020"/>
        </w:tabs>
        <w:suppressAutoHyphens/>
        <w:rPr>
          <w:szCs w:val="18"/>
          <w:lang w:val="fr-CH"/>
        </w:rPr>
      </w:pPr>
      <w:r w:rsidRPr="00815063">
        <w:rPr>
          <w:szCs w:val="18"/>
        </w:rPr>
        <w:tab/>
      </w:r>
      <w:r w:rsidRPr="00815063">
        <w:rPr>
          <w:rStyle w:val="FootnoteReference"/>
          <w:szCs w:val="18"/>
        </w:rPr>
        <w:footnoteRef/>
      </w:r>
      <w:r w:rsidRPr="00815063">
        <w:rPr>
          <w:szCs w:val="18"/>
        </w:rPr>
        <w:tab/>
        <w:t xml:space="preserve"> </w:t>
      </w:r>
      <w:hyperlink r:id="rId4" w:history="1">
        <w:r w:rsidR="00446BBE" w:rsidRPr="00815063">
          <w:rPr>
            <w:rStyle w:val="Hyperlink"/>
            <w:szCs w:val="18"/>
          </w:rPr>
          <w:t>https://unece.org/sites/default/files/2024-03/ECE-TRANS-WP15-AC1-2024-27E.pdf</w:t>
        </w:r>
      </w:hyperlink>
      <w:r w:rsidR="00446BBE" w:rsidRPr="00815063">
        <w:rPr>
          <w:szCs w:val="18"/>
        </w:rPr>
        <w:t xml:space="preserve">. </w:t>
      </w:r>
    </w:p>
  </w:footnote>
  <w:footnote w:id="6">
    <w:p w14:paraId="6C3ED586" w14:textId="45360FCE" w:rsidR="00E26C01" w:rsidRPr="00C84422" w:rsidRDefault="00E26C01" w:rsidP="00E26C01">
      <w:pPr>
        <w:pStyle w:val="FootnoteText"/>
        <w:widowControl w:val="0"/>
        <w:tabs>
          <w:tab w:val="clear" w:pos="1021"/>
          <w:tab w:val="right" w:pos="1020"/>
        </w:tabs>
        <w:suppressAutoHyphens/>
        <w:rPr>
          <w:sz w:val="16"/>
          <w:szCs w:val="16"/>
          <w:lang w:val="fr-CH"/>
        </w:rPr>
      </w:pPr>
      <w:r w:rsidRPr="00815063">
        <w:rPr>
          <w:szCs w:val="18"/>
        </w:rPr>
        <w:tab/>
      </w:r>
      <w:r w:rsidRPr="00815063">
        <w:rPr>
          <w:rStyle w:val="FootnoteReference"/>
          <w:szCs w:val="18"/>
        </w:rPr>
        <w:footnoteRef/>
      </w:r>
      <w:r w:rsidRPr="00815063">
        <w:rPr>
          <w:szCs w:val="18"/>
        </w:rPr>
        <w:tab/>
        <w:t xml:space="preserve"> </w:t>
      </w:r>
      <w:hyperlink r:id="rId5" w:history="1">
        <w:r w:rsidR="00EE699E" w:rsidRPr="00815063">
          <w:rPr>
            <w:rStyle w:val="Hyperlink"/>
            <w:szCs w:val="18"/>
          </w:rPr>
          <w:t>https://unece.org/sites/default/files/2024-03/ECE-TRANS-WP15-AC1-2024-BE-INF.28e.pdf</w:t>
        </w:r>
      </w:hyperlink>
      <w:r w:rsidR="00EE699E" w:rsidRPr="00C84422">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1B228C98" w:rsidR="0039370E" w:rsidRPr="0039370E" w:rsidRDefault="007F3784">
    <w:pPr>
      <w:pStyle w:val="Header"/>
    </w:pPr>
    <w:fldSimple w:instr=" TITLE  \* MERGEFORMAT ">
      <w:r w:rsidR="0039370E">
        <w:t>UN/SCETDG/2024/INF.10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2C80E168" w:rsidR="00D94B05" w:rsidRPr="0039370E" w:rsidRDefault="007F3784" w:rsidP="0039370E">
    <w:pPr>
      <w:pStyle w:val="Header"/>
      <w:jc w:val="right"/>
    </w:pPr>
    <w:fldSimple w:instr=" TITLE  \* MERGEFORMAT ">
      <w:r w:rsidR="0039370E">
        <w:t>UN/SCETDG/2024/INF.10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36051"/>
    <w:rsid w:val="00046E92"/>
    <w:rsid w:val="00063C90"/>
    <w:rsid w:val="00070000"/>
    <w:rsid w:val="00074A36"/>
    <w:rsid w:val="00101B98"/>
    <w:rsid w:val="0011084B"/>
    <w:rsid w:val="001514D1"/>
    <w:rsid w:val="001854FD"/>
    <w:rsid w:val="001A4B5F"/>
    <w:rsid w:val="001B09B1"/>
    <w:rsid w:val="001E4972"/>
    <w:rsid w:val="00204760"/>
    <w:rsid w:val="00224447"/>
    <w:rsid w:val="00247E2C"/>
    <w:rsid w:val="00262CC4"/>
    <w:rsid w:val="0028529B"/>
    <w:rsid w:val="002A32CB"/>
    <w:rsid w:val="002D5B2C"/>
    <w:rsid w:val="002D6C53"/>
    <w:rsid w:val="002E3CFB"/>
    <w:rsid w:val="002E76EA"/>
    <w:rsid w:val="002F5595"/>
    <w:rsid w:val="003070C4"/>
    <w:rsid w:val="0033310E"/>
    <w:rsid w:val="00334F6A"/>
    <w:rsid w:val="00342AC8"/>
    <w:rsid w:val="00343302"/>
    <w:rsid w:val="00365509"/>
    <w:rsid w:val="00391730"/>
    <w:rsid w:val="0039370E"/>
    <w:rsid w:val="003979DE"/>
    <w:rsid w:val="003B1248"/>
    <w:rsid w:val="003B4550"/>
    <w:rsid w:val="003D2A18"/>
    <w:rsid w:val="003D2EA4"/>
    <w:rsid w:val="003D6064"/>
    <w:rsid w:val="00413386"/>
    <w:rsid w:val="00446BBE"/>
    <w:rsid w:val="00461253"/>
    <w:rsid w:val="004858F5"/>
    <w:rsid w:val="004A2814"/>
    <w:rsid w:val="004B10E7"/>
    <w:rsid w:val="004C0622"/>
    <w:rsid w:val="004F73D0"/>
    <w:rsid w:val="005042C2"/>
    <w:rsid w:val="00516173"/>
    <w:rsid w:val="00595112"/>
    <w:rsid w:val="00595C55"/>
    <w:rsid w:val="005A1BF2"/>
    <w:rsid w:val="005E716E"/>
    <w:rsid w:val="00620BE9"/>
    <w:rsid w:val="006476E1"/>
    <w:rsid w:val="006604DF"/>
    <w:rsid w:val="00671529"/>
    <w:rsid w:val="006B5A8C"/>
    <w:rsid w:val="006B75AD"/>
    <w:rsid w:val="006F1EF5"/>
    <w:rsid w:val="0070489D"/>
    <w:rsid w:val="007139BD"/>
    <w:rsid w:val="007200A1"/>
    <w:rsid w:val="007268F9"/>
    <w:rsid w:val="00750282"/>
    <w:rsid w:val="00750D5E"/>
    <w:rsid w:val="00756BF8"/>
    <w:rsid w:val="00764440"/>
    <w:rsid w:val="0077101B"/>
    <w:rsid w:val="00785B39"/>
    <w:rsid w:val="007C52B0"/>
    <w:rsid w:val="007C6033"/>
    <w:rsid w:val="007F3784"/>
    <w:rsid w:val="008147C8"/>
    <w:rsid w:val="00815063"/>
    <w:rsid w:val="0081753A"/>
    <w:rsid w:val="00827299"/>
    <w:rsid w:val="00857D23"/>
    <w:rsid w:val="00876F04"/>
    <w:rsid w:val="00883E68"/>
    <w:rsid w:val="008923C4"/>
    <w:rsid w:val="008B6E83"/>
    <w:rsid w:val="008D51A7"/>
    <w:rsid w:val="009411B4"/>
    <w:rsid w:val="00946F1D"/>
    <w:rsid w:val="009502AA"/>
    <w:rsid w:val="00987F92"/>
    <w:rsid w:val="009A0A7F"/>
    <w:rsid w:val="009A1E66"/>
    <w:rsid w:val="009D0139"/>
    <w:rsid w:val="009D717D"/>
    <w:rsid w:val="009F5CDC"/>
    <w:rsid w:val="00A072D7"/>
    <w:rsid w:val="00A775CF"/>
    <w:rsid w:val="00A945EB"/>
    <w:rsid w:val="00AA3FA0"/>
    <w:rsid w:val="00AA601F"/>
    <w:rsid w:val="00AA74D9"/>
    <w:rsid w:val="00AD141E"/>
    <w:rsid w:val="00AD1A9C"/>
    <w:rsid w:val="00AF1608"/>
    <w:rsid w:val="00AF5DE1"/>
    <w:rsid w:val="00B06045"/>
    <w:rsid w:val="00B206DD"/>
    <w:rsid w:val="00B31A1A"/>
    <w:rsid w:val="00B52EF4"/>
    <w:rsid w:val="00B55DFE"/>
    <w:rsid w:val="00B777AD"/>
    <w:rsid w:val="00BA2C79"/>
    <w:rsid w:val="00C03015"/>
    <w:rsid w:val="00C0358D"/>
    <w:rsid w:val="00C35A27"/>
    <w:rsid w:val="00C45ABA"/>
    <w:rsid w:val="00C47B2E"/>
    <w:rsid w:val="00C544C4"/>
    <w:rsid w:val="00C84422"/>
    <w:rsid w:val="00C96282"/>
    <w:rsid w:val="00CA1A36"/>
    <w:rsid w:val="00CC7758"/>
    <w:rsid w:val="00CF5A5B"/>
    <w:rsid w:val="00CF638E"/>
    <w:rsid w:val="00D1625A"/>
    <w:rsid w:val="00D41E65"/>
    <w:rsid w:val="00D63CD2"/>
    <w:rsid w:val="00D77868"/>
    <w:rsid w:val="00D85308"/>
    <w:rsid w:val="00D87DC2"/>
    <w:rsid w:val="00D93887"/>
    <w:rsid w:val="00D94B05"/>
    <w:rsid w:val="00DA36E8"/>
    <w:rsid w:val="00DB52EE"/>
    <w:rsid w:val="00DC7379"/>
    <w:rsid w:val="00DE5139"/>
    <w:rsid w:val="00E02C2B"/>
    <w:rsid w:val="00E14B48"/>
    <w:rsid w:val="00E21C27"/>
    <w:rsid w:val="00E26BCF"/>
    <w:rsid w:val="00E26C01"/>
    <w:rsid w:val="00E51935"/>
    <w:rsid w:val="00E52109"/>
    <w:rsid w:val="00E75317"/>
    <w:rsid w:val="00E816EC"/>
    <w:rsid w:val="00E93072"/>
    <w:rsid w:val="00EC0CE6"/>
    <w:rsid w:val="00EC7C1D"/>
    <w:rsid w:val="00ED6C48"/>
    <w:rsid w:val="00ED744F"/>
    <w:rsid w:val="00EE3045"/>
    <w:rsid w:val="00EE5FFB"/>
    <w:rsid w:val="00EE699E"/>
    <w:rsid w:val="00EF1ECC"/>
    <w:rsid w:val="00F21781"/>
    <w:rsid w:val="00F26186"/>
    <w:rsid w:val="00F26C33"/>
    <w:rsid w:val="00F65F5D"/>
    <w:rsid w:val="00F66365"/>
    <w:rsid w:val="00F86A3A"/>
    <w:rsid w:val="00F90EE7"/>
    <w:rsid w:val="00FA42DA"/>
    <w:rsid w:val="00FD7048"/>
    <w:rsid w:val="00FE2073"/>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7D96B517-58DF-4F6F-A2B2-4FDB94A8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rsid w:val="00CF5A5B"/>
    <w:rPr>
      <w:b/>
      <w:sz w:val="28"/>
    </w:rPr>
  </w:style>
  <w:style w:type="character" w:customStyle="1" w:styleId="SingleTxtGChar">
    <w:name w:val="_ Single Txt_G Char"/>
    <w:link w:val="SingleTxtG"/>
    <w:locked/>
    <w:rsid w:val="00CF5A5B"/>
  </w:style>
  <w:style w:type="character" w:customStyle="1" w:styleId="H1GChar">
    <w:name w:val="_ H_1_G Char"/>
    <w:link w:val="H1G"/>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3-09/ECE-TRANS-WP15-AC1-2023-GE-inf-44.pdf" TargetMode="External"/><Relationship Id="rId2" Type="http://schemas.openxmlformats.org/officeDocument/2006/relationships/hyperlink" Target="https://unece.org/sites/default/files/2023-09/ECE-TRANS-WP15-AC1-2023-GE-inf-08e_0.pdf" TargetMode="External"/><Relationship Id="rId1" Type="http://schemas.openxmlformats.org/officeDocument/2006/relationships/hyperlink" Target="https://unece.org/sites/default/files/2023-06/UN-SCETDG-62-INF09e_0.pdf" TargetMode="External"/><Relationship Id="rId5" Type="http://schemas.openxmlformats.org/officeDocument/2006/relationships/hyperlink" Target="https://unece.org/sites/default/files/2024-03/ECE-TRANS-WP15-AC1-2024-BE-INF.28e.pdf" TargetMode="External"/><Relationship Id="rId4" Type="http://schemas.openxmlformats.org/officeDocument/2006/relationships/hyperlink" Target="https://unece.org/sites/default/files/2024-03/ECE-TRANS-WP15-AC1-2024-2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101</TotalTime>
  <Pages>3</Pages>
  <Words>1250</Words>
  <Characters>6876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UN/SCETDG/2024/INF.10</dc:title>
  <dc:subject/>
  <dc:creator>Alicia DORCA-GARCIA</dc:creator>
  <cp:lastModifiedBy>Alicia Dorca Garcia</cp:lastModifiedBy>
  <cp:revision>81</cp:revision>
  <dcterms:created xsi:type="dcterms:W3CDTF">2024-04-24T12:35:00Z</dcterms:created>
  <dcterms:modified xsi:type="dcterms:W3CDTF">2024-05-02T14:02:00Z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