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77DD4651" w14:textId="77777777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1F4D18" w14:textId="77777777" w:rsidR="00421A10" w:rsidRPr="00DB58B5" w:rsidRDefault="00F76CCF" w:rsidP="00F76CCF">
            <w:pPr>
              <w:jc w:val="right"/>
            </w:pPr>
            <w:r w:rsidRPr="00F76CCF">
              <w:rPr>
                <w:sz w:val="40"/>
              </w:rPr>
              <w:t>E</w:t>
            </w:r>
            <w:r>
              <w:t>/ECE/TRANS/505/Rev.3/Add.156/Rev.1/Amend.1</w:t>
            </w:r>
          </w:p>
        </w:tc>
      </w:tr>
      <w:tr w:rsidR="00421A10" w:rsidRPr="00DB58B5" w14:paraId="1D403891" w14:textId="77777777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DF7EE4" w14:textId="77777777" w:rsidR="00421A10" w:rsidRPr="00A574B7" w:rsidRDefault="00421A10" w:rsidP="00227437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13FF91" w14:textId="77777777" w:rsidR="00421A10" w:rsidRPr="00DB58B5" w:rsidRDefault="00F76CCF" w:rsidP="00227437">
            <w:pPr>
              <w:spacing w:before="480" w:line="240" w:lineRule="exact"/>
            </w:pPr>
            <w:r>
              <w:t>11 décembre 2023</w:t>
            </w:r>
          </w:p>
        </w:tc>
      </w:tr>
    </w:tbl>
    <w:p w14:paraId="212E20E5" w14:textId="77777777" w:rsidR="00F76CCF" w:rsidRPr="00F76CCF" w:rsidRDefault="00F76CCF" w:rsidP="00F76CCF">
      <w:pPr>
        <w:pStyle w:val="HChG"/>
      </w:pPr>
      <w:r w:rsidRPr="003A2587">
        <w:rPr>
          <w:lang w:val="fr-FR"/>
        </w:rPr>
        <w:tab/>
      </w:r>
      <w:r w:rsidRPr="003A2587">
        <w:rPr>
          <w:lang w:val="fr-FR"/>
        </w:rPr>
        <w:tab/>
      </w:r>
      <w:r>
        <w:rPr>
          <w:lang w:val="fr-FR"/>
        </w:rPr>
        <w:t>Accord</w:t>
      </w:r>
    </w:p>
    <w:p w14:paraId="01B0BA67" w14:textId="77AA5914" w:rsidR="00F76CCF" w:rsidRPr="003A2587" w:rsidRDefault="00F76CCF" w:rsidP="00F76CCF">
      <w:pPr>
        <w:pStyle w:val="H1G"/>
        <w:rPr>
          <w:szCs w:val="24"/>
          <w:lang w:val="fr-FR"/>
        </w:rPr>
      </w:pPr>
      <w:r w:rsidRPr="003A2587">
        <w:rPr>
          <w:lang w:val="fr-FR"/>
        </w:rPr>
        <w:tab/>
      </w:r>
      <w:r w:rsidRPr="003A2587">
        <w:rPr>
          <w:lang w:val="fr-FR"/>
        </w:rPr>
        <w:tab/>
      </w:r>
      <w:r w:rsidRPr="000E2D08">
        <w:rPr>
          <w:lang w:val="fr-FR"/>
        </w:rPr>
        <w:t>Concernant l</w:t>
      </w:r>
      <w:r>
        <w:rPr>
          <w:lang w:val="fr-FR"/>
        </w:rPr>
        <w:t>’</w:t>
      </w:r>
      <w:r w:rsidRPr="000E2D08">
        <w:rPr>
          <w:lang w:val="fr-FR"/>
        </w:rPr>
        <w:t>adoption de Règlements techniques harmonisés de l</w:t>
      </w:r>
      <w:r>
        <w:rPr>
          <w:lang w:val="fr-FR"/>
        </w:rPr>
        <w:t>’</w:t>
      </w:r>
      <w:r w:rsidRPr="000E2D08">
        <w:rPr>
          <w:lang w:val="fr-FR"/>
        </w:rPr>
        <w:t>ONU applicables aux véhicules à roues et aux équipements et pièces susceptibles d</w:t>
      </w:r>
      <w:r>
        <w:rPr>
          <w:lang w:val="fr-FR"/>
        </w:rPr>
        <w:t>’</w:t>
      </w:r>
      <w:r w:rsidRPr="000E2D08">
        <w:rPr>
          <w:lang w:val="fr-FR"/>
        </w:rPr>
        <w:t xml:space="preserve">être montés ou utilisés sur les véhicules à roues </w:t>
      </w:r>
      <w:r>
        <w:rPr>
          <w:lang w:val="fr-FR"/>
        </w:rPr>
        <w:br/>
      </w:r>
      <w:r w:rsidRPr="000E2D08">
        <w:rPr>
          <w:lang w:val="fr-FR"/>
        </w:rPr>
        <w:t>et les conditions de reconnaissance réciproque des homologations délivrées conformément à ces Règlements</w:t>
      </w:r>
      <w:r w:rsidRPr="00F76CC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3EBA049" w14:textId="77777777" w:rsidR="00F76CCF" w:rsidRDefault="00F76CCF" w:rsidP="00D63111">
      <w:pPr>
        <w:pStyle w:val="SingleTxtG"/>
        <w:rPr>
          <w:lang w:val="fr-FR"/>
        </w:rPr>
      </w:pPr>
      <w:r w:rsidRPr="000E2D08">
        <w:rPr>
          <w:lang w:val="fr-FR"/>
        </w:rPr>
        <w:tab/>
        <w:t>(Révision 3, comprenant les amendements entrés en vigueur le 14 septembre 2017)</w:t>
      </w:r>
    </w:p>
    <w:p w14:paraId="31710A6E" w14:textId="28ACC597" w:rsidR="00F76CCF" w:rsidRDefault="00F76CCF" w:rsidP="00F76CCF">
      <w:pPr>
        <w:pStyle w:val="SingleTxtG"/>
        <w:ind w:firstLine="567"/>
        <w:jc w:val="center"/>
      </w:pPr>
      <w:r>
        <w:t>_______________</w:t>
      </w:r>
    </w:p>
    <w:p w14:paraId="58A9FCBE" w14:textId="61A867D8" w:rsidR="00F76CCF" w:rsidRPr="000E69D4" w:rsidRDefault="00F76CCF" w:rsidP="00F76CCF">
      <w:pPr>
        <w:pStyle w:val="H1G"/>
      </w:pPr>
      <w:r w:rsidRPr="000E69D4">
        <w:tab/>
      </w:r>
      <w:r w:rsidRPr="000E69D4">
        <w:tab/>
      </w:r>
      <w:r w:rsidRPr="00F76CCF">
        <w:t>Additif</w:t>
      </w:r>
      <w:r w:rsidRPr="000E69D4">
        <w:t xml:space="preserve"> 156 −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0E69D4">
        <w:t>157</w:t>
      </w:r>
    </w:p>
    <w:p w14:paraId="0C51FC9D" w14:textId="77777777" w:rsidR="00F76CCF" w:rsidRPr="00F76CCF" w:rsidRDefault="00F76CCF" w:rsidP="00F76CCF">
      <w:pPr>
        <w:pStyle w:val="H1G"/>
      </w:pPr>
      <w:r w:rsidRPr="000E69D4">
        <w:tab/>
      </w:r>
      <w:r w:rsidRPr="000E69D4">
        <w:tab/>
        <w:t>Révision 1 − Amendement 1</w:t>
      </w:r>
    </w:p>
    <w:p w14:paraId="4054C29D" w14:textId="49F1CB2C" w:rsidR="00F76CCF" w:rsidRPr="000E69D4" w:rsidRDefault="00F76CCF" w:rsidP="00F76CCF">
      <w:pPr>
        <w:pStyle w:val="SingleTxtG"/>
      </w:pPr>
      <w:r w:rsidRPr="000E69D4">
        <w:tab/>
        <w:t>Complément 1 à la série 01 d</w:t>
      </w:r>
      <w:r>
        <w:t>’</w:t>
      </w:r>
      <w:r w:rsidRPr="000E69D4">
        <w:t>amendements − Date d</w:t>
      </w:r>
      <w:r>
        <w:t>’</w:t>
      </w:r>
      <w:r w:rsidRPr="000E69D4">
        <w:t>entrée en vigueur : 24 septembre 2023</w:t>
      </w:r>
    </w:p>
    <w:p w14:paraId="0EBAE7FD" w14:textId="0BE9AC06" w:rsidR="00F76CCF" w:rsidRPr="000E69D4" w:rsidRDefault="00F76CCF" w:rsidP="00F76CCF">
      <w:pPr>
        <w:pStyle w:val="H1G"/>
      </w:pPr>
      <w:r>
        <w:tab/>
      </w:r>
      <w:r>
        <w:tab/>
      </w:r>
      <w:r w:rsidRPr="000E69D4">
        <w:t>Prescriptions uniformes relatives à l</w:t>
      </w:r>
      <w:r>
        <w:t>’</w:t>
      </w:r>
      <w:r w:rsidRPr="000E69D4">
        <w:t xml:space="preserve">homologation des véhicules </w:t>
      </w:r>
      <w:r w:rsidR="00D63111">
        <w:br/>
      </w:r>
      <w:r w:rsidRPr="000E69D4">
        <w:t>en ce qui concerne leur système automatisé de maintien dans la voie</w:t>
      </w:r>
    </w:p>
    <w:p w14:paraId="1231EC29" w14:textId="4067DE73" w:rsidR="00F76CCF" w:rsidRDefault="00F76CCF" w:rsidP="00D63111">
      <w:pPr>
        <w:pStyle w:val="SingleTxtG"/>
        <w:rPr>
          <w:lang w:eastAsia="en-GB"/>
        </w:rPr>
      </w:pPr>
      <w:r w:rsidRPr="000E69D4">
        <w:rPr>
          <w:lang w:eastAsia="en-GB"/>
        </w:rPr>
        <w:t>Le présent document est communiqué uniquement à titre d</w:t>
      </w:r>
      <w:r>
        <w:rPr>
          <w:lang w:eastAsia="en-GB"/>
        </w:rPr>
        <w:t>’</w:t>
      </w:r>
      <w:r w:rsidRPr="000E69D4">
        <w:rPr>
          <w:lang w:eastAsia="en-GB"/>
        </w:rPr>
        <w:t>information. Le texte authentique, juridiquement contraignant, est celui du document ECE/TRANS/WP.29/2023/17.</w:t>
      </w:r>
    </w:p>
    <w:p w14:paraId="03492538" w14:textId="4C1BACD2" w:rsidR="00F76CCF" w:rsidRDefault="00F76CCF" w:rsidP="00F76CCF">
      <w:pPr>
        <w:pStyle w:val="SingleTxtG"/>
        <w:ind w:firstLine="567"/>
        <w:jc w:val="center"/>
        <w:rPr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9FC3" wp14:editId="07249A75">
                <wp:simplePos x="0" y="0"/>
                <wp:positionH relativeFrom="margin">
                  <wp:posOffset>183198</wp:posOffset>
                </wp:positionH>
                <wp:positionV relativeFrom="margin">
                  <wp:posOffset>6071870</wp:posOffset>
                </wp:positionV>
                <wp:extent cx="6120130" cy="115189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28C6" w14:textId="77777777" w:rsidR="00C65B1B" w:rsidRPr="0029791D" w:rsidRDefault="00C65B1B" w:rsidP="00F76CCF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7D4ECCE" w14:textId="77777777" w:rsidR="00C65B1B" w:rsidRDefault="00834EB0" w:rsidP="00C65B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C7CA52B" wp14:editId="54D9618C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D4924" w14:textId="77777777" w:rsidR="00C65B1B" w:rsidRDefault="00C65B1B" w:rsidP="00C65B1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D9F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.45pt;margin-top:478.1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" stroked="f">
                <v:textbox inset="0,0,0,0">
                  <w:txbxContent>
                    <w:p w14:paraId="0E9C28C6" w14:textId="77777777" w:rsidR="00C65B1B" w:rsidRPr="0029791D" w:rsidRDefault="00C65B1B" w:rsidP="00F76CCF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7D4ECCE" w14:textId="77777777" w:rsidR="00C65B1B" w:rsidRDefault="00834EB0" w:rsidP="00C65B1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C7CA52B" wp14:editId="54D9618C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D4924" w14:textId="77777777" w:rsidR="00C65B1B" w:rsidRDefault="00C65B1B" w:rsidP="00C65B1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eastAsia="en-GB"/>
        </w:rPr>
        <w:br w:type="page"/>
      </w:r>
    </w:p>
    <w:p w14:paraId="261B28E9" w14:textId="77777777" w:rsidR="00F76CCF" w:rsidRPr="003A2587" w:rsidRDefault="00F76CCF" w:rsidP="00AF482D">
      <w:pPr>
        <w:pStyle w:val="SingleTxtG"/>
        <w:rPr>
          <w:lang w:val="fr-FR"/>
        </w:rPr>
      </w:pPr>
      <w:r w:rsidRPr="003A2587">
        <w:rPr>
          <w:i/>
          <w:iCs/>
          <w:lang w:val="fr-FR"/>
        </w:rPr>
        <w:lastRenderedPageBreak/>
        <w:t>Paragraphe 2.27</w:t>
      </w:r>
      <w:r w:rsidRPr="003A2587">
        <w:rPr>
          <w:lang w:val="fr-FR"/>
        </w:rPr>
        <w:t>, lire :</w:t>
      </w:r>
    </w:p>
    <w:p w14:paraId="7AFD4BE1" w14:textId="4F38E758" w:rsidR="00F76CCF" w:rsidRPr="003A2587" w:rsidRDefault="00F76CCF" w:rsidP="00AF482D">
      <w:pPr>
        <w:pStyle w:val="SingleTxtG"/>
        <w:ind w:left="2268" w:hanging="1134"/>
        <w:rPr>
          <w:lang w:val="fr-FR"/>
        </w:rPr>
      </w:pPr>
      <w:bookmarkStart w:id="0" w:name="_Hlk25058740"/>
      <w:r w:rsidRPr="003A2587">
        <w:rPr>
          <w:lang w:val="fr-FR"/>
        </w:rPr>
        <w:t>« 2.27</w:t>
      </w:r>
      <w:r w:rsidRPr="003A2587">
        <w:rPr>
          <w:lang w:val="fr-FR"/>
        </w:rPr>
        <w:tab/>
        <w:t>Un “</w:t>
      </w:r>
      <w:r w:rsidRPr="003A2587">
        <w:rPr>
          <w:i/>
          <w:iCs/>
          <w:lang w:val="fr-FR"/>
        </w:rPr>
        <w:t>abandon de la manœuvre de changement de voie</w:t>
      </w:r>
      <w:r w:rsidRPr="003A2587">
        <w:rPr>
          <w:lang w:val="fr-FR"/>
        </w:rPr>
        <w:t>” est une MCV qui n</w:t>
      </w:r>
      <w:r>
        <w:rPr>
          <w:lang w:val="fr-FR"/>
        </w:rPr>
        <w:t>’</w:t>
      </w:r>
      <w:r w:rsidRPr="003A2587">
        <w:rPr>
          <w:lang w:val="fr-FR"/>
        </w:rPr>
        <w:t>a pas abouti et qui donne lieu à un retour du véhicule sur sa voie de départ.</w:t>
      </w:r>
      <w:bookmarkEnd w:id="0"/>
      <w:r w:rsidRPr="003A2587">
        <w:rPr>
          <w:lang w:val="fr-FR"/>
        </w:rPr>
        <w:t> ».</w:t>
      </w:r>
    </w:p>
    <w:p w14:paraId="625503C0" w14:textId="77777777" w:rsidR="00F76CCF" w:rsidRPr="003A2587" w:rsidRDefault="00F76CCF" w:rsidP="00AF482D">
      <w:pPr>
        <w:pStyle w:val="SingleTxtG"/>
        <w:rPr>
          <w:lang w:val="fr-FR"/>
        </w:rPr>
      </w:pPr>
      <w:r w:rsidRPr="003A2587">
        <w:rPr>
          <w:i/>
          <w:iCs/>
          <w:lang w:val="fr-FR"/>
        </w:rPr>
        <w:t>Paragraphe 8.2.1</w:t>
      </w:r>
      <w:r w:rsidRPr="003A2587">
        <w:rPr>
          <w:lang w:val="fr-FR"/>
        </w:rPr>
        <w:t>, lire :</w:t>
      </w:r>
    </w:p>
    <w:p w14:paraId="727DD741" w14:textId="77777777" w:rsidR="00F76CCF" w:rsidRPr="003A2587" w:rsidRDefault="00F76CCF" w:rsidP="00AF482D">
      <w:pPr>
        <w:pStyle w:val="SingleTxtG"/>
        <w:ind w:left="2835" w:hanging="567"/>
        <w:rPr>
          <w:lang w:val="fr-FR" w:eastAsia="ja-JP"/>
        </w:rPr>
      </w:pPr>
      <w:r w:rsidRPr="003A2587">
        <w:rPr>
          <w:lang w:val="fr-FR" w:eastAsia="ja-JP"/>
        </w:rPr>
        <w:t>« …</w:t>
      </w:r>
    </w:p>
    <w:p w14:paraId="60B7D824" w14:textId="77777777" w:rsidR="00F76CCF" w:rsidRPr="003A2587" w:rsidRDefault="00F76CCF" w:rsidP="00F76CCF">
      <w:pPr>
        <w:pStyle w:val="SingleTxtG"/>
        <w:ind w:left="2835" w:hanging="567"/>
        <w:rPr>
          <w:rFonts w:eastAsia="MS Gothic"/>
          <w:lang w:val="fr-FR"/>
        </w:rPr>
      </w:pPr>
      <w:r w:rsidRPr="003A2587">
        <w:rPr>
          <w:lang w:val="fr-FR"/>
        </w:rPr>
        <w:t>k)</w:t>
      </w:r>
      <w:r w:rsidRPr="003A2587">
        <w:rPr>
          <w:lang w:val="fr-FR"/>
        </w:rPr>
        <w:tab/>
        <w:t>Défaillance grave du véhicule ;</w:t>
      </w:r>
    </w:p>
    <w:p w14:paraId="07EBBCEA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l)</w:t>
      </w:r>
      <w:r w:rsidRPr="003A2587">
        <w:rPr>
          <w:lang w:val="fr-FR"/>
        </w:rPr>
        <w:tab/>
        <w:t>Début de la procédure de changement de voie ;</w:t>
      </w:r>
    </w:p>
    <w:p w14:paraId="79BB1CB2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m)</w:t>
      </w:r>
      <w:r w:rsidRPr="003A2587">
        <w:rPr>
          <w:lang w:val="fr-FR"/>
        </w:rPr>
        <w:tab/>
        <w:t>Fin de la procédure de changement de voie ;</w:t>
      </w:r>
    </w:p>
    <w:p w14:paraId="1A48C1A4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n)</w:t>
      </w:r>
      <w:r w:rsidRPr="003A2587">
        <w:rPr>
          <w:lang w:val="fr-FR"/>
        </w:rPr>
        <w:tab/>
        <w:t>Abandon de la manœuvre de changement de voie ;</w:t>
      </w:r>
    </w:p>
    <w:p w14:paraId="7439767C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o)</w:t>
      </w:r>
      <w:r w:rsidRPr="003A2587">
        <w:rPr>
          <w:lang w:val="fr-FR"/>
        </w:rPr>
        <w:tab/>
        <w:t>Début du franchissement intentionnel des marques de la voie</w:t>
      </w:r>
      <w:r w:rsidRPr="003A2587">
        <w:rPr>
          <w:lang w:val="fr-FR"/>
        </w:rPr>
        <w:tab/>
        <w:t>(5.2.1.1 d)) ;</w:t>
      </w:r>
    </w:p>
    <w:p w14:paraId="5B835EF1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p)</w:t>
      </w:r>
      <w:r w:rsidRPr="003A2587">
        <w:rPr>
          <w:lang w:val="fr-FR"/>
        </w:rPr>
        <w:tab/>
        <w:t>Fin du franchissement intentionnel des marques de la voie (5.2.1.1 d)). ».</w:t>
      </w:r>
    </w:p>
    <w:p w14:paraId="59DE32F8" w14:textId="77777777" w:rsidR="00F76CCF" w:rsidRPr="003A2587" w:rsidRDefault="00F76CCF" w:rsidP="00F76CCF">
      <w:pPr>
        <w:pStyle w:val="SingleTxtG"/>
        <w:keepNext/>
        <w:rPr>
          <w:iCs/>
          <w:lang w:val="fr-FR"/>
        </w:rPr>
      </w:pPr>
      <w:r w:rsidRPr="003A2587">
        <w:rPr>
          <w:i/>
          <w:iCs/>
          <w:lang w:val="fr-FR"/>
        </w:rPr>
        <w:t>Paragraphe 8.2.2</w:t>
      </w:r>
      <w:r w:rsidRPr="003A2587">
        <w:rPr>
          <w:lang w:val="fr-FR"/>
        </w:rPr>
        <w:t>, lire :</w:t>
      </w:r>
    </w:p>
    <w:p w14:paraId="3C5631C1" w14:textId="50CB2E38" w:rsidR="00F76CCF" w:rsidRPr="003A2587" w:rsidRDefault="00F76CCF" w:rsidP="00F76CCF">
      <w:pPr>
        <w:pStyle w:val="SingleTxtG"/>
        <w:ind w:left="2268" w:hanging="1134"/>
        <w:rPr>
          <w:lang w:val="fr-FR"/>
        </w:rPr>
      </w:pPr>
      <w:r w:rsidRPr="003A2587">
        <w:rPr>
          <w:lang w:val="fr-FR"/>
        </w:rPr>
        <w:t>« 8.2.2</w:t>
      </w:r>
      <w:r w:rsidRPr="003A2587">
        <w:rPr>
          <w:lang w:val="fr-FR"/>
        </w:rPr>
        <w:tab/>
        <w:t>Les types d</w:t>
      </w:r>
      <w:r>
        <w:rPr>
          <w:lang w:val="fr-FR"/>
        </w:rPr>
        <w:t>’</w:t>
      </w:r>
      <w:r w:rsidRPr="003A2587">
        <w:rPr>
          <w:lang w:val="fr-FR"/>
        </w:rPr>
        <w:t>événements énumérés au paragraphe</w:t>
      </w:r>
      <w:r>
        <w:rPr>
          <w:lang w:val="fr-FR"/>
        </w:rPr>
        <w:t xml:space="preserve"> </w:t>
      </w:r>
      <w:r w:rsidRPr="003A2587">
        <w:rPr>
          <w:lang w:val="fr-FR"/>
        </w:rPr>
        <w:t>8.2.1 l) et o) ne doivent être stockés que s</w:t>
      </w:r>
      <w:r>
        <w:rPr>
          <w:lang w:val="fr-FR"/>
        </w:rPr>
        <w:t>’</w:t>
      </w:r>
      <w:r w:rsidRPr="003A2587">
        <w:rPr>
          <w:lang w:val="fr-FR"/>
        </w:rPr>
        <w:t>ils se produisent dans les 30 secondes précédant les événements suivants :</w:t>
      </w:r>
    </w:p>
    <w:p w14:paraId="51BF94E6" w14:textId="5C9BF3D0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a)</w:t>
      </w:r>
      <w:r w:rsidRPr="003A2587">
        <w:rPr>
          <w:lang w:val="fr-FR"/>
        </w:rPr>
        <w:tab/>
        <w:t>Début de la manœuvre d</w:t>
      </w:r>
      <w:r>
        <w:rPr>
          <w:lang w:val="fr-FR"/>
        </w:rPr>
        <w:t>’</w:t>
      </w:r>
      <w:r w:rsidRPr="003A2587">
        <w:rPr>
          <w:lang w:val="fr-FR"/>
        </w:rPr>
        <w:t>urgence ;</w:t>
      </w:r>
    </w:p>
    <w:p w14:paraId="3DC028F3" w14:textId="2A1B0CCC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b)</w:t>
      </w:r>
      <w:r w:rsidRPr="003A2587">
        <w:rPr>
          <w:lang w:val="fr-FR"/>
        </w:rPr>
        <w:tab/>
        <w:t>Détection d</w:t>
      </w:r>
      <w:r>
        <w:rPr>
          <w:lang w:val="fr-FR"/>
        </w:rPr>
        <w:t>’</w:t>
      </w:r>
      <w:r w:rsidRPr="003A2587">
        <w:rPr>
          <w:lang w:val="fr-FR"/>
        </w:rPr>
        <w:t>un danger de collision ;</w:t>
      </w:r>
    </w:p>
    <w:p w14:paraId="0FEFD39D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c)</w:t>
      </w:r>
      <w:r w:rsidRPr="003A2587">
        <w:rPr>
          <w:lang w:val="fr-FR"/>
        </w:rPr>
        <w:tab/>
        <w:t>Abandon de la manœuvre de changement de voie ;</w:t>
      </w:r>
    </w:p>
    <w:p w14:paraId="7E95DFA2" w14:textId="63CCAB29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d)</w:t>
      </w:r>
      <w:r w:rsidRPr="003A2587">
        <w:rPr>
          <w:lang w:val="fr-FR"/>
        </w:rPr>
        <w:tab/>
        <w:t>Action de déclenchement de l</w:t>
      </w:r>
      <w:r>
        <w:rPr>
          <w:lang w:val="fr-FR"/>
        </w:rPr>
        <w:t>’</w:t>
      </w:r>
      <w:r w:rsidRPr="003A2587">
        <w:rPr>
          <w:lang w:val="fr-FR"/>
        </w:rPr>
        <w:t>enregistreur de données de route ;</w:t>
      </w:r>
    </w:p>
    <w:p w14:paraId="56B1537E" w14:textId="77777777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ou dans les 5 secondes précédant une neutralisation du système. ».</w:t>
      </w:r>
    </w:p>
    <w:p w14:paraId="6BDCFC89" w14:textId="77777777" w:rsidR="00F76CCF" w:rsidRPr="003A2587" w:rsidRDefault="00F76CCF" w:rsidP="00F76CCF">
      <w:pPr>
        <w:pStyle w:val="SingleTxtG"/>
        <w:keepNext/>
        <w:rPr>
          <w:lang w:val="fr-FR"/>
        </w:rPr>
      </w:pPr>
      <w:r w:rsidRPr="003A2587">
        <w:rPr>
          <w:i/>
          <w:iCs/>
          <w:lang w:val="fr-FR"/>
        </w:rPr>
        <w:t>Paragraphe 8.2.3</w:t>
      </w:r>
      <w:r w:rsidRPr="003A2587">
        <w:rPr>
          <w:lang w:val="fr-FR"/>
        </w:rPr>
        <w:t>, lire :</w:t>
      </w:r>
    </w:p>
    <w:p w14:paraId="17D105F7" w14:textId="2322F793" w:rsidR="00F76CCF" w:rsidRPr="003A2587" w:rsidRDefault="00F76CCF" w:rsidP="00F76CCF">
      <w:pPr>
        <w:pStyle w:val="SingleTxtG"/>
        <w:ind w:left="2268" w:hanging="1134"/>
        <w:rPr>
          <w:lang w:val="fr-FR"/>
        </w:rPr>
      </w:pPr>
      <w:r w:rsidRPr="003A2587">
        <w:rPr>
          <w:lang w:val="fr-FR"/>
        </w:rPr>
        <w:t>« 8.2.3</w:t>
      </w:r>
      <w:r w:rsidRPr="003A2587">
        <w:rPr>
          <w:lang w:val="fr-FR"/>
        </w:rPr>
        <w:tab/>
        <w:t>Les types d</w:t>
      </w:r>
      <w:r>
        <w:rPr>
          <w:lang w:val="fr-FR"/>
        </w:rPr>
        <w:t>’</w:t>
      </w:r>
      <w:r w:rsidRPr="003A2587">
        <w:rPr>
          <w:lang w:val="fr-FR"/>
        </w:rPr>
        <w:t>événements énumérés au paragraphe 8.2.1</w:t>
      </w:r>
      <w:r>
        <w:rPr>
          <w:lang w:val="fr-FR"/>
        </w:rPr>
        <w:t> </w:t>
      </w:r>
      <w:r w:rsidRPr="003A2587">
        <w:rPr>
          <w:lang w:val="fr-FR"/>
        </w:rPr>
        <w:t>m) et p) ne doivent être stockés que s</w:t>
      </w:r>
      <w:r>
        <w:rPr>
          <w:lang w:val="fr-FR"/>
        </w:rPr>
        <w:t>’</w:t>
      </w:r>
      <w:r w:rsidRPr="003A2587">
        <w:rPr>
          <w:lang w:val="fr-FR"/>
        </w:rPr>
        <w:t>ils se produisent dans les 30 secondes précédant les événements suivants :</w:t>
      </w:r>
    </w:p>
    <w:p w14:paraId="48DE8150" w14:textId="5019F4AF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a)</w:t>
      </w:r>
      <w:r w:rsidRPr="003A2587">
        <w:rPr>
          <w:lang w:val="fr-FR"/>
        </w:rPr>
        <w:tab/>
        <w:t>Début de la manœuvre d</w:t>
      </w:r>
      <w:r>
        <w:rPr>
          <w:lang w:val="fr-FR"/>
        </w:rPr>
        <w:t>’</w:t>
      </w:r>
      <w:r w:rsidRPr="003A2587">
        <w:rPr>
          <w:lang w:val="fr-FR"/>
        </w:rPr>
        <w:t>urgence ;</w:t>
      </w:r>
    </w:p>
    <w:p w14:paraId="1B13B6D4" w14:textId="5E4EF30F" w:rsidR="00F76CCF" w:rsidRPr="003A258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b)</w:t>
      </w:r>
      <w:r w:rsidRPr="003A2587">
        <w:rPr>
          <w:lang w:val="fr-FR"/>
        </w:rPr>
        <w:tab/>
        <w:t>Détection d</w:t>
      </w:r>
      <w:r>
        <w:rPr>
          <w:lang w:val="fr-FR"/>
        </w:rPr>
        <w:t>’</w:t>
      </w:r>
      <w:r w:rsidRPr="003A2587">
        <w:rPr>
          <w:lang w:val="fr-FR"/>
        </w:rPr>
        <w:t>un danger de collision ; ou</w:t>
      </w:r>
    </w:p>
    <w:p w14:paraId="15367B02" w14:textId="50E43A96" w:rsidR="005F0207" w:rsidRDefault="00F76CCF" w:rsidP="00F76CCF">
      <w:pPr>
        <w:pStyle w:val="SingleTxtG"/>
        <w:ind w:left="2835" w:hanging="567"/>
        <w:rPr>
          <w:lang w:val="fr-FR"/>
        </w:rPr>
      </w:pPr>
      <w:r w:rsidRPr="003A2587">
        <w:rPr>
          <w:lang w:val="fr-FR"/>
        </w:rPr>
        <w:t>c)</w:t>
      </w:r>
      <w:r w:rsidRPr="003A2587">
        <w:rPr>
          <w:lang w:val="fr-FR"/>
        </w:rPr>
        <w:tab/>
        <w:t>Action de déclenchement de l</w:t>
      </w:r>
      <w:r>
        <w:rPr>
          <w:lang w:val="fr-FR"/>
        </w:rPr>
        <w:t>’</w:t>
      </w:r>
      <w:r w:rsidRPr="003A2587">
        <w:rPr>
          <w:lang w:val="fr-FR"/>
        </w:rPr>
        <w:t>enregistreur de données de route. ».</w:t>
      </w:r>
    </w:p>
    <w:p w14:paraId="018516F4" w14:textId="7FA3C2F1" w:rsidR="00F76CCF" w:rsidRPr="00F76CCF" w:rsidRDefault="00F76CCF" w:rsidP="00F76CC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6CCF" w:rsidRPr="00F76CCF" w:rsidSect="00F76C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5DF8" w14:textId="77777777" w:rsidR="00392998" w:rsidRDefault="00392998"/>
  </w:endnote>
  <w:endnote w:type="continuationSeparator" w:id="0">
    <w:p w14:paraId="0C88177A" w14:textId="77777777" w:rsidR="00392998" w:rsidRDefault="00392998">
      <w:pPr>
        <w:pStyle w:val="Pieddepage"/>
      </w:pPr>
    </w:p>
  </w:endnote>
  <w:endnote w:type="continuationNotice" w:id="1">
    <w:p w14:paraId="08A034FB" w14:textId="77777777" w:rsidR="00392998" w:rsidRPr="00C451B9" w:rsidRDefault="0039299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FF65" w14:textId="77777777" w:rsidR="00F76CCF" w:rsidRPr="00F76CCF" w:rsidRDefault="00F76CCF" w:rsidP="00F76CCF">
    <w:pPr>
      <w:pStyle w:val="Pieddepage"/>
      <w:tabs>
        <w:tab w:val="right" w:pos="9638"/>
      </w:tabs>
    </w:pPr>
    <w:r w:rsidRPr="00F76CCF">
      <w:rPr>
        <w:b/>
        <w:sz w:val="18"/>
      </w:rPr>
      <w:fldChar w:fldCharType="begin"/>
    </w:r>
    <w:r w:rsidRPr="00F76CCF">
      <w:rPr>
        <w:b/>
        <w:sz w:val="18"/>
      </w:rPr>
      <w:instrText xml:space="preserve"> PAGE  \* MERGEFORMAT </w:instrText>
    </w:r>
    <w:r w:rsidRPr="00F76CCF">
      <w:rPr>
        <w:b/>
        <w:sz w:val="18"/>
      </w:rPr>
      <w:fldChar w:fldCharType="separate"/>
    </w:r>
    <w:r w:rsidRPr="00F76CCF">
      <w:rPr>
        <w:b/>
        <w:noProof/>
        <w:sz w:val="18"/>
      </w:rPr>
      <w:t>2</w:t>
    </w:r>
    <w:r w:rsidRPr="00F76CCF">
      <w:rPr>
        <w:b/>
        <w:sz w:val="18"/>
      </w:rPr>
      <w:fldChar w:fldCharType="end"/>
    </w:r>
    <w:r>
      <w:rPr>
        <w:b/>
        <w:sz w:val="18"/>
      </w:rPr>
      <w:tab/>
    </w:r>
    <w:r>
      <w:t>GE.23-24872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39A1" w14:textId="77777777" w:rsidR="00F76CCF" w:rsidRPr="00F76CCF" w:rsidRDefault="00F76CCF" w:rsidP="00F76CCF">
    <w:pPr>
      <w:pStyle w:val="Pieddepage"/>
      <w:tabs>
        <w:tab w:val="right" w:pos="9638"/>
      </w:tabs>
      <w:rPr>
        <w:b/>
        <w:sz w:val="18"/>
      </w:rPr>
    </w:pPr>
    <w:r>
      <w:t>GE.23-24872</w:t>
    </w:r>
    <w:r>
      <w:tab/>
    </w:r>
    <w:r w:rsidRPr="00F76CCF">
      <w:rPr>
        <w:b/>
        <w:sz w:val="18"/>
      </w:rPr>
      <w:fldChar w:fldCharType="begin"/>
    </w:r>
    <w:r w:rsidRPr="00F76CCF">
      <w:rPr>
        <w:b/>
        <w:sz w:val="18"/>
      </w:rPr>
      <w:instrText xml:space="preserve"> PAGE  \* MERGEFORMAT </w:instrText>
    </w:r>
    <w:r w:rsidRPr="00F76CCF">
      <w:rPr>
        <w:b/>
        <w:sz w:val="18"/>
      </w:rPr>
      <w:fldChar w:fldCharType="separate"/>
    </w:r>
    <w:r w:rsidRPr="00F76CCF">
      <w:rPr>
        <w:b/>
        <w:noProof/>
        <w:sz w:val="18"/>
      </w:rPr>
      <w:t>3</w:t>
    </w:r>
    <w:r w:rsidRPr="00F76C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A20A" w14:textId="2EAF447B" w:rsidR="00A66781" w:rsidRPr="00F76CCF" w:rsidRDefault="00F76CCF" w:rsidP="00F76CCF">
    <w:pPr>
      <w:spacing w:before="120" w:line="240" w:lineRule="auto"/>
    </w:pPr>
    <w:r>
      <w:t>GE.</w:t>
    </w:r>
    <w:r w:rsidR="00834EB0"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57FAA01D" wp14:editId="44DD61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23-24872  (F)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21D12029" wp14:editId="6ECB76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81307251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B1B">
      <w:t xml:space="preserve">    040324    050324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3BBA" w14:textId="77777777" w:rsidR="00392998" w:rsidRPr="00D27D5E" w:rsidRDefault="0039299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E5FEF2" w14:textId="77777777" w:rsidR="00392998" w:rsidRPr="00D171D4" w:rsidRDefault="0039299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E846D2C" w14:textId="77777777" w:rsidR="00392998" w:rsidRPr="00C451B9" w:rsidRDefault="00392998" w:rsidP="00C451B9">
      <w:pPr>
        <w:spacing w:line="240" w:lineRule="auto"/>
        <w:rPr>
          <w:sz w:val="2"/>
          <w:szCs w:val="2"/>
        </w:rPr>
      </w:pPr>
    </w:p>
  </w:footnote>
  <w:footnote w:id="2">
    <w:p w14:paraId="7311F413" w14:textId="3F823F67" w:rsidR="00F76CCF" w:rsidRDefault="00F76CCF">
      <w:pPr>
        <w:pStyle w:val="Notedebasdepage"/>
        <w:rPr>
          <w:rFonts w:eastAsia="Times New Roman"/>
        </w:rPr>
      </w:pPr>
      <w:r>
        <w:rPr>
          <w:rStyle w:val="Appelnotedebasdep"/>
        </w:rPr>
        <w:tab/>
      </w:r>
      <w:r w:rsidRPr="00F76CC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0E69D4">
        <w:rPr>
          <w:rFonts w:eastAsia="Times New Roman"/>
        </w:rPr>
        <w:t>Anciens titres de l</w:t>
      </w:r>
      <w:r w:rsidR="00D63111">
        <w:rPr>
          <w:rFonts w:eastAsia="Times New Roman"/>
        </w:rPr>
        <w:t>’</w:t>
      </w:r>
      <w:r w:rsidRPr="000E69D4">
        <w:rPr>
          <w:rFonts w:eastAsia="Times New Roman"/>
        </w:rPr>
        <w:t>Accord :</w:t>
      </w:r>
    </w:p>
    <w:p w14:paraId="4BDF6593" w14:textId="065E2B3D" w:rsidR="00F76CCF" w:rsidRPr="000E69D4" w:rsidRDefault="00F76CCF" w:rsidP="00F76CCF">
      <w:pPr>
        <w:pStyle w:val="Notedebasdepage"/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E69D4">
        <w:rPr>
          <w:rFonts w:eastAsia="Times New Roman"/>
        </w:rPr>
        <w:t>Accord concernant l</w:t>
      </w:r>
      <w:r w:rsidR="00D63111">
        <w:rPr>
          <w:rFonts w:eastAsia="Times New Roman"/>
        </w:rPr>
        <w:t>’</w:t>
      </w:r>
      <w:r w:rsidRPr="000E69D4">
        <w:rPr>
          <w:rFonts w:eastAsia="Times New Roman"/>
        </w:rPr>
        <w:t>adoption de conditions uniformes d</w:t>
      </w:r>
      <w:r w:rsidR="00D63111">
        <w:rPr>
          <w:rFonts w:eastAsia="Times New Roman"/>
        </w:rPr>
        <w:t>’</w:t>
      </w:r>
      <w:r w:rsidRPr="000E69D4">
        <w:rPr>
          <w:rFonts w:eastAsia="Times New Roman"/>
        </w:rPr>
        <w:t>homologation et la reconnaissance réciproque de l</w:t>
      </w:r>
      <w:r w:rsidR="00D63111">
        <w:rPr>
          <w:rFonts w:eastAsia="Times New Roman"/>
        </w:rPr>
        <w:t>’</w:t>
      </w:r>
      <w:r w:rsidRPr="000E69D4">
        <w:rPr>
          <w:rFonts w:eastAsia="Times New Roman"/>
        </w:rPr>
        <w:t>homologation des équipements et pièces de véhicules à moteur, en date, à Genève, du</w:t>
      </w:r>
      <w:r>
        <w:rPr>
          <w:rFonts w:eastAsia="Times New Roman"/>
        </w:rPr>
        <w:t> </w:t>
      </w:r>
      <w:r w:rsidRPr="000E69D4">
        <w:rPr>
          <w:rFonts w:eastAsia="Times New Roman"/>
        </w:rPr>
        <w:t>20 mars 1958 (version originale) ;</w:t>
      </w:r>
    </w:p>
    <w:p w14:paraId="3529547D" w14:textId="4331F029" w:rsidR="00F76CCF" w:rsidRPr="00F76CCF" w:rsidRDefault="00F76CCF" w:rsidP="00F76CCF">
      <w:pPr>
        <w:pStyle w:val="Notedebasdepage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E69D4">
        <w:rPr>
          <w:rFonts w:eastAsia="Times New Roman"/>
        </w:rPr>
        <w:t>Accord concernant l</w:t>
      </w:r>
      <w:r w:rsidR="00D63111">
        <w:rPr>
          <w:rFonts w:eastAsia="Times New Roman"/>
        </w:rPr>
        <w:t>’</w:t>
      </w:r>
      <w:r w:rsidRPr="000E69D4">
        <w:rPr>
          <w:rFonts w:eastAsia="Times New Roman"/>
        </w:rPr>
        <w:t>adoption de prescriptions techniques uniformes applicables aux véhicules à</w:t>
      </w:r>
      <w:r w:rsidR="00EF3DAE">
        <w:rPr>
          <w:rFonts w:eastAsia="Times New Roman"/>
        </w:rPr>
        <w:t> </w:t>
      </w:r>
      <w:r w:rsidRPr="000E69D4">
        <w:rPr>
          <w:rFonts w:eastAsia="Times New Roman"/>
        </w:rPr>
        <w:t>roues, aux équipements et aux pièces susceptibles d</w:t>
      </w:r>
      <w:r w:rsidR="00D63111">
        <w:rPr>
          <w:rFonts w:eastAsia="Times New Roman"/>
        </w:rPr>
        <w:t>’</w:t>
      </w:r>
      <w:r w:rsidRPr="000E69D4">
        <w:rPr>
          <w:rFonts w:eastAsia="Times New Roman"/>
        </w:rPr>
        <w:t xml:space="preserve">être montés ou utilisés sur un véhicule </w:t>
      </w:r>
      <w:r w:rsidR="00EF3DAE">
        <w:rPr>
          <w:rFonts w:eastAsia="Times New Roman"/>
        </w:rPr>
        <w:br/>
      </w:r>
      <w:r w:rsidRPr="000E69D4">
        <w:rPr>
          <w:rFonts w:eastAsia="Times New Roman"/>
        </w:rPr>
        <w:t>à roues et les conditions de reconnaissance réciproque des homologations délivrées conformément à</w:t>
      </w:r>
      <w:r w:rsidR="00EF3DAE">
        <w:rPr>
          <w:rFonts w:eastAsia="Times New Roman"/>
        </w:rPr>
        <w:t> </w:t>
      </w:r>
      <w:r w:rsidRPr="000E69D4">
        <w:rPr>
          <w:rFonts w:eastAsia="Times New Roman"/>
        </w:rPr>
        <w:t>ces prescriptions, en date, à Genève, du 5 octobre 1995 (Révision 2)</w:t>
      </w:r>
      <w:r w:rsidRPr="00640EB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51A8" w14:textId="4E94BA54" w:rsidR="00F76CCF" w:rsidRPr="00F76CCF" w:rsidRDefault="00F76CCF">
    <w:pPr>
      <w:pStyle w:val="En-tte"/>
    </w:pPr>
    <w:fldSimple w:instr=" TITLE  \* MERGEFORMAT ">
      <w:r w:rsidR="00EF3DAE">
        <w:t>E/ECE/TRANS/505/Rev.3/Add.156/Rev.1/Amend.1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FF99" w14:textId="7EC2BDBB" w:rsidR="00F76CCF" w:rsidRPr="00F76CCF" w:rsidRDefault="00F76CCF" w:rsidP="00F76CCF">
    <w:pPr>
      <w:pStyle w:val="En-tte"/>
      <w:jc w:val="right"/>
    </w:pPr>
    <w:fldSimple w:instr=" TITLE  \* MERGEFORMAT ">
      <w:r w:rsidR="00EF3DAE">
        <w:t>E/ECE/TRANS/505/Rev.3/Add.156/Rev.1/Amend.1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65614632">
    <w:abstractNumId w:val="2"/>
  </w:num>
  <w:num w:numId="2" w16cid:durableId="280771425">
    <w:abstractNumId w:val="1"/>
  </w:num>
  <w:num w:numId="3" w16cid:durableId="382142626">
    <w:abstractNumId w:val="0"/>
  </w:num>
  <w:num w:numId="4" w16cid:durableId="154995083">
    <w:abstractNumId w:val="2"/>
  </w:num>
  <w:num w:numId="5" w16cid:durableId="1686789297">
    <w:abstractNumId w:val="1"/>
  </w:num>
  <w:num w:numId="6" w16cid:durableId="1674453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8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7E35"/>
    <w:rsid w:val="0008669E"/>
    <w:rsid w:val="00090599"/>
    <w:rsid w:val="000A1501"/>
    <w:rsid w:val="000A2494"/>
    <w:rsid w:val="000A6B7E"/>
    <w:rsid w:val="000B0996"/>
    <w:rsid w:val="000C6CDB"/>
    <w:rsid w:val="000C76A8"/>
    <w:rsid w:val="000D5C25"/>
    <w:rsid w:val="000E4F06"/>
    <w:rsid w:val="000E5601"/>
    <w:rsid w:val="000F41F2"/>
    <w:rsid w:val="000F782E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B50"/>
    <w:rsid w:val="002D25CA"/>
    <w:rsid w:val="002D3DA4"/>
    <w:rsid w:val="002E2F5C"/>
    <w:rsid w:val="002E3835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47360"/>
    <w:rsid w:val="003515AA"/>
    <w:rsid w:val="003559BE"/>
    <w:rsid w:val="00364F13"/>
    <w:rsid w:val="0036776C"/>
    <w:rsid w:val="00372A7A"/>
    <w:rsid w:val="00372D1D"/>
    <w:rsid w:val="00374106"/>
    <w:rsid w:val="0037679A"/>
    <w:rsid w:val="0038047C"/>
    <w:rsid w:val="00382062"/>
    <w:rsid w:val="00387BE2"/>
    <w:rsid w:val="00390EEF"/>
    <w:rsid w:val="00392998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549A"/>
    <w:rsid w:val="005D0035"/>
    <w:rsid w:val="005D7719"/>
    <w:rsid w:val="005E1B9B"/>
    <w:rsid w:val="005E32D1"/>
    <w:rsid w:val="005E5D1F"/>
    <w:rsid w:val="005F0207"/>
    <w:rsid w:val="006025BC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4AD"/>
    <w:rsid w:val="006A613F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62B1B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9247E"/>
    <w:rsid w:val="00AA0DCA"/>
    <w:rsid w:val="00AA7796"/>
    <w:rsid w:val="00AC3BD0"/>
    <w:rsid w:val="00AC67A1"/>
    <w:rsid w:val="00AC7977"/>
    <w:rsid w:val="00AC7E56"/>
    <w:rsid w:val="00AE2617"/>
    <w:rsid w:val="00AE352C"/>
    <w:rsid w:val="00AE4CCA"/>
    <w:rsid w:val="00AE79AC"/>
    <w:rsid w:val="00AF068B"/>
    <w:rsid w:val="00AF482D"/>
    <w:rsid w:val="00B01AAD"/>
    <w:rsid w:val="00B101DB"/>
    <w:rsid w:val="00B21751"/>
    <w:rsid w:val="00B256F0"/>
    <w:rsid w:val="00B25EA9"/>
    <w:rsid w:val="00B31D7D"/>
    <w:rsid w:val="00B32E2D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90230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111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3DAE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76CCF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FB4408"/>
  <w15:docId w15:val="{AEB4DA6C-614B-436F-A86B-A4CB8FB6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6025B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025BC"/>
    <w:rPr>
      <w:rFonts w:eastAsia="SimSun"/>
      <w:lang w:val="fr-CH" w:eastAsia="en-US"/>
    </w:rPr>
  </w:style>
  <w:style w:type="character" w:styleId="Lienhypertexte">
    <w:name w:val="Hyperlink"/>
    <w:semiHidden/>
    <w:rsid w:val="007E7734"/>
    <w:rPr>
      <w:color w:val="0000FF"/>
      <w:u w:val="none"/>
    </w:rPr>
  </w:style>
  <w:style w:type="character" w:styleId="Lienhypertextesuivivisit">
    <w:name w:val="FollowedHyperlink"/>
    <w:semiHidden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6025B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uiPriority w:val="99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,PP Car,5_G_6 Car,Fußnotentext Car"/>
    <w:link w:val="Notedebasdepage"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  <w:style w:type="character" w:customStyle="1" w:styleId="H1GChar">
    <w:name w:val="_ H_1_G Char"/>
    <w:link w:val="H1G"/>
    <w:rsid w:val="00F76CCF"/>
    <w:rPr>
      <w:rFonts w:eastAsia="SimSun"/>
      <w:b/>
      <w:sz w:val="24"/>
      <w:lang w:val="fr-CH" w:eastAsia="en-US"/>
    </w:rPr>
  </w:style>
  <w:style w:type="character" w:customStyle="1" w:styleId="HChGChar">
    <w:name w:val="_ H _Ch_G Char"/>
    <w:link w:val="HChG"/>
    <w:rsid w:val="00F76CCF"/>
    <w:rPr>
      <w:rFonts w:eastAsia="SimSun"/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9F285-805C-4585-B4AC-5A97E273428E}"/>
</file>

<file path=customXml/itemProps2.xml><?xml version="1.0" encoding="utf-8"?>
<ds:datastoreItem xmlns:ds="http://schemas.openxmlformats.org/officeDocument/2006/customXml" ds:itemID="{47297040-19B3-4939-B1BB-8339C1373174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5</TotalTime>
  <Pages>2</Pages>
  <Words>343</Words>
  <Characters>1947</Characters>
  <Application>Microsoft Office Word</Application>
  <DocSecurity>0</DocSecurity>
  <Lines>72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E/ECE/TRANS/505/Rev.3/Add.156/Rev.1/Amend.1</vt:lpstr>
    </vt:vector>
  </TitlesOfParts>
  <Manager>Corinne</Manager>
  <Company>CSD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E/ECE/TRANS/505/Rev.3/Add.156/Rev.1/Amend.1</dc:title>
  <dc:subject/>
  <dc:creator>Corinne ROBERT</dc:creator>
  <cp:keywords/>
  <cp:lastModifiedBy>Corinne Robert</cp:lastModifiedBy>
  <cp:revision>3</cp:revision>
  <cp:lastPrinted>2024-03-05T08:49:00Z</cp:lastPrinted>
  <dcterms:created xsi:type="dcterms:W3CDTF">2024-03-05T08:49:00Z</dcterms:created>
  <dcterms:modified xsi:type="dcterms:W3CDTF">2024-03-05T08:54:00Z</dcterms:modified>
</cp:coreProperties>
</file>