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51E09" w14:paraId="2BD8722B" w14:textId="77777777" w:rsidTr="00B20551">
        <w:trPr>
          <w:cantSplit/>
          <w:trHeight w:hRule="exact" w:val="851"/>
        </w:trPr>
        <w:tc>
          <w:tcPr>
            <w:tcW w:w="1276" w:type="dxa"/>
            <w:tcBorders>
              <w:bottom w:val="single" w:sz="4" w:space="0" w:color="auto"/>
            </w:tcBorders>
            <w:vAlign w:val="bottom"/>
          </w:tcPr>
          <w:p w14:paraId="1096322E" w14:textId="77777777" w:rsidR="009E6CB7" w:rsidRPr="00F51E09" w:rsidRDefault="009E6CB7" w:rsidP="00B20551">
            <w:pPr>
              <w:spacing w:after="80"/>
            </w:pPr>
          </w:p>
        </w:tc>
        <w:tc>
          <w:tcPr>
            <w:tcW w:w="2268" w:type="dxa"/>
            <w:tcBorders>
              <w:bottom w:val="single" w:sz="4" w:space="0" w:color="auto"/>
            </w:tcBorders>
            <w:vAlign w:val="bottom"/>
          </w:tcPr>
          <w:p w14:paraId="6D0FD704" w14:textId="77777777" w:rsidR="009E6CB7" w:rsidRPr="00F51E09" w:rsidRDefault="009E6CB7" w:rsidP="00B20551">
            <w:pPr>
              <w:spacing w:after="80" w:line="300" w:lineRule="exact"/>
              <w:rPr>
                <w:b/>
                <w:sz w:val="24"/>
                <w:szCs w:val="24"/>
              </w:rPr>
            </w:pPr>
            <w:r w:rsidRPr="00F51E09">
              <w:rPr>
                <w:sz w:val="28"/>
                <w:szCs w:val="28"/>
              </w:rPr>
              <w:t>United Nations</w:t>
            </w:r>
          </w:p>
        </w:tc>
        <w:tc>
          <w:tcPr>
            <w:tcW w:w="6095" w:type="dxa"/>
            <w:gridSpan w:val="2"/>
            <w:tcBorders>
              <w:bottom w:val="single" w:sz="4" w:space="0" w:color="auto"/>
            </w:tcBorders>
            <w:vAlign w:val="bottom"/>
          </w:tcPr>
          <w:p w14:paraId="13B89929" w14:textId="01C469EB" w:rsidR="009E6CB7" w:rsidRPr="00F51E09" w:rsidRDefault="00C32646" w:rsidP="00C32646">
            <w:pPr>
              <w:jc w:val="right"/>
            </w:pPr>
            <w:r w:rsidRPr="00F51E09">
              <w:rPr>
                <w:sz w:val="40"/>
              </w:rPr>
              <w:t>ECE</w:t>
            </w:r>
            <w:r w:rsidRPr="00F51E09">
              <w:t>/TRANS/WP.15/AC.1/172</w:t>
            </w:r>
          </w:p>
        </w:tc>
      </w:tr>
      <w:tr w:rsidR="009E6CB7" w:rsidRPr="00F51E09" w14:paraId="6B9CA9DF" w14:textId="77777777" w:rsidTr="00B20551">
        <w:trPr>
          <w:cantSplit/>
          <w:trHeight w:hRule="exact" w:val="2835"/>
        </w:trPr>
        <w:tc>
          <w:tcPr>
            <w:tcW w:w="1276" w:type="dxa"/>
            <w:tcBorders>
              <w:top w:val="single" w:sz="4" w:space="0" w:color="auto"/>
              <w:bottom w:val="single" w:sz="12" w:space="0" w:color="auto"/>
            </w:tcBorders>
          </w:tcPr>
          <w:p w14:paraId="29A09EE9" w14:textId="77777777" w:rsidR="009E6CB7" w:rsidRPr="00F51E09" w:rsidRDefault="00686A48" w:rsidP="00B20551">
            <w:pPr>
              <w:spacing w:before="120"/>
            </w:pPr>
            <w:r w:rsidRPr="00644BB5">
              <w:rPr>
                <w:noProof/>
                <w:lang w:eastAsia="fr-CH"/>
              </w:rPr>
              <w:drawing>
                <wp:inline distT="0" distB="0" distL="0" distR="0" wp14:anchorId="185DF090" wp14:editId="66E272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FD0878" w14:textId="77777777" w:rsidR="009E6CB7" w:rsidRPr="00D21DEB" w:rsidRDefault="009E6CB7" w:rsidP="00B20551">
            <w:pPr>
              <w:spacing w:before="120" w:line="420" w:lineRule="exact"/>
              <w:rPr>
                <w:sz w:val="40"/>
                <w:szCs w:val="40"/>
              </w:rPr>
            </w:pPr>
            <w:r w:rsidRPr="00D21DEB">
              <w:rPr>
                <w:b/>
                <w:sz w:val="40"/>
                <w:szCs w:val="40"/>
              </w:rPr>
              <w:t>Economic and Social Council</w:t>
            </w:r>
          </w:p>
        </w:tc>
        <w:tc>
          <w:tcPr>
            <w:tcW w:w="2835" w:type="dxa"/>
            <w:tcBorders>
              <w:top w:val="single" w:sz="4" w:space="0" w:color="auto"/>
              <w:bottom w:val="single" w:sz="12" w:space="0" w:color="auto"/>
            </w:tcBorders>
          </w:tcPr>
          <w:p w14:paraId="3B524CBD" w14:textId="77777777" w:rsidR="009E6CB7" w:rsidRPr="00D21DEB" w:rsidRDefault="00C32646" w:rsidP="00C32646">
            <w:pPr>
              <w:spacing w:before="240" w:line="240" w:lineRule="exact"/>
            </w:pPr>
            <w:r w:rsidRPr="00D21DEB">
              <w:t>Distr.: General</w:t>
            </w:r>
          </w:p>
          <w:p w14:paraId="42B2DFC1" w14:textId="66548A3F" w:rsidR="00C32646" w:rsidRPr="00D21DEB" w:rsidRDefault="00D21DEB" w:rsidP="00C32646">
            <w:pPr>
              <w:spacing w:line="240" w:lineRule="exact"/>
            </w:pPr>
            <w:r>
              <w:t>1</w:t>
            </w:r>
            <w:r w:rsidR="002C6D3F">
              <w:t>8</w:t>
            </w:r>
            <w:r w:rsidR="00C32646" w:rsidRPr="00D21DEB">
              <w:t xml:space="preserve"> April 2024</w:t>
            </w:r>
          </w:p>
          <w:p w14:paraId="782387AB" w14:textId="77777777" w:rsidR="00C32646" w:rsidRPr="00D21DEB" w:rsidRDefault="00C32646" w:rsidP="00C32646">
            <w:pPr>
              <w:spacing w:line="240" w:lineRule="exact"/>
            </w:pPr>
          </w:p>
          <w:p w14:paraId="333AA36F" w14:textId="202A0F14" w:rsidR="00C32646" w:rsidRPr="00D21DEB" w:rsidRDefault="00C32646" w:rsidP="00C32646">
            <w:pPr>
              <w:spacing w:line="240" w:lineRule="exact"/>
            </w:pPr>
            <w:r w:rsidRPr="00D21DEB">
              <w:t>Original: English</w:t>
            </w:r>
          </w:p>
        </w:tc>
      </w:tr>
    </w:tbl>
    <w:p w14:paraId="39EBE44B" w14:textId="77777777" w:rsidR="00146412" w:rsidRPr="00F51E09" w:rsidRDefault="00146412" w:rsidP="00C411EB">
      <w:pPr>
        <w:spacing w:before="120"/>
        <w:rPr>
          <w:b/>
          <w:sz w:val="28"/>
          <w:szCs w:val="28"/>
        </w:rPr>
      </w:pPr>
      <w:r w:rsidRPr="00F51E09">
        <w:rPr>
          <w:b/>
          <w:sz w:val="28"/>
          <w:szCs w:val="28"/>
        </w:rPr>
        <w:t>Economic Commission for Europe</w:t>
      </w:r>
    </w:p>
    <w:p w14:paraId="29A1D150" w14:textId="77777777" w:rsidR="00146412" w:rsidRPr="00F51E09" w:rsidRDefault="00146412" w:rsidP="00C411EB">
      <w:pPr>
        <w:spacing w:before="120"/>
        <w:rPr>
          <w:sz w:val="28"/>
          <w:szCs w:val="28"/>
        </w:rPr>
      </w:pPr>
      <w:r w:rsidRPr="00F51E09">
        <w:rPr>
          <w:sz w:val="28"/>
          <w:szCs w:val="28"/>
        </w:rPr>
        <w:t>Inland Transport Committee</w:t>
      </w:r>
    </w:p>
    <w:p w14:paraId="3FE7A927" w14:textId="77777777" w:rsidR="00146412" w:rsidRPr="00F51E09" w:rsidRDefault="00146412" w:rsidP="00C411EB">
      <w:pPr>
        <w:spacing w:before="120"/>
        <w:rPr>
          <w:b/>
          <w:sz w:val="24"/>
          <w:szCs w:val="24"/>
        </w:rPr>
      </w:pPr>
      <w:r w:rsidRPr="00F51E09">
        <w:rPr>
          <w:b/>
          <w:sz w:val="24"/>
          <w:szCs w:val="24"/>
        </w:rPr>
        <w:t>Working Party on the Transport of Dangerous Goods</w:t>
      </w:r>
    </w:p>
    <w:p w14:paraId="355114C3" w14:textId="77777777" w:rsidR="00146412" w:rsidRPr="00F51E09" w:rsidRDefault="00146412" w:rsidP="00C411EB">
      <w:pPr>
        <w:spacing w:before="120"/>
        <w:rPr>
          <w:b/>
        </w:rPr>
      </w:pPr>
      <w:r w:rsidRPr="00F51E09">
        <w:rPr>
          <w:b/>
        </w:rPr>
        <w:t>Joint Meeting of the RID Committee of Experts and the</w:t>
      </w:r>
      <w:r w:rsidRPr="00F51E09">
        <w:rPr>
          <w:b/>
        </w:rPr>
        <w:br/>
        <w:t>Working Party on the Transport of Dangerous Goods</w:t>
      </w:r>
    </w:p>
    <w:p w14:paraId="0D25872F" w14:textId="69D33CEF" w:rsidR="00146412" w:rsidRPr="00F51E09" w:rsidRDefault="008D1562" w:rsidP="00146412">
      <w:pPr>
        <w:pStyle w:val="HChG"/>
      </w:pPr>
      <w:r w:rsidRPr="00F51E09">
        <w:tab/>
      </w:r>
      <w:r w:rsidRPr="00F51E09">
        <w:tab/>
      </w:r>
      <w:bookmarkStart w:id="0" w:name="_Toc164258721"/>
      <w:r w:rsidR="00496127" w:rsidRPr="00F51E09">
        <w:t xml:space="preserve">Report of the Joint Meeting of the RID Committee of Experts and the Working Party on the Transport of Dangerous Goods on its spring </w:t>
      </w:r>
      <w:r w:rsidR="009D5A5C" w:rsidRPr="00F51E09">
        <w:t xml:space="preserve">2024 </w:t>
      </w:r>
      <w:r w:rsidR="00496127" w:rsidRPr="00F51E09">
        <w:t>session</w:t>
      </w:r>
      <w:bookmarkEnd w:id="0"/>
    </w:p>
    <w:p w14:paraId="12FFE744" w14:textId="62799E59" w:rsidR="00496127" w:rsidRPr="00F51E09" w:rsidRDefault="001F48F9" w:rsidP="00452BC4">
      <w:pPr>
        <w:pStyle w:val="H56G"/>
      </w:pPr>
      <w:r w:rsidRPr="00F51E09">
        <w:tab/>
      </w:r>
      <w:r w:rsidRPr="00F51E09">
        <w:tab/>
      </w:r>
      <w:r w:rsidR="00452BC4" w:rsidRPr="00F51E09">
        <w:t>H</w:t>
      </w:r>
      <w:r w:rsidRPr="00F51E09">
        <w:t xml:space="preserve">eld </w:t>
      </w:r>
      <w:r w:rsidR="00D80CF7" w:rsidRPr="00F51E09">
        <w:t xml:space="preserve">at </w:t>
      </w:r>
      <w:r w:rsidR="00C73958" w:rsidRPr="00F51E09">
        <w:t xml:space="preserve">the </w:t>
      </w:r>
      <w:r w:rsidR="00D80CF7" w:rsidRPr="00F51E09">
        <w:t>Universal Postal Union (UPU),</w:t>
      </w:r>
      <w:r w:rsidRPr="00F51E09">
        <w:t xml:space="preserve"> </w:t>
      </w:r>
      <w:r w:rsidR="009D5A5C" w:rsidRPr="00F51E09">
        <w:t>Bern</w:t>
      </w:r>
      <w:r w:rsidRPr="00F51E09">
        <w:t xml:space="preserve">, </w:t>
      </w:r>
      <w:r w:rsidR="00BC114D" w:rsidRPr="00F51E09">
        <w:t>25-28</w:t>
      </w:r>
      <w:r w:rsidRPr="00F51E09">
        <w:t xml:space="preserve"> March </w:t>
      </w:r>
      <w:r w:rsidR="004F4595" w:rsidRPr="00F51E09">
        <w:t>2024</w:t>
      </w:r>
    </w:p>
    <w:p w14:paraId="1A37191A" w14:textId="77777777" w:rsidR="004F4595" w:rsidRDefault="004F4595" w:rsidP="004D36F6">
      <w:pPr>
        <w:pStyle w:val="H56G"/>
        <w:suppressAutoHyphens/>
        <w:outlineLvl w:val="9"/>
        <w:rPr>
          <w:sz w:val="28"/>
          <w:szCs w:val="28"/>
        </w:rPr>
      </w:pPr>
      <w:r w:rsidRPr="00F51E09">
        <w:rPr>
          <w:sz w:val="28"/>
          <w:szCs w:val="28"/>
        </w:rPr>
        <w:t>Contents</w:t>
      </w:r>
    </w:p>
    <w:p w14:paraId="4ECAB065" w14:textId="77777777" w:rsidR="004F4595" w:rsidRDefault="004F4595" w:rsidP="006E5E26">
      <w:pPr>
        <w:tabs>
          <w:tab w:val="right" w:pos="8929"/>
          <w:tab w:val="right" w:pos="9638"/>
        </w:tabs>
        <w:spacing w:after="120"/>
        <w:ind w:left="283"/>
        <w:rPr>
          <w:i/>
          <w:sz w:val="18"/>
        </w:rPr>
      </w:pPr>
      <w:r w:rsidRPr="00F51E09">
        <w:rPr>
          <w:i/>
          <w:sz w:val="18"/>
        </w:rPr>
        <w:tab/>
        <w:t>Paragraphs</w:t>
      </w:r>
      <w:r w:rsidRPr="00F51E09">
        <w:rPr>
          <w:i/>
          <w:sz w:val="18"/>
        </w:rPr>
        <w:tab/>
        <w:t>Page</w:t>
      </w:r>
    </w:p>
    <w:p w14:paraId="5E4272E6" w14:textId="77777777" w:rsidR="008C2728" w:rsidRPr="004308D0" w:rsidRDefault="008C2728" w:rsidP="008C2728">
      <w:pPr>
        <w:tabs>
          <w:tab w:val="right" w:pos="850"/>
          <w:tab w:val="left" w:pos="1134"/>
          <w:tab w:val="left" w:pos="1559"/>
          <w:tab w:val="left" w:pos="1984"/>
          <w:tab w:val="left" w:leader="dot" w:pos="7654"/>
          <w:tab w:val="right" w:pos="8929"/>
          <w:tab w:val="right" w:pos="9638"/>
        </w:tabs>
        <w:spacing w:after="120"/>
        <w:rPr>
          <w:noProof/>
          <w:lang w:val="fr-CH"/>
        </w:rPr>
      </w:pPr>
      <w:r w:rsidRPr="004308D0">
        <w:rPr>
          <w:lang w:val="fr-CH"/>
        </w:rPr>
        <w:tab/>
      </w:r>
      <w:r w:rsidRPr="004308D0">
        <w:rPr>
          <w:noProof/>
          <w:lang w:val="fr-CH"/>
        </w:rPr>
        <w:t>I.</w:t>
      </w:r>
      <w:r w:rsidRPr="004308D0">
        <w:rPr>
          <w:noProof/>
          <w:lang w:val="fr-CH"/>
        </w:rPr>
        <w:tab/>
        <w:t>Attendance</w:t>
      </w:r>
      <w:r w:rsidRPr="004308D0">
        <w:rPr>
          <w:noProof/>
          <w:webHidden/>
          <w:lang w:val="fr-CH"/>
        </w:rPr>
        <w:tab/>
      </w:r>
      <w:r w:rsidRPr="004308D0">
        <w:rPr>
          <w:noProof/>
          <w:webHidden/>
          <w:lang w:val="fr-CH"/>
        </w:rPr>
        <w:tab/>
        <w:t>1-4</w:t>
      </w:r>
      <w:r w:rsidRPr="004308D0">
        <w:rPr>
          <w:noProof/>
          <w:webHidden/>
          <w:lang w:val="fr-CH"/>
        </w:rPr>
        <w:tab/>
        <w:t>4</w:t>
      </w:r>
    </w:p>
    <w:p w14:paraId="363ED997" w14:textId="08131E84" w:rsidR="008C2728" w:rsidRPr="00794025" w:rsidRDefault="008C2728" w:rsidP="008C2728">
      <w:pPr>
        <w:tabs>
          <w:tab w:val="right" w:pos="850"/>
          <w:tab w:val="left" w:pos="1134"/>
          <w:tab w:val="left" w:pos="1559"/>
          <w:tab w:val="left" w:pos="1984"/>
          <w:tab w:val="left" w:leader="dot" w:pos="7654"/>
          <w:tab w:val="right" w:pos="8929"/>
          <w:tab w:val="right" w:pos="9638"/>
        </w:tabs>
        <w:spacing w:after="120"/>
        <w:rPr>
          <w:noProof/>
        </w:rPr>
      </w:pPr>
      <w:r w:rsidRPr="004308D0">
        <w:rPr>
          <w:noProof/>
          <w:lang w:val="fr-CH"/>
        </w:rPr>
        <w:tab/>
      </w:r>
      <w:r w:rsidRPr="00794025">
        <w:rPr>
          <w:noProof/>
        </w:rPr>
        <w:t>II.</w:t>
      </w:r>
      <w:r>
        <w:rPr>
          <w:noProof/>
        </w:rPr>
        <w:tab/>
      </w:r>
      <w:r w:rsidR="006E7032" w:rsidRPr="006E7032">
        <w:rPr>
          <w:noProof/>
        </w:rPr>
        <w:t>Opening of the session</w:t>
      </w:r>
      <w:r>
        <w:rPr>
          <w:noProof/>
          <w:webHidden/>
        </w:rPr>
        <w:tab/>
      </w:r>
      <w:r>
        <w:rPr>
          <w:noProof/>
          <w:webHidden/>
        </w:rPr>
        <w:tab/>
        <w:t>5-</w:t>
      </w:r>
      <w:r w:rsidR="006E7032">
        <w:rPr>
          <w:noProof/>
          <w:webHidden/>
        </w:rPr>
        <w:t>7</w:t>
      </w:r>
      <w:r>
        <w:rPr>
          <w:noProof/>
          <w:webHidden/>
        </w:rPr>
        <w:tab/>
        <w:t>4</w:t>
      </w:r>
    </w:p>
    <w:p w14:paraId="242E4F3F" w14:textId="293DA3B4" w:rsidR="008C2728" w:rsidRPr="00794025" w:rsidRDefault="008C2728" w:rsidP="008C27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794025">
        <w:rPr>
          <w:noProof/>
        </w:rPr>
        <w:t>III.</w:t>
      </w:r>
      <w:r>
        <w:rPr>
          <w:noProof/>
        </w:rPr>
        <w:tab/>
      </w:r>
      <w:r w:rsidRPr="00794025">
        <w:rPr>
          <w:noProof/>
        </w:rPr>
        <w:t>Adoption of the agenda (agenda item 1)</w:t>
      </w:r>
      <w:r>
        <w:rPr>
          <w:noProof/>
          <w:webHidden/>
        </w:rPr>
        <w:tab/>
      </w:r>
      <w:r>
        <w:rPr>
          <w:noProof/>
          <w:webHidden/>
        </w:rPr>
        <w:tab/>
      </w:r>
      <w:r w:rsidR="00501565">
        <w:rPr>
          <w:noProof/>
          <w:webHidden/>
        </w:rPr>
        <w:t>8</w:t>
      </w:r>
      <w:r>
        <w:rPr>
          <w:noProof/>
          <w:webHidden/>
        </w:rPr>
        <w:tab/>
      </w:r>
      <w:r w:rsidR="00501565">
        <w:rPr>
          <w:noProof/>
          <w:webHidden/>
        </w:rPr>
        <w:t>4</w:t>
      </w:r>
    </w:p>
    <w:p w14:paraId="492F0E4A" w14:textId="5CD50998" w:rsidR="008C2728" w:rsidRPr="00794025" w:rsidRDefault="008C2728" w:rsidP="00574993">
      <w:pPr>
        <w:tabs>
          <w:tab w:val="right" w:pos="850"/>
          <w:tab w:val="left" w:pos="1134"/>
          <w:tab w:val="left" w:pos="1559"/>
          <w:tab w:val="left" w:pos="1984"/>
          <w:tab w:val="left" w:leader="dot" w:pos="7654"/>
          <w:tab w:val="right" w:pos="8929"/>
          <w:tab w:val="right" w:pos="9638"/>
        </w:tabs>
        <w:spacing w:after="120"/>
        <w:rPr>
          <w:noProof/>
        </w:rPr>
      </w:pPr>
      <w:r>
        <w:rPr>
          <w:noProof/>
        </w:rPr>
        <w:tab/>
      </w:r>
      <w:r w:rsidRPr="00794025">
        <w:rPr>
          <w:noProof/>
        </w:rPr>
        <w:t>IV.</w:t>
      </w:r>
      <w:r w:rsidRPr="00794025">
        <w:rPr>
          <w:noProof/>
        </w:rPr>
        <w:tab/>
        <w:t>Tanks (agenda item 2)</w:t>
      </w:r>
      <w:r>
        <w:rPr>
          <w:noProof/>
          <w:webHidden/>
        </w:rPr>
        <w:tab/>
      </w:r>
      <w:r>
        <w:rPr>
          <w:noProof/>
          <w:webHidden/>
        </w:rPr>
        <w:tab/>
      </w:r>
      <w:r w:rsidR="00501565">
        <w:rPr>
          <w:noProof/>
          <w:webHidden/>
        </w:rPr>
        <w:t>9</w:t>
      </w:r>
      <w:r>
        <w:rPr>
          <w:noProof/>
          <w:webHidden/>
        </w:rPr>
        <w:t>-1</w:t>
      </w:r>
      <w:r w:rsidR="00501565">
        <w:rPr>
          <w:noProof/>
          <w:webHidden/>
        </w:rPr>
        <w:t>3</w:t>
      </w:r>
      <w:r>
        <w:rPr>
          <w:noProof/>
          <w:webHidden/>
        </w:rPr>
        <w:tab/>
        <w:t>5</w:t>
      </w:r>
    </w:p>
    <w:p w14:paraId="2D43F8DD" w14:textId="4A1181E2" w:rsidR="008C2728" w:rsidRPr="00794025" w:rsidRDefault="008C2728" w:rsidP="008C2728">
      <w:pPr>
        <w:tabs>
          <w:tab w:val="right" w:pos="850"/>
          <w:tab w:val="left" w:pos="1134"/>
          <w:tab w:val="left" w:pos="1559"/>
          <w:tab w:val="left" w:pos="1984"/>
          <w:tab w:val="left" w:leader="dot" w:pos="7654"/>
          <w:tab w:val="right" w:pos="8929"/>
          <w:tab w:val="right" w:pos="9638"/>
        </w:tabs>
        <w:spacing w:after="120"/>
        <w:rPr>
          <w:noProof/>
        </w:rPr>
      </w:pPr>
      <w:r>
        <w:rPr>
          <w:noProof/>
        </w:rPr>
        <w:tab/>
      </w:r>
      <w:r w:rsidRPr="00794025">
        <w:rPr>
          <w:noProof/>
        </w:rPr>
        <w:t>V.</w:t>
      </w:r>
      <w:r w:rsidRPr="00794025">
        <w:rPr>
          <w:noProof/>
        </w:rPr>
        <w:tab/>
        <w:t>Standards (agenda item 3)</w:t>
      </w:r>
      <w:r>
        <w:rPr>
          <w:noProof/>
          <w:webHidden/>
        </w:rPr>
        <w:tab/>
      </w:r>
      <w:r>
        <w:rPr>
          <w:noProof/>
          <w:webHidden/>
        </w:rPr>
        <w:tab/>
      </w:r>
      <w:r w:rsidR="00A93026">
        <w:rPr>
          <w:noProof/>
          <w:webHidden/>
        </w:rPr>
        <w:t>14</w:t>
      </w:r>
      <w:r>
        <w:rPr>
          <w:noProof/>
          <w:webHidden/>
        </w:rPr>
        <w:t>-22</w:t>
      </w:r>
      <w:r>
        <w:rPr>
          <w:noProof/>
          <w:webHidden/>
        </w:rPr>
        <w:tab/>
      </w:r>
      <w:r w:rsidR="00A93026">
        <w:rPr>
          <w:noProof/>
          <w:webHidden/>
        </w:rPr>
        <w:t>5</w:t>
      </w:r>
    </w:p>
    <w:p w14:paraId="23AEF0CE" w14:textId="3DECCC1C" w:rsidR="008C2728" w:rsidRDefault="008C2728" w:rsidP="008C2728">
      <w:pPr>
        <w:tabs>
          <w:tab w:val="right" w:pos="850"/>
          <w:tab w:val="left" w:pos="1134"/>
          <w:tab w:val="left" w:pos="1559"/>
          <w:tab w:val="left" w:pos="1984"/>
          <w:tab w:val="left" w:leader="dot" w:pos="7654"/>
          <w:tab w:val="right" w:pos="8929"/>
          <w:tab w:val="right" w:pos="9638"/>
        </w:tabs>
        <w:spacing w:after="120"/>
        <w:rPr>
          <w:noProof/>
          <w:webHidden/>
        </w:rPr>
      </w:pPr>
      <w:r>
        <w:rPr>
          <w:noProof/>
        </w:rPr>
        <w:tab/>
      </w:r>
      <w:r w:rsidR="00A93026">
        <w:rPr>
          <w:noProof/>
        </w:rPr>
        <w:tab/>
        <w:t>A.</w:t>
      </w:r>
      <w:r w:rsidRPr="00794025">
        <w:rPr>
          <w:noProof/>
        </w:rPr>
        <w:tab/>
        <w:t>Information on the work of the Working Group on Standards</w:t>
      </w:r>
      <w:r>
        <w:rPr>
          <w:noProof/>
          <w:webHidden/>
        </w:rPr>
        <w:tab/>
      </w:r>
      <w:r>
        <w:rPr>
          <w:noProof/>
          <w:webHidden/>
        </w:rPr>
        <w:tab/>
      </w:r>
      <w:r w:rsidR="00A93026">
        <w:rPr>
          <w:noProof/>
          <w:webHidden/>
        </w:rPr>
        <w:t>14</w:t>
      </w:r>
      <w:r>
        <w:rPr>
          <w:noProof/>
          <w:webHidden/>
        </w:rPr>
        <w:tab/>
      </w:r>
      <w:r w:rsidR="00A93026">
        <w:rPr>
          <w:noProof/>
          <w:webHidden/>
        </w:rPr>
        <w:t>5</w:t>
      </w:r>
    </w:p>
    <w:p w14:paraId="1E04A776" w14:textId="50D2B213" w:rsidR="00A93026" w:rsidRDefault="00A93026" w:rsidP="008C2728">
      <w:pPr>
        <w:tabs>
          <w:tab w:val="right" w:pos="850"/>
          <w:tab w:val="left" w:pos="1134"/>
          <w:tab w:val="left" w:pos="1559"/>
          <w:tab w:val="left" w:pos="1984"/>
          <w:tab w:val="left" w:leader="dot" w:pos="7654"/>
          <w:tab w:val="right" w:pos="8929"/>
          <w:tab w:val="right" w:pos="9638"/>
        </w:tabs>
        <w:spacing w:after="120"/>
        <w:rPr>
          <w:noProof/>
        </w:rPr>
      </w:pPr>
      <w:r>
        <w:rPr>
          <w:noProof/>
          <w:webHidden/>
        </w:rPr>
        <w:tab/>
      </w:r>
      <w:r>
        <w:rPr>
          <w:noProof/>
          <w:webHidden/>
        </w:rPr>
        <w:tab/>
        <w:t>B.</w:t>
      </w:r>
      <w:r>
        <w:rPr>
          <w:noProof/>
          <w:webHidden/>
        </w:rPr>
        <w:tab/>
      </w:r>
      <w:r w:rsidR="00D53AF0" w:rsidRPr="00D53AF0">
        <w:rPr>
          <w:noProof/>
        </w:rPr>
        <w:t>Report of the Working Group on Standards</w:t>
      </w:r>
      <w:r w:rsidR="00D53AF0">
        <w:rPr>
          <w:noProof/>
        </w:rPr>
        <w:tab/>
      </w:r>
      <w:r w:rsidR="00D53AF0">
        <w:rPr>
          <w:noProof/>
        </w:rPr>
        <w:tab/>
        <w:t>15-17</w:t>
      </w:r>
      <w:r w:rsidR="00D53AF0">
        <w:rPr>
          <w:noProof/>
        </w:rPr>
        <w:tab/>
        <w:t>5</w:t>
      </w:r>
    </w:p>
    <w:p w14:paraId="3655DE85" w14:textId="23A90F53" w:rsidR="007941C7" w:rsidRDefault="007941C7" w:rsidP="007941C7">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t>C.</w:t>
      </w:r>
      <w:r>
        <w:rPr>
          <w:noProof/>
        </w:rPr>
        <w:tab/>
        <w:t>Standard EN 1439:2021 in RID/ADR 2023</w:t>
      </w:r>
      <w:r>
        <w:rPr>
          <w:noProof/>
        </w:rPr>
        <w:tab/>
      </w:r>
      <w:r>
        <w:rPr>
          <w:noProof/>
        </w:rPr>
        <w:tab/>
        <w:t>18</w:t>
      </w:r>
      <w:r>
        <w:rPr>
          <w:noProof/>
        </w:rPr>
        <w:tab/>
        <w:t>6</w:t>
      </w:r>
    </w:p>
    <w:p w14:paraId="18F4EA99" w14:textId="174670A2" w:rsidR="00D53AF0" w:rsidRPr="00794025" w:rsidRDefault="007941C7" w:rsidP="007941C7">
      <w:pPr>
        <w:tabs>
          <w:tab w:val="right" w:pos="850"/>
          <w:tab w:val="left" w:pos="1134"/>
          <w:tab w:val="left" w:pos="1559"/>
          <w:tab w:val="left" w:pos="1984"/>
          <w:tab w:val="left" w:leader="dot" w:pos="7654"/>
          <w:tab w:val="right" w:pos="8929"/>
          <w:tab w:val="right" w:pos="9638"/>
        </w:tabs>
        <w:spacing w:after="120"/>
        <w:rPr>
          <w:noProof/>
        </w:rPr>
      </w:pPr>
      <w:r>
        <w:rPr>
          <w:noProof/>
        </w:rPr>
        <w:tab/>
      </w:r>
      <w:r>
        <w:rPr>
          <w:noProof/>
        </w:rPr>
        <w:tab/>
        <w:t>D.</w:t>
      </w:r>
      <w:r>
        <w:rPr>
          <w:noProof/>
        </w:rPr>
        <w:tab/>
        <w:t>Publication of the third edition of International Railway Solution (IRS) 50592</w:t>
      </w:r>
      <w:r>
        <w:rPr>
          <w:noProof/>
        </w:rPr>
        <w:tab/>
        <w:t>19</w:t>
      </w:r>
      <w:r>
        <w:rPr>
          <w:noProof/>
        </w:rPr>
        <w:tab/>
        <w:t>6</w:t>
      </w:r>
    </w:p>
    <w:p w14:paraId="3ABA1F44" w14:textId="6AFF49C4"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VI.</w:t>
      </w:r>
      <w:r>
        <w:rPr>
          <w:noProof/>
        </w:rPr>
        <w:tab/>
        <w:t>Interpretation of RID/ADR/ADN (agenda item 4)</w:t>
      </w:r>
      <w:r>
        <w:rPr>
          <w:noProof/>
        </w:rPr>
        <w:tab/>
      </w:r>
      <w:r>
        <w:rPr>
          <w:noProof/>
        </w:rPr>
        <w:tab/>
        <w:t>20</w:t>
      </w:r>
      <w:r>
        <w:rPr>
          <w:noProof/>
        </w:rPr>
        <w:tab/>
        <w:t>6</w:t>
      </w:r>
    </w:p>
    <w:p w14:paraId="114E56FC"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Carriage under temperature control – requirements according to ADR/ADN 7.1.7.4.2</w:t>
      </w:r>
      <w:r>
        <w:rPr>
          <w:noProof/>
        </w:rPr>
        <w:tab/>
        <w:t>21</w:t>
      </w:r>
      <w:r>
        <w:rPr>
          <w:noProof/>
        </w:rPr>
        <w:tab/>
        <w:t>6</w:t>
      </w:r>
    </w:p>
    <w:p w14:paraId="056BCEE0"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B.</w:t>
      </w:r>
      <w:r>
        <w:rPr>
          <w:noProof/>
        </w:rPr>
        <w:tab/>
        <w:t>Criminal records requirements for participants in the carriage of dangerous goods</w:t>
      </w:r>
      <w:r>
        <w:rPr>
          <w:noProof/>
        </w:rPr>
        <w:tab/>
        <w:t>22</w:t>
      </w:r>
      <w:r>
        <w:rPr>
          <w:noProof/>
        </w:rPr>
        <w:tab/>
        <w:t>6</w:t>
      </w:r>
    </w:p>
    <w:p w14:paraId="13EC2C3D"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VII.</w:t>
      </w:r>
      <w:r>
        <w:rPr>
          <w:noProof/>
        </w:rPr>
        <w:tab/>
        <w:t>Proposals for amendments to RID/ADR/ADN (agenda item 5)</w:t>
      </w:r>
      <w:r>
        <w:rPr>
          <w:noProof/>
        </w:rPr>
        <w:tab/>
      </w:r>
      <w:r>
        <w:rPr>
          <w:noProof/>
        </w:rPr>
        <w:tab/>
        <w:t>23-45</w:t>
      </w:r>
      <w:r>
        <w:rPr>
          <w:noProof/>
        </w:rPr>
        <w:tab/>
        <w:t>7</w:t>
      </w:r>
    </w:p>
    <w:p w14:paraId="6669D0DD" w14:textId="2884C074"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Documents on gases and related issues</w:t>
      </w:r>
      <w:r>
        <w:rPr>
          <w:noProof/>
        </w:rPr>
        <w:tab/>
      </w:r>
      <w:r>
        <w:rPr>
          <w:noProof/>
        </w:rPr>
        <w:tab/>
        <w:t>23-34</w:t>
      </w:r>
      <w:r>
        <w:rPr>
          <w:noProof/>
        </w:rPr>
        <w:tab/>
      </w:r>
      <w:r w:rsidR="005E2486">
        <w:rPr>
          <w:noProof/>
        </w:rPr>
        <w:t>7</w:t>
      </w:r>
    </w:p>
    <w:p w14:paraId="047E8AAD" w14:textId="53160826" w:rsidR="009611BD" w:rsidRDefault="009611BD" w:rsidP="005E2486">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1.</w:t>
      </w:r>
      <w:r>
        <w:rPr>
          <w:noProof/>
        </w:rPr>
        <w:tab/>
        <w:t xml:space="preserve">Note to accompany the new graph at the end of packing instruction P200 </w:t>
      </w:r>
      <w:r w:rsidR="006C4F3C">
        <w:rPr>
          <w:noProof/>
        </w:rPr>
        <w:br/>
      </w:r>
      <w:r>
        <w:rPr>
          <w:noProof/>
        </w:rPr>
        <w:t>in 4.1.4.1</w:t>
      </w:r>
      <w:r>
        <w:rPr>
          <w:noProof/>
        </w:rPr>
        <w:tab/>
      </w:r>
      <w:r w:rsidR="005E2486">
        <w:rPr>
          <w:noProof/>
        </w:rPr>
        <w:tab/>
      </w:r>
      <w:r>
        <w:rPr>
          <w:noProof/>
        </w:rPr>
        <w:t>23</w:t>
      </w:r>
      <w:r>
        <w:rPr>
          <w:noProof/>
        </w:rPr>
        <w:tab/>
        <w:t>7</w:t>
      </w:r>
    </w:p>
    <w:p w14:paraId="059AC0E7"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2.</w:t>
      </w:r>
      <w:r>
        <w:rPr>
          <w:noProof/>
        </w:rPr>
        <w:tab/>
        <w:t>Revised definition of liquefied petroleum gas</w:t>
      </w:r>
      <w:r>
        <w:rPr>
          <w:noProof/>
        </w:rPr>
        <w:tab/>
      </w:r>
      <w:r>
        <w:rPr>
          <w:noProof/>
        </w:rPr>
        <w:tab/>
        <w:t>24-25</w:t>
      </w:r>
      <w:r>
        <w:rPr>
          <w:noProof/>
        </w:rPr>
        <w:tab/>
        <w:t>7</w:t>
      </w:r>
    </w:p>
    <w:p w14:paraId="1CE71E49"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3.</w:t>
      </w:r>
      <w:r>
        <w:rPr>
          <w:noProof/>
        </w:rPr>
        <w:tab/>
        <w:t>Modification of transitional measures for acetylene cylinder marking</w:t>
      </w:r>
      <w:r>
        <w:rPr>
          <w:noProof/>
        </w:rPr>
        <w:tab/>
      </w:r>
      <w:r>
        <w:rPr>
          <w:noProof/>
        </w:rPr>
        <w:tab/>
        <w:t>26</w:t>
      </w:r>
      <w:r>
        <w:rPr>
          <w:noProof/>
        </w:rPr>
        <w:tab/>
        <w:t>7</w:t>
      </w:r>
    </w:p>
    <w:p w14:paraId="69818B1E"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4.</w:t>
      </w:r>
      <w:r>
        <w:rPr>
          <w:noProof/>
        </w:rPr>
        <w:tab/>
        <w:t>Modification of requirements for non-UN acetylene cylinder marking</w:t>
      </w:r>
      <w:r>
        <w:rPr>
          <w:noProof/>
        </w:rPr>
        <w:tab/>
      </w:r>
      <w:r>
        <w:rPr>
          <w:noProof/>
        </w:rPr>
        <w:tab/>
        <w:t>27</w:t>
      </w:r>
      <w:r>
        <w:rPr>
          <w:noProof/>
        </w:rPr>
        <w:tab/>
        <w:t>7</w:t>
      </w:r>
    </w:p>
    <w:p w14:paraId="29C2EB5F" w14:textId="07D7E821" w:rsidR="009611BD" w:rsidRDefault="009611BD" w:rsidP="005E2486">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lastRenderedPageBreak/>
        <w:tab/>
      </w:r>
      <w:r>
        <w:rPr>
          <w:noProof/>
        </w:rPr>
        <w:tab/>
      </w:r>
      <w:r>
        <w:rPr>
          <w:noProof/>
        </w:rPr>
        <w:tab/>
        <w:t>5.</w:t>
      </w:r>
      <w:r>
        <w:rPr>
          <w:noProof/>
        </w:rPr>
        <w:tab/>
        <w:t xml:space="preserve">Modification of the requirements for pressure receptacles authorised by the </w:t>
      </w:r>
      <w:r w:rsidR="005E2486">
        <w:rPr>
          <w:noProof/>
        </w:rPr>
        <w:br/>
      </w:r>
      <w:r>
        <w:rPr>
          <w:noProof/>
        </w:rPr>
        <w:t>United States of America Department of Transportation</w:t>
      </w:r>
      <w:r>
        <w:rPr>
          <w:noProof/>
        </w:rPr>
        <w:tab/>
      </w:r>
      <w:r>
        <w:rPr>
          <w:noProof/>
        </w:rPr>
        <w:tab/>
        <w:t>28</w:t>
      </w:r>
      <w:r>
        <w:rPr>
          <w:noProof/>
        </w:rPr>
        <w:tab/>
        <w:t>7</w:t>
      </w:r>
    </w:p>
    <w:p w14:paraId="35CC5D73" w14:textId="3FFB751A" w:rsidR="009611BD" w:rsidRDefault="009611BD" w:rsidP="00311FD2">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6.</w:t>
      </w:r>
      <w:r>
        <w:rPr>
          <w:noProof/>
        </w:rPr>
        <w:tab/>
        <w:t xml:space="preserve">Proposal for amendment to packing instruction P200 in 4.1.4.1 of RID/ADR to </w:t>
      </w:r>
      <w:r w:rsidR="00311FD2">
        <w:rPr>
          <w:noProof/>
        </w:rPr>
        <w:br/>
      </w:r>
      <w:r>
        <w:rPr>
          <w:noProof/>
        </w:rPr>
        <w:t xml:space="preserve">permit the interval between the periodic inspection of Liquefied Petroleum Gas </w:t>
      </w:r>
      <w:r w:rsidR="00311FD2">
        <w:rPr>
          <w:noProof/>
        </w:rPr>
        <w:br/>
      </w:r>
      <w:r>
        <w:rPr>
          <w:noProof/>
        </w:rPr>
        <w:t>cylinders manufactured according to EN 14140 to be extended from 10 to 15 years</w:t>
      </w:r>
      <w:r>
        <w:rPr>
          <w:noProof/>
        </w:rPr>
        <w:tab/>
        <w:t>29</w:t>
      </w:r>
      <w:r>
        <w:rPr>
          <w:noProof/>
        </w:rPr>
        <w:tab/>
        <w:t>8</w:t>
      </w:r>
    </w:p>
    <w:p w14:paraId="7C29D89E" w14:textId="71BE32C2"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7.</w:t>
      </w:r>
      <w:r>
        <w:rPr>
          <w:noProof/>
        </w:rPr>
        <w:tab/>
        <w:t>Pressure receptacles that are constructed in accordance with EN 17339</w:t>
      </w:r>
      <w:r w:rsidR="00E733E5">
        <w:rPr>
          <w:noProof/>
        </w:rPr>
        <w:tab/>
      </w:r>
      <w:r w:rsidR="008B020C">
        <w:rPr>
          <w:noProof/>
        </w:rPr>
        <w:tab/>
      </w:r>
      <w:r>
        <w:rPr>
          <w:noProof/>
        </w:rPr>
        <w:t>30</w:t>
      </w:r>
      <w:r>
        <w:rPr>
          <w:noProof/>
        </w:rPr>
        <w:tab/>
        <w:t>8</w:t>
      </w:r>
    </w:p>
    <w:p w14:paraId="6C682F6A" w14:textId="59580584" w:rsidR="009611BD" w:rsidRDefault="009611BD" w:rsidP="00E733E5">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8.</w:t>
      </w:r>
      <w:r>
        <w:rPr>
          <w:noProof/>
        </w:rPr>
        <w:tab/>
        <w:t xml:space="preserve">Pressure vessels that are constructed to a design code recognised by a national </w:t>
      </w:r>
      <w:r w:rsidR="00E733E5">
        <w:rPr>
          <w:noProof/>
        </w:rPr>
        <w:br/>
      </w:r>
      <w:r>
        <w:rPr>
          <w:noProof/>
        </w:rPr>
        <w:t>competent authority</w:t>
      </w:r>
      <w:r>
        <w:rPr>
          <w:noProof/>
        </w:rPr>
        <w:tab/>
      </w:r>
      <w:r>
        <w:rPr>
          <w:noProof/>
        </w:rPr>
        <w:tab/>
        <w:t>31</w:t>
      </w:r>
      <w:r>
        <w:rPr>
          <w:noProof/>
        </w:rPr>
        <w:tab/>
        <w:t>8</w:t>
      </w:r>
    </w:p>
    <w:p w14:paraId="73EFE5D3"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9.</w:t>
      </w:r>
      <w:r>
        <w:rPr>
          <w:noProof/>
        </w:rPr>
        <w:tab/>
        <w:t>Marking of LPG Cylinders – 6.2.3.9.4</w:t>
      </w:r>
      <w:r>
        <w:rPr>
          <w:noProof/>
        </w:rPr>
        <w:tab/>
      </w:r>
      <w:r>
        <w:rPr>
          <w:noProof/>
        </w:rPr>
        <w:tab/>
        <w:t>32</w:t>
      </w:r>
      <w:r>
        <w:rPr>
          <w:noProof/>
        </w:rPr>
        <w:tab/>
        <w:t>8</w:t>
      </w:r>
    </w:p>
    <w:p w14:paraId="5550B448" w14:textId="1E31BA8B" w:rsidR="009611BD" w:rsidRDefault="009611BD" w:rsidP="004220B7">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10.</w:t>
      </w:r>
      <w:r>
        <w:rPr>
          <w:noProof/>
        </w:rPr>
        <w:tab/>
        <w:t>Report from intersessional working group on test periods for battery-vehicles</w:t>
      </w:r>
      <w:r w:rsidR="00794ED7">
        <w:rPr>
          <w:noProof/>
        </w:rPr>
        <w:br/>
      </w:r>
      <w:r>
        <w:rPr>
          <w:noProof/>
        </w:rPr>
        <w:t>filled in accordance with packing instruction P200</w:t>
      </w:r>
      <w:r>
        <w:rPr>
          <w:noProof/>
        </w:rPr>
        <w:tab/>
      </w:r>
      <w:r>
        <w:rPr>
          <w:noProof/>
        </w:rPr>
        <w:tab/>
        <w:t>33</w:t>
      </w:r>
      <w:r>
        <w:rPr>
          <w:noProof/>
        </w:rPr>
        <w:tab/>
        <w:t>8</w:t>
      </w:r>
    </w:p>
    <w:p w14:paraId="142105E6" w14:textId="03F5500D" w:rsidR="009611BD" w:rsidRDefault="009611BD" w:rsidP="00794ED7">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11.</w:t>
      </w:r>
      <w:r>
        <w:rPr>
          <w:noProof/>
        </w:rPr>
        <w:tab/>
        <w:t xml:space="preserve">Use of intermediate bulk containers for higher concentrations of UN 2672 </w:t>
      </w:r>
      <w:r w:rsidR="00794ED7">
        <w:rPr>
          <w:noProof/>
        </w:rPr>
        <w:br/>
      </w:r>
      <w:r>
        <w:rPr>
          <w:noProof/>
        </w:rPr>
        <w:t>ammonia solution</w:t>
      </w:r>
      <w:r>
        <w:rPr>
          <w:noProof/>
        </w:rPr>
        <w:tab/>
      </w:r>
      <w:r>
        <w:rPr>
          <w:noProof/>
        </w:rPr>
        <w:tab/>
        <w:t>34</w:t>
      </w:r>
      <w:r>
        <w:rPr>
          <w:noProof/>
        </w:rPr>
        <w:tab/>
        <w:t>8</w:t>
      </w:r>
    </w:p>
    <w:p w14:paraId="51EC16EE"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B.</w:t>
      </w:r>
      <w:r>
        <w:rPr>
          <w:noProof/>
        </w:rPr>
        <w:tab/>
        <w:t>Pending issues</w:t>
      </w:r>
      <w:r>
        <w:rPr>
          <w:noProof/>
        </w:rPr>
        <w:tab/>
      </w:r>
      <w:r>
        <w:rPr>
          <w:noProof/>
        </w:rPr>
        <w:tab/>
        <w:t>35-38</w:t>
      </w:r>
      <w:r>
        <w:rPr>
          <w:noProof/>
        </w:rPr>
        <w:tab/>
        <w:t>9</w:t>
      </w:r>
    </w:p>
    <w:p w14:paraId="69388226" w14:textId="1E3D730C" w:rsidR="009611BD" w:rsidRDefault="009611BD" w:rsidP="004908B6">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1.</w:t>
      </w:r>
      <w:r>
        <w:rPr>
          <w:noProof/>
        </w:rPr>
        <w:tab/>
        <w:t xml:space="preserve">Paints and printing inks classified as environmentally hazardous mixtures </w:t>
      </w:r>
      <w:r w:rsidR="004908B6">
        <w:rPr>
          <w:noProof/>
        </w:rPr>
        <w:br/>
      </w:r>
      <w:r>
        <w:rPr>
          <w:noProof/>
        </w:rPr>
        <w:t xml:space="preserve">(UN 3082 of Class 9) and the requirements for performance tests related to </w:t>
      </w:r>
      <w:r w:rsidR="009D0376">
        <w:rPr>
          <w:noProof/>
        </w:rPr>
        <w:br/>
      </w:r>
      <w:r>
        <w:rPr>
          <w:noProof/>
        </w:rPr>
        <w:t>packaging of small quantities</w:t>
      </w:r>
      <w:r>
        <w:rPr>
          <w:noProof/>
        </w:rPr>
        <w:tab/>
      </w:r>
      <w:r>
        <w:rPr>
          <w:noProof/>
        </w:rPr>
        <w:tab/>
        <w:t>35</w:t>
      </w:r>
      <w:r w:rsidR="009D0376">
        <w:rPr>
          <w:noProof/>
        </w:rPr>
        <w:tab/>
      </w:r>
      <w:r>
        <w:rPr>
          <w:noProof/>
        </w:rPr>
        <w:t>9</w:t>
      </w:r>
    </w:p>
    <w:p w14:paraId="37E5D5E7" w14:textId="36735FCA" w:rsidR="009611BD" w:rsidRDefault="009611BD" w:rsidP="009D0376">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2.</w:t>
      </w:r>
      <w:r>
        <w:rPr>
          <w:noProof/>
        </w:rPr>
        <w:tab/>
        <w:t xml:space="preserve">Harmonization of RID/ADR/ADN with the United Nations Recommendations </w:t>
      </w:r>
      <w:r w:rsidR="009D0376">
        <w:rPr>
          <w:noProof/>
        </w:rPr>
        <w:br/>
      </w:r>
      <w:r>
        <w:rPr>
          <w:noProof/>
        </w:rPr>
        <w:t>on the Transport of Dangerous Goods</w:t>
      </w:r>
      <w:r>
        <w:rPr>
          <w:noProof/>
        </w:rPr>
        <w:tab/>
      </w:r>
      <w:r>
        <w:rPr>
          <w:noProof/>
        </w:rPr>
        <w:tab/>
        <w:t>36</w:t>
      </w:r>
      <w:r w:rsidR="009D0376">
        <w:rPr>
          <w:noProof/>
        </w:rPr>
        <w:tab/>
      </w:r>
      <w:r>
        <w:rPr>
          <w:noProof/>
        </w:rPr>
        <w:t>9</w:t>
      </w:r>
    </w:p>
    <w:p w14:paraId="074BE08E" w14:textId="032E865A" w:rsidR="009611BD" w:rsidRDefault="009611BD" w:rsidP="009D0376">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3.</w:t>
      </w:r>
      <w:r>
        <w:rPr>
          <w:noProof/>
        </w:rPr>
        <w:tab/>
        <w:t xml:space="preserve">Carriage in bulk of specific categories of wastes containing asbestos </w:t>
      </w:r>
      <w:r w:rsidR="009D0376">
        <w:rPr>
          <w:noProof/>
        </w:rPr>
        <w:br/>
      </w:r>
      <w:r>
        <w:rPr>
          <w:noProof/>
        </w:rPr>
        <w:t>(UN Nos. 2590 and 2212) – Editorial modification to AP12</w:t>
      </w:r>
      <w:r>
        <w:rPr>
          <w:noProof/>
        </w:rPr>
        <w:tab/>
      </w:r>
      <w:r>
        <w:rPr>
          <w:noProof/>
        </w:rPr>
        <w:tab/>
        <w:t>37</w:t>
      </w:r>
      <w:r>
        <w:rPr>
          <w:noProof/>
        </w:rPr>
        <w:tab/>
        <w:t>9</w:t>
      </w:r>
    </w:p>
    <w:p w14:paraId="04F24EB4" w14:textId="6C2E5FC8"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4.</w:t>
      </w:r>
      <w:r>
        <w:rPr>
          <w:noProof/>
        </w:rPr>
        <w:tab/>
        <w:t>Application of special provision 376 to critically damaged lithium batteries</w:t>
      </w:r>
      <w:r>
        <w:rPr>
          <w:noProof/>
        </w:rPr>
        <w:tab/>
        <w:t>38</w:t>
      </w:r>
      <w:r>
        <w:rPr>
          <w:noProof/>
        </w:rPr>
        <w:tab/>
        <w:t>9</w:t>
      </w:r>
    </w:p>
    <w:p w14:paraId="5EC1FBD2"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C.</w:t>
      </w:r>
      <w:r>
        <w:rPr>
          <w:noProof/>
        </w:rPr>
        <w:tab/>
        <w:t>New proposals</w:t>
      </w:r>
      <w:r>
        <w:rPr>
          <w:noProof/>
        </w:rPr>
        <w:tab/>
      </w:r>
      <w:r>
        <w:rPr>
          <w:noProof/>
        </w:rPr>
        <w:tab/>
        <w:t>39-45</w:t>
      </w:r>
      <w:r>
        <w:rPr>
          <w:noProof/>
        </w:rPr>
        <w:tab/>
        <w:t>9</w:t>
      </w:r>
    </w:p>
    <w:p w14:paraId="52E69C7A" w14:textId="4A1D69CD"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1.</w:t>
      </w:r>
      <w:r>
        <w:rPr>
          <w:noProof/>
        </w:rPr>
        <w:tab/>
        <w:t>Proposal for amendments to section 1.2.1 of Annex A to the ADR Agreement</w:t>
      </w:r>
      <w:r>
        <w:rPr>
          <w:noProof/>
        </w:rPr>
        <w:tab/>
        <w:t>39</w:t>
      </w:r>
      <w:r>
        <w:rPr>
          <w:noProof/>
        </w:rPr>
        <w:tab/>
        <w:t>9</w:t>
      </w:r>
    </w:p>
    <w:p w14:paraId="740DD174" w14:textId="50B30FC5" w:rsidR="009611BD" w:rsidRDefault="009611BD" w:rsidP="00984FBD">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2.</w:t>
      </w:r>
      <w:r>
        <w:rPr>
          <w:noProof/>
        </w:rPr>
        <w:tab/>
        <w:t xml:space="preserve">Dangerous goods transport document: 5.4.1.1.3.1 Special provisions for wastes, </w:t>
      </w:r>
      <w:r w:rsidR="00984FBD">
        <w:rPr>
          <w:noProof/>
        </w:rPr>
        <w:br/>
      </w:r>
      <w:r>
        <w:rPr>
          <w:noProof/>
        </w:rPr>
        <w:t>addition of technical names</w:t>
      </w:r>
      <w:r>
        <w:rPr>
          <w:noProof/>
        </w:rPr>
        <w:tab/>
      </w:r>
      <w:r>
        <w:rPr>
          <w:noProof/>
        </w:rPr>
        <w:tab/>
        <w:t>40</w:t>
      </w:r>
      <w:r>
        <w:rPr>
          <w:noProof/>
        </w:rPr>
        <w:tab/>
        <w:t>9</w:t>
      </w:r>
    </w:p>
    <w:p w14:paraId="512946E0"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3.</w:t>
      </w:r>
      <w:r>
        <w:rPr>
          <w:noProof/>
        </w:rPr>
        <w:tab/>
        <w:t>Definition of “closed vehicle” in 1.2.1 of ADR</w:t>
      </w:r>
      <w:r>
        <w:rPr>
          <w:noProof/>
        </w:rPr>
        <w:tab/>
      </w:r>
      <w:r>
        <w:rPr>
          <w:noProof/>
        </w:rPr>
        <w:tab/>
        <w:t>41</w:t>
      </w:r>
      <w:r>
        <w:rPr>
          <w:noProof/>
        </w:rPr>
        <w:tab/>
        <w:t>9</w:t>
      </w:r>
    </w:p>
    <w:p w14:paraId="3790E368" w14:textId="61E9D1EF"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4.</w:t>
      </w:r>
      <w:r>
        <w:rPr>
          <w:noProof/>
        </w:rPr>
        <w:tab/>
        <w:t>Transport of animal material containing infectious substances (UN 3373)</w:t>
      </w:r>
      <w:r>
        <w:rPr>
          <w:noProof/>
        </w:rPr>
        <w:tab/>
        <w:t>42</w:t>
      </w:r>
      <w:r>
        <w:rPr>
          <w:noProof/>
        </w:rPr>
        <w:tab/>
        <w:t>10</w:t>
      </w:r>
    </w:p>
    <w:p w14:paraId="4C70D310" w14:textId="6227A825" w:rsidR="009611BD" w:rsidRDefault="009611BD" w:rsidP="00984FBD">
      <w:pPr>
        <w:tabs>
          <w:tab w:val="right" w:pos="850"/>
          <w:tab w:val="left" w:pos="1134"/>
          <w:tab w:val="left" w:pos="1559"/>
          <w:tab w:val="left" w:pos="1984"/>
          <w:tab w:val="left" w:leader="dot" w:pos="7654"/>
          <w:tab w:val="right" w:pos="8929"/>
          <w:tab w:val="right" w:pos="9638"/>
        </w:tabs>
        <w:spacing w:after="120"/>
        <w:ind w:left="1984" w:hanging="1984"/>
        <w:rPr>
          <w:noProof/>
        </w:rPr>
      </w:pPr>
      <w:r>
        <w:rPr>
          <w:noProof/>
        </w:rPr>
        <w:tab/>
      </w:r>
      <w:r>
        <w:rPr>
          <w:noProof/>
        </w:rPr>
        <w:tab/>
      </w:r>
      <w:r>
        <w:rPr>
          <w:noProof/>
        </w:rPr>
        <w:tab/>
        <w:t>5.</w:t>
      </w:r>
      <w:r>
        <w:rPr>
          <w:noProof/>
        </w:rPr>
        <w:tab/>
        <w:t xml:space="preserve">Correction of the English term “load compartment” in the French and German </w:t>
      </w:r>
      <w:r w:rsidR="00984FBD">
        <w:rPr>
          <w:noProof/>
        </w:rPr>
        <w:br/>
      </w:r>
      <w:r>
        <w:rPr>
          <w:noProof/>
        </w:rPr>
        <w:t>versions</w:t>
      </w:r>
      <w:r>
        <w:rPr>
          <w:noProof/>
        </w:rPr>
        <w:tab/>
      </w:r>
      <w:r>
        <w:rPr>
          <w:noProof/>
        </w:rPr>
        <w:tab/>
        <w:t>43</w:t>
      </w:r>
      <w:r>
        <w:rPr>
          <w:noProof/>
        </w:rPr>
        <w:tab/>
        <w:t>10</w:t>
      </w:r>
    </w:p>
    <w:p w14:paraId="1F5DF531" w14:textId="1AF599C5"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6.</w:t>
      </w:r>
      <w:r>
        <w:rPr>
          <w:noProof/>
        </w:rPr>
        <w:tab/>
        <w:t>5.3.2.2.1 of RID/ADR/ADN: Fire resistance of the orange-coloured plate</w:t>
      </w:r>
      <w:r>
        <w:rPr>
          <w:noProof/>
        </w:rPr>
        <w:tab/>
        <w:t>44</w:t>
      </w:r>
      <w:r>
        <w:rPr>
          <w:noProof/>
        </w:rPr>
        <w:tab/>
        <w:t>10</w:t>
      </w:r>
    </w:p>
    <w:p w14:paraId="72940D3F"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r>
      <w:r>
        <w:rPr>
          <w:noProof/>
        </w:rPr>
        <w:tab/>
        <w:t>7.</w:t>
      </w:r>
      <w:r>
        <w:rPr>
          <w:noProof/>
        </w:rPr>
        <w:tab/>
        <w:t>Amendment of term "tons" of "tonnes" in the English text of 1.2.2.1</w:t>
      </w:r>
      <w:r>
        <w:rPr>
          <w:noProof/>
        </w:rPr>
        <w:tab/>
      </w:r>
      <w:r>
        <w:rPr>
          <w:noProof/>
        </w:rPr>
        <w:tab/>
        <w:t>45</w:t>
      </w:r>
      <w:r>
        <w:rPr>
          <w:noProof/>
        </w:rPr>
        <w:tab/>
        <w:t>10</w:t>
      </w:r>
    </w:p>
    <w:p w14:paraId="34CD2FC9"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VIII.</w:t>
      </w:r>
      <w:r>
        <w:rPr>
          <w:noProof/>
        </w:rPr>
        <w:tab/>
        <w:t>Reports of informal working groups (agenda item 6)</w:t>
      </w:r>
      <w:r>
        <w:rPr>
          <w:noProof/>
        </w:rPr>
        <w:tab/>
      </w:r>
      <w:r>
        <w:rPr>
          <w:noProof/>
        </w:rPr>
        <w:tab/>
        <w:t>46-49</w:t>
      </w:r>
      <w:r>
        <w:rPr>
          <w:noProof/>
        </w:rPr>
        <w:tab/>
        <w:t>10</w:t>
      </w:r>
    </w:p>
    <w:p w14:paraId="3EAEFC46"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A.</w:t>
      </w:r>
      <w:r>
        <w:rPr>
          <w:noProof/>
        </w:rPr>
        <w:tab/>
        <w:t>Informal working group on the reduction of the risk of a BLEVE</w:t>
      </w:r>
      <w:r>
        <w:rPr>
          <w:noProof/>
        </w:rPr>
        <w:tab/>
      </w:r>
      <w:r>
        <w:rPr>
          <w:noProof/>
        </w:rPr>
        <w:tab/>
        <w:t>46</w:t>
      </w:r>
      <w:r>
        <w:rPr>
          <w:noProof/>
        </w:rPr>
        <w:tab/>
        <w:t>10</w:t>
      </w:r>
    </w:p>
    <w:p w14:paraId="5A10E37E"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B.</w:t>
      </w:r>
      <w:r>
        <w:rPr>
          <w:noProof/>
        </w:rPr>
        <w:tab/>
        <w:t>Informal working group on e-learning</w:t>
      </w:r>
      <w:r>
        <w:rPr>
          <w:noProof/>
        </w:rPr>
        <w:tab/>
      </w:r>
      <w:r>
        <w:rPr>
          <w:noProof/>
        </w:rPr>
        <w:tab/>
        <w:t>47-48</w:t>
      </w:r>
      <w:r>
        <w:rPr>
          <w:noProof/>
        </w:rPr>
        <w:tab/>
        <w:t>10</w:t>
      </w:r>
    </w:p>
    <w:p w14:paraId="54F43F59"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r>
      <w:r>
        <w:rPr>
          <w:noProof/>
        </w:rPr>
        <w:tab/>
        <w:t>C.</w:t>
      </w:r>
      <w:r>
        <w:rPr>
          <w:noProof/>
        </w:rPr>
        <w:tab/>
        <w:t>Informal working group on the transport of hazardous waste</w:t>
      </w:r>
      <w:r>
        <w:rPr>
          <w:noProof/>
        </w:rPr>
        <w:tab/>
      </w:r>
      <w:r>
        <w:rPr>
          <w:noProof/>
        </w:rPr>
        <w:tab/>
        <w:t>49</w:t>
      </w:r>
      <w:r>
        <w:rPr>
          <w:noProof/>
        </w:rPr>
        <w:tab/>
        <w:t>11</w:t>
      </w:r>
    </w:p>
    <w:p w14:paraId="61D3848E"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IX.</w:t>
      </w:r>
      <w:r>
        <w:rPr>
          <w:noProof/>
        </w:rPr>
        <w:tab/>
        <w:t>Accidents and risk management (agenda item 7)</w:t>
      </w:r>
      <w:r>
        <w:rPr>
          <w:noProof/>
        </w:rPr>
        <w:tab/>
      </w:r>
      <w:r>
        <w:rPr>
          <w:noProof/>
        </w:rPr>
        <w:tab/>
        <w:t>50-52</w:t>
      </w:r>
      <w:r>
        <w:rPr>
          <w:noProof/>
        </w:rPr>
        <w:tab/>
        <w:t>11</w:t>
      </w:r>
    </w:p>
    <w:p w14:paraId="0A912324" w14:textId="71434E08" w:rsidR="009611BD" w:rsidRDefault="009611BD" w:rsidP="00B44964">
      <w:pPr>
        <w:tabs>
          <w:tab w:val="right" w:pos="850"/>
          <w:tab w:val="left" w:pos="1134"/>
          <w:tab w:val="left" w:pos="1559"/>
          <w:tab w:val="left" w:pos="1984"/>
          <w:tab w:val="left" w:leader="dot" w:pos="7654"/>
          <w:tab w:val="right" w:pos="8929"/>
          <w:tab w:val="right" w:pos="9638"/>
        </w:tabs>
        <w:spacing w:after="120"/>
        <w:ind w:left="1559" w:hanging="1559"/>
        <w:rPr>
          <w:noProof/>
        </w:rPr>
      </w:pPr>
      <w:r>
        <w:rPr>
          <w:noProof/>
        </w:rPr>
        <w:tab/>
      </w:r>
      <w:r>
        <w:rPr>
          <w:noProof/>
        </w:rPr>
        <w:tab/>
      </w:r>
      <w:r>
        <w:rPr>
          <w:noProof/>
        </w:rPr>
        <w:tab/>
        <w:t xml:space="preserve">Report of the meeting on the improvement of transport of dangerous goods </w:t>
      </w:r>
      <w:r w:rsidR="00B44964">
        <w:rPr>
          <w:noProof/>
        </w:rPr>
        <w:br/>
      </w:r>
      <w:r>
        <w:rPr>
          <w:noProof/>
        </w:rPr>
        <w:t>occurrence reporting</w:t>
      </w:r>
      <w:r>
        <w:rPr>
          <w:noProof/>
        </w:rPr>
        <w:tab/>
      </w:r>
      <w:r>
        <w:rPr>
          <w:noProof/>
        </w:rPr>
        <w:tab/>
        <w:t>50-52</w:t>
      </w:r>
      <w:r>
        <w:rPr>
          <w:noProof/>
        </w:rPr>
        <w:tab/>
        <w:t>11</w:t>
      </w:r>
    </w:p>
    <w:p w14:paraId="7CFDD099"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X.</w:t>
      </w:r>
      <w:r>
        <w:rPr>
          <w:noProof/>
        </w:rPr>
        <w:tab/>
        <w:t>United Nations 2030 Agenda for Sustainable Development (agenda item 8)</w:t>
      </w:r>
      <w:r>
        <w:rPr>
          <w:noProof/>
        </w:rPr>
        <w:tab/>
      </w:r>
      <w:r>
        <w:rPr>
          <w:noProof/>
        </w:rPr>
        <w:tab/>
        <w:t>53-54</w:t>
      </w:r>
      <w:r>
        <w:rPr>
          <w:noProof/>
        </w:rPr>
        <w:tab/>
        <w:t>11</w:t>
      </w:r>
    </w:p>
    <w:p w14:paraId="30388A73"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XI.</w:t>
      </w:r>
      <w:r>
        <w:rPr>
          <w:noProof/>
        </w:rPr>
        <w:tab/>
        <w:t>Future work (agenda item 9)</w:t>
      </w:r>
      <w:r>
        <w:rPr>
          <w:noProof/>
        </w:rPr>
        <w:tab/>
      </w:r>
      <w:r>
        <w:rPr>
          <w:noProof/>
        </w:rPr>
        <w:tab/>
        <w:t>55-56</w:t>
      </w:r>
      <w:r>
        <w:rPr>
          <w:noProof/>
        </w:rPr>
        <w:tab/>
        <w:t>12</w:t>
      </w:r>
    </w:p>
    <w:p w14:paraId="042423D7"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XII.</w:t>
      </w:r>
      <w:r>
        <w:rPr>
          <w:noProof/>
        </w:rPr>
        <w:tab/>
        <w:t>Any other business (agenda item 10)</w:t>
      </w:r>
      <w:r>
        <w:rPr>
          <w:noProof/>
        </w:rPr>
        <w:tab/>
      </w:r>
      <w:r>
        <w:rPr>
          <w:noProof/>
        </w:rPr>
        <w:tab/>
        <w:t>57-61</w:t>
      </w:r>
      <w:r>
        <w:rPr>
          <w:noProof/>
        </w:rPr>
        <w:tab/>
        <w:t>12</w:t>
      </w:r>
    </w:p>
    <w:p w14:paraId="797F9C36"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XIII.</w:t>
      </w:r>
      <w:r>
        <w:rPr>
          <w:noProof/>
        </w:rPr>
        <w:tab/>
        <w:t>Adoption of the report (agenda item 11)</w:t>
      </w:r>
      <w:r>
        <w:rPr>
          <w:noProof/>
        </w:rPr>
        <w:tab/>
      </w:r>
      <w:r>
        <w:rPr>
          <w:noProof/>
        </w:rPr>
        <w:tab/>
        <w:t>62</w:t>
      </w:r>
      <w:r>
        <w:rPr>
          <w:noProof/>
        </w:rPr>
        <w:tab/>
        <w:t>12</w:t>
      </w:r>
    </w:p>
    <w:p w14:paraId="4C0D82C4" w14:textId="77777777" w:rsidR="00ED3833" w:rsidRDefault="00ED3833" w:rsidP="009611BD">
      <w:pPr>
        <w:tabs>
          <w:tab w:val="right" w:pos="850"/>
          <w:tab w:val="left" w:pos="1134"/>
          <w:tab w:val="left" w:pos="1559"/>
          <w:tab w:val="left" w:pos="1984"/>
          <w:tab w:val="left" w:leader="dot" w:pos="7654"/>
          <w:tab w:val="right" w:pos="8929"/>
          <w:tab w:val="right" w:pos="9638"/>
        </w:tabs>
        <w:spacing w:after="120"/>
        <w:ind w:left="1134" w:hanging="1134"/>
        <w:rPr>
          <w:noProof/>
        </w:rPr>
      </w:pPr>
    </w:p>
    <w:p w14:paraId="2F98AACB" w14:textId="3736CAC4"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lastRenderedPageBreak/>
        <w:t>Annexes</w:t>
      </w:r>
    </w:p>
    <w:p w14:paraId="0EDD0C3C"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I.</w:t>
      </w:r>
      <w:r>
        <w:rPr>
          <w:noProof/>
        </w:rPr>
        <w:tab/>
        <w:t>Report of the Working Group on Tanks</w:t>
      </w:r>
      <w:r>
        <w:rPr>
          <w:noProof/>
        </w:rPr>
        <w:tab/>
      </w:r>
      <w:r>
        <w:rPr>
          <w:noProof/>
        </w:rPr>
        <w:tab/>
        <w:t>13</w:t>
      </w:r>
    </w:p>
    <w:p w14:paraId="512B0F25" w14:textId="77777777"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II.</w:t>
      </w:r>
      <w:r>
        <w:rPr>
          <w:noProof/>
        </w:rPr>
        <w:tab/>
        <w:t>Draft amendments to RID, ADR and ADN for entry into force on 1 January 2025</w:t>
      </w:r>
      <w:r>
        <w:rPr>
          <w:noProof/>
        </w:rPr>
        <w:tab/>
      </w:r>
      <w:r>
        <w:rPr>
          <w:noProof/>
        </w:rPr>
        <w:tab/>
        <w:t>14</w:t>
      </w:r>
    </w:p>
    <w:p w14:paraId="7BF0E4DD" w14:textId="3D5E7092"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III.</w:t>
      </w:r>
      <w:r>
        <w:rPr>
          <w:noProof/>
        </w:rPr>
        <w:tab/>
        <w:t>Corrections and modifications to the draft amendments adopted at previous sessions</w:t>
      </w:r>
      <w:r>
        <w:rPr>
          <w:noProof/>
        </w:rPr>
        <w:tab/>
        <w:t>19</w:t>
      </w:r>
    </w:p>
    <w:p w14:paraId="6388FE19" w14:textId="7AAE7729" w:rsidR="009611BD" w:rsidRDefault="009611BD" w:rsidP="009611B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IV.</w:t>
      </w:r>
      <w:r>
        <w:rPr>
          <w:noProof/>
        </w:rPr>
        <w:tab/>
        <w:t>Draft amendments to RID, ADR and ADN for entry into force on 1 January 2027</w:t>
      </w:r>
      <w:r w:rsidR="00ED3833">
        <w:rPr>
          <w:noProof/>
        </w:rPr>
        <w:tab/>
      </w:r>
      <w:r w:rsidR="00ED3833">
        <w:rPr>
          <w:noProof/>
        </w:rPr>
        <w:tab/>
      </w:r>
      <w:r w:rsidR="008B3C87">
        <w:rPr>
          <w:noProof/>
        </w:rPr>
        <w:t>22</w:t>
      </w:r>
    </w:p>
    <w:p w14:paraId="50DDE423" w14:textId="488DDA41" w:rsidR="003555F8" w:rsidRPr="00F51E09" w:rsidRDefault="003555F8">
      <w:r w:rsidRPr="00F51E09">
        <w:br w:type="page"/>
      </w:r>
    </w:p>
    <w:p w14:paraId="07BD01BA" w14:textId="77777777" w:rsidR="00E27A10" w:rsidRPr="00F51E09" w:rsidRDefault="00E27A10" w:rsidP="00E27A10">
      <w:pPr>
        <w:pStyle w:val="HChG"/>
      </w:pPr>
      <w:r w:rsidRPr="00F51E09">
        <w:lastRenderedPageBreak/>
        <w:tab/>
      </w:r>
      <w:bookmarkStart w:id="1" w:name="_Toc164258722"/>
      <w:r w:rsidRPr="00F51E09">
        <w:t>I.</w:t>
      </w:r>
      <w:r w:rsidRPr="00F51E09">
        <w:tab/>
        <w:t>Attendance</w:t>
      </w:r>
      <w:bookmarkEnd w:id="1"/>
    </w:p>
    <w:p w14:paraId="78F7FA88" w14:textId="77777777" w:rsidR="00E27A10" w:rsidRPr="00F51E09" w:rsidRDefault="00E27A10" w:rsidP="00E27A10">
      <w:pPr>
        <w:pStyle w:val="SingleTxtG"/>
      </w:pPr>
      <w:r w:rsidRPr="00F51E09">
        <w:t>1.</w:t>
      </w:r>
      <w:r w:rsidRPr="00F51E09">
        <w:tab/>
        <w:t xml:space="preserve">The Joint Meeting of the RID Committee of Experts and the Working Party on the Transport of Dangerous Goods of the United Nations Economic Commission for Europe was held in Bern from 25 to 28 March 2024, with Ms. S. Garcia </w:t>
      </w:r>
      <w:proofErr w:type="spellStart"/>
      <w:r w:rsidRPr="00F51E09">
        <w:t>Wolfrum</w:t>
      </w:r>
      <w:proofErr w:type="spellEnd"/>
      <w:r w:rsidRPr="00F51E09">
        <w:t xml:space="preserve"> (Spain) as Chair and Mr. S. Mahesh (Netherlands) as Vice-Chair.</w:t>
      </w:r>
    </w:p>
    <w:p w14:paraId="5C533BED" w14:textId="5715E929" w:rsidR="00E27A10" w:rsidRPr="00F51E09" w:rsidRDefault="00E27A10" w:rsidP="00E27A10">
      <w:pPr>
        <w:pStyle w:val="SingleTxtG"/>
      </w:pPr>
      <w:r w:rsidRPr="00F51E09">
        <w:t>2.</w:t>
      </w:r>
      <w:r w:rsidRPr="00F51E09">
        <w:tab/>
        <w:t xml:space="preserve">In accordance with rule 1 (a) of the rules of procedure of the Joint Meeting, (ECE/TRANS/WP.15/AC.1/112/Add.2), representatives of the following countries participated as full members at the session: Austria, Belgium, Czechia, Denmark, Finland, France, Germany, Italy, Latvia, Luxembourg, Netherlands, Norway, Poland, Portugal, Russian Federation, Slovakia, Spain, Sweden, Switzerland, Türkiye, United Kingdom </w:t>
      </w:r>
      <w:r w:rsidR="00BF45A8">
        <w:t xml:space="preserve">and </w:t>
      </w:r>
      <w:r w:rsidRPr="00F51E09">
        <w:t>United States of America.</w:t>
      </w:r>
    </w:p>
    <w:p w14:paraId="48FEFDAF" w14:textId="77777777" w:rsidR="00BF45A8" w:rsidRDefault="00BF45A8" w:rsidP="00BF45A8">
      <w:pPr>
        <w:pStyle w:val="SingleTxtG"/>
      </w:pPr>
      <w:r>
        <w:t>3.</w:t>
      </w:r>
      <w:r>
        <w:tab/>
        <w:t>In accordance with rule 1 (b) of the rules of procedure, Zimbabwe participated in the Joint Meeting.</w:t>
      </w:r>
    </w:p>
    <w:p w14:paraId="002ECB25" w14:textId="6AF817EC" w:rsidR="00E27A10" w:rsidRPr="00F51E09" w:rsidRDefault="00BF45A8" w:rsidP="00E27A10">
      <w:pPr>
        <w:pStyle w:val="SingleTxtG"/>
      </w:pPr>
      <w:r>
        <w:t>4</w:t>
      </w:r>
      <w:r w:rsidR="00E27A10" w:rsidRPr="00F51E09">
        <w:t>.</w:t>
      </w:r>
      <w:r w:rsidR="00E27A10" w:rsidRPr="00F51E09">
        <w:tab/>
        <w:t>In accordance with rule 1 (c) of the rules of procedure, the following were represented in a consultative capacity:</w:t>
      </w:r>
    </w:p>
    <w:p w14:paraId="1E33E7F7" w14:textId="7E9EB5B6" w:rsidR="00E27A10" w:rsidRPr="00F51E09" w:rsidRDefault="00E27A10" w:rsidP="00E27A10">
      <w:pPr>
        <w:pStyle w:val="SingleTxtG"/>
      </w:pPr>
      <w:r w:rsidRPr="00F51E09">
        <w:tab/>
        <w:t>(a)</w:t>
      </w:r>
      <w:r w:rsidRPr="00F51E09">
        <w:tab/>
        <w:t>European Union (European Union Agency for Railways (ERA));</w:t>
      </w:r>
    </w:p>
    <w:p w14:paraId="4856B7F0" w14:textId="168C2D65" w:rsidR="00E27A10" w:rsidRPr="00F51E09" w:rsidRDefault="00E27A10" w:rsidP="00E27A10">
      <w:pPr>
        <w:pStyle w:val="SingleTxtG"/>
      </w:pPr>
      <w:r w:rsidRPr="00F51E09">
        <w:tab/>
        <w:t>(b)</w:t>
      </w:r>
      <w:r w:rsidRPr="00F51E09">
        <w:tab/>
        <w:t>The following international non-governmental organizations: Council on Safe Transportation of Hazardous Articles (COSTHA), European Chemical Industry Council (</w:t>
      </w:r>
      <w:proofErr w:type="spellStart"/>
      <w:r w:rsidRPr="00F51E09">
        <w:t>Cefic</w:t>
      </w:r>
      <w:proofErr w:type="spellEnd"/>
      <w:r w:rsidRPr="00F51E09">
        <w:t xml:space="preserve">), European Committee for Standardization (CEN), European Council of the Paint, Printing Ink and Artists‘ Colours Industry (CEPE), European Conference of Fuel Distributors (ECFD), European Cylinder Makers Association (ECMA), European Industrial Gases Association (EIGA), European Waste Management Association (FEAD), Liquid Gas Europe, International Confederation of Plastics Packaging Manufacturers (ICPP), International Road Transport Union (IRU), International Union of Wagon Keepers (UIP) </w:t>
      </w:r>
      <w:r w:rsidR="00BF45A8">
        <w:t xml:space="preserve">and </w:t>
      </w:r>
      <w:r w:rsidRPr="00F51E09">
        <w:t>International Union of Railways (UIC).</w:t>
      </w:r>
    </w:p>
    <w:p w14:paraId="41DB45CF" w14:textId="77777777" w:rsidR="00E27A10" w:rsidRPr="00F51E09" w:rsidRDefault="00E27A10" w:rsidP="00E27A10">
      <w:pPr>
        <w:pStyle w:val="HChG"/>
      </w:pPr>
      <w:r w:rsidRPr="00F51E09">
        <w:tab/>
      </w:r>
      <w:bookmarkStart w:id="2" w:name="_Toc164258723"/>
      <w:r w:rsidRPr="00F51E09">
        <w:t>II.</w:t>
      </w:r>
      <w:r w:rsidRPr="00F51E09">
        <w:tab/>
        <w:t>Opening of the session</w:t>
      </w:r>
      <w:bookmarkEnd w:id="2"/>
    </w:p>
    <w:p w14:paraId="232860B5" w14:textId="02B6F402" w:rsidR="00D91E42" w:rsidRPr="00F51E09" w:rsidRDefault="00DD1A99" w:rsidP="00D91E42">
      <w:pPr>
        <w:pStyle w:val="SingleTxtG"/>
      </w:pPr>
      <w:r>
        <w:t>5</w:t>
      </w:r>
      <w:r w:rsidR="00D91E42" w:rsidRPr="00F51E09">
        <w:t>.</w:t>
      </w:r>
      <w:r w:rsidR="00D91E42" w:rsidRPr="00F51E09">
        <w:tab/>
        <w:t xml:space="preserve">Mr. W. </w:t>
      </w:r>
      <w:proofErr w:type="spellStart"/>
      <w:r w:rsidR="00D91E42" w:rsidRPr="00F51E09">
        <w:t>Küpper</w:t>
      </w:r>
      <w:proofErr w:type="spellEnd"/>
      <w:r w:rsidR="00D91E42" w:rsidRPr="00F51E09">
        <w:t xml:space="preserve">, Secretary General of the Intergovernmental Organisation for International Carriage by Rail (OTIF) welcomed all delegates participating in the spring session of the Joint Meeting in Bern. </w:t>
      </w:r>
      <w:r w:rsidR="00D91E42" w:rsidRPr="00F51E09">
        <w:rPr>
          <w:rFonts w:eastAsia="SimSun"/>
          <w:lang w:eastAsia="zh-CN"/>
        </w:rPr>
        <w:t>He reported on the recent entry into force of the Luxembourg protocol and underlined its importance for the financing of railway rolling stock. He informed the Joint Meeting about the ongoing renovation work of the OTIF building and expected that the work would be finished until August next year. He wished all participants a successful session and also announced his intention to retire by the end of 2024.</w:t>
      </w:r>
    </w:p>
    <w:p w14:paraId="1411E4F4" w14:textId="1C816BB8" w:rsidR="00E27A10" w:rsidRPr="00F51E09" w:rsidRDefault="00DD1A99" w:rsidP="00E27A10">
      <w:pPr>
        <w:pStyle w:val="SingleTxtG"/>
      </w:pPr>
      <w:r>
        <w:t>6</w:t>
      </w:r>
      <w:r w:rsidR="00E27A10" w:rsidRPr="00F51E09">
        <w:t>.</w:t>
      </w:r>
      <w:r w:rsidR="00E27A10" w:rsidRPr="00F51E09">
        <w:tab/>
        <w:t>The Joint Meeting noted that due to the fact that Friday, 29 March 2024, was a public holiday in various Contracting States/Contracting Parties the duration of session was limited to four days instead of usually five days.</w:t>
      </w:r>
    </w:p>
    <w:p w14:paraId="0D891473" w14:textId="1D4E15A9" w:rsidR="00E27A10" w:rsidRPr="00F51E09" w:rsidRDefault="00DD1A99" w:rsidP="00E27A10">
      <w:pPr>
        <w:pStyle w:val="SingleTxtG"/>
      </w:pPr>
      <w:r>
        <w:t>7</w:t>
      </w:r>
      <w:r w:rsidR="00E27A10" w:rsidRPr="00F51E09">
        <w:t>.</w:t>
      </w:r>
      <w:r w:rsidR="00E27A10" w:rsidRPr="00F51E09">
        <w:tab/>
        <w:t xml:space="preserve">As already </w:t>
      </w:r>
      <w:r w:rsidR="008F202F" w:rsidRPr="00F51E09">
        <w:t xml:space="preserve">agreed </w:t>
      </w:r>
      <w:r w:rsidR="00E27A10" w:rsidRPr="00F51E09">
        <w:t xml:space="preserve">at </w:t>
      </w:r>
      <w:r w:rsidR="00496549" w:rsidRPr="00F51E09">
        <w:t>its</w:t>
      </w:r>
      <w:r w:rsidR="00E27A10" w:rsidRPr="00F51E09">
        <w:t xml:space="preserve"> September 2023 session the Joint Meeting</w:t>
      </w:r>
      <w:r w:rsidR="00496549" w:rsidRPr="00F51E09">
        <w:t xml:space="preserve"> </w:t>
      </w:r>
      <w:r w:rsidR="008F202F" w:rsidRPr="00F51E09">
        <w:t xml:space="preserve">recalled </w:t>
      </w:r>
      <w:r w:rsidR="00A117BD" w:rsidRPr="00F51E09">
        <w:t>that</w:t>
      </w:r>
      <w:r w:rsidR="00E27A10" w:rsidRPr="00F51E09">
        <w:t>, during this meeting</w:t>
      </w:r>
      <w:r w:rsidR="00D237FA" w:rsidRPr="00F51E09">
        <w:t>,</w:t>
      </w:r>
      <w:r w:rsidR="00E27A10" w:rsidRPr="00F51E09">
        <w:t xml:space="preserve"> only minor and editorial amendments could be adopted for entry into force in 2025 and other amendments could</w:t>
      </w:r>
      <w:r w:rsidR="00A117BD" w:rsidRPr="00F51E09">
        <w:t xml:space="preserve"> </w:t>
      </w:r>
      <w:r w:rsidR="00E27A10" w:rsidRPr="00F51E09">
        <w:t>be adopted for entry into force in 2027.</w:t>
      </w:r>
    </w:p>
    <w:p w14:paraId="5EE22EE8" w14:textId="77777777" w:rsidR="00E27A10" w:rsidRPr="00F51E09" w:rsidRDefault="00E27A10" w:rsidP="00E27A10">
      <w:pPr>
        <w:pStyle w:val="HChG"/>
      </w:pPr>
      <w:r w:rsidRPr="00F51E09">
        <w:tab/>
      </w:r>
      <w:bookmarkStart w:id="3" w:name="_Toc164258724"/>
      <w:r w:rsidRPr="00F51E09">
        <w:t>III.</w:t>
      </w:r>
      <w:r w:rsidRPr="00F51E09">
        <w:tab/>
        <w:t>Adoption of the agenda (agenda item 1)</w:t>
      </w:r>
      <w:bookmarkEnd w:id="3"/>
    </w:p>
    <w:p w14:paraId="262E5DCA" w14:textId="77777777" w:rsidR="00E27A10" w:rsidRPr="00F51E09" w:rsidRDefault="00E27A10" w:rsidP="00E27A10">
      <w:pPr>
        <w:pStyle w:val="SingleTxtG"/>
        <w:tabs>
          <w:tab w:val="clear" w:pos="1701"/>
          <w:tab w:val="clear" w:pos="2268"/>
          <w:tab w:val="clear" w:pos="2835"/>
          <w:tab w:val="left" w:pos="3119"/>
        </w:tabs>
        <w:ind w:left="3119" w:hanging="1985"/>
        <w:jc w:val="left"/>
      </w:pPr>
      <w:r w:rsidRPr="00F51E09">
        <w:rPr>
          <w:i/>
        </w:rPr>
        <w:t>Documents</w:t>
      </w:r>
      <w:r w:rsidRPr="00F51E09">
        <w:t>:</w:t>
      </w:r>
      <w:r w:rsidRPr="00F51E09">
        <w:tab/>
        <w:t>ECE/TRANS/WP.15/AC.1/171</w:t>
      </w:r>
      <w:r w:rsidRPr="00F51E09">
        <w:br/>
        <w:t>ECE/TRANS/WP.15/AC.1/171/Add.1</w:t>
      </w:r>
      <w:r w:rsidRPr="00F51E09">
        <w:br/>
        <w:t>RID-24001-RC</w:t>
      </w:r>
    </w:p>
    <w:p w14:paraId="5BD0CA40" w14:textId="77777777" w:rsidR="00E27A10" w:rsidRPr="00F51E09" w:rsidRDefault="00E27A10" w:rsidP="00E27A10">
      <w:pPr>
        <w:pStyle w:val="SingleTxtG"/>
        <w:ind w:left="3119" w:hanging="1985"/>
        <w:jc w:val="left"/>
        <w:rPr>
          <w:iCs/>
        </w:rPr>
      </w:pPr>
      <w:r w:rsidRPr="00F51E09">
        <w:rPr>
          <w:i/>
        </w:rPr>
        <w:t>Informal documents</w:t>
      </w:r>
      <w:r w:rsidRPr="00F51E09">
        <w:t xml:space="preserve">: </w:t>
      </w:r>
      <w:r w:rsidRPr="00F51E09">
        <w:tab/>
        <w:t xml:space="preserve">INF.1, </w:t>
      </w:r>
      <w:r w:rsidRPr="00F51E09">
        <w:rPr>
          <w:iCs/>
        </w:rPr>
        <w:t>INF.2 and INF.3 (Secretariats)</w:t>
      </w:r>
    </w:p>
    <w:p w14:paraId="73EBD81B" w14:textId="566932AF" w:rsidR="00E27A10" w:rsidRPr="00F51E09" w:rsidRDefault="00DD1A99" w:rsidP="00E27A10">
      <w:pPr>
        <w:pStyle w:val="SingleTxtG"/>
      </w:pPr>
      <w:r>
        <w:t>8</w:t>
      </w:r>
      <w:r w:rsidR="00E27A10" w:rsidRPr="00F51E09">
        <w:t>.</w:t>
      </w:r>
      <w:r w:rsidR="00E27A10" w:rsidRPr="00F51E09">
        <w:tab/>
        <w:t>The Joint Meeting adopted the agenda proposed by the secretariats in documents ECE/TRANS/WP.15/AC.1/171 and Add.1 (RID-24001-RC) as updated by informal document INF.2 after amending it to take account of informal documents INF.3 to INF.</w:t>
      </w:r>
      <w:r w:rsidR="009D6EA5" w:rsidRPr="00F51E09">
        <w:t>31</w:t>
      </w:r>
      <w:r w:rsidR="00E27A10" w:rsidRPr="00F51E09">
        <w:t>.</w:t>
      </w:r>
    </w:p>
    <w:p w14:paraId="39CE825D" w14:textId="77777777" w:rsidR="00E27A10" w:rsidRPr="00F51E09" w:rsidRDefault="00E27A10" w:rsidP="00E27A10">
      <w:pPr>
        <w:pStyle w:val="HChG"/>
      </w:pPr>
      <w:r w:rsidRPr="00F51E09">
        <w:lastRenderedPageBreak/>
        <w:tab/>
      </w:r>
      <w:bookmarkStart w:id="4" w:name="_Toc164258725"/>
      <w:r w:rsidRPr="00F51E09">
        <w:t>IV.</w:t>
      </w:r>
      <w:r w:rsidRPr="00F51E09">
        <w:tab/>
        <w:t>Tanks (agenda item 2)</w:t>
      </w:r>
      <w:bookmarkEnd w:id="4"/>
    </w:p>
    <w:p w14:paraId="426BFBAF" w14:textId="77777777" w:rsidR="00E27A10" w:rsidRPr="00F51E09" w:rsidRDefault="00E27A10" w:rsidP="00E27A10">
      <w:pPr>
        <w:pStyle w:val="SingleTxtG"/>
        <w:tabs>
          <w:tab w:val="clear" w:pos="1701"/>
          <w:tab w:val="clear" w:pos="2268"/>
          <w:tab w:val="clear" w:pos="2835"/>
          <w:tab w:val="left" w:pos="3119"/>
        </w:tabs>
        <w:spacing w:after="0"/>
        <w:ind w:left="3119" w:hanging="1985"/>
        <w:jc w:val="left"/>
      </w:pPr>
      <w:r w:rsidRPr="00F51E09">
        <w:rPr>
          <w:i/>
        </w:rPr>
        <w:t>Documents</w:t>
      </w:r>
      <w:r w:rsidRPr="00F51E09">
        <w:t>:</w:t>
      </w:r>
      <w:r w:rsidRPr="00F51E09">
        <w:tab/>
        <w:t>ECE/TRANS/WP.15/AC.1/170/Add.1 (Report of the working group on tanks)</w:t>
      </w:r>
    </w:p>
    <w:p w14:paraId="43A33081" w14:textId="77777777" w:rsidR="00E27A10" w:rsidRPr="00F51E09" w:rsidRDefault="00E27A10" w:rsidP="00E27A10">
      <w:pPr>
        <w:pStyle w:val="SingleTxtG"/>
        <w:tabs>
          <w:tab w:val="left" w:pos="3119"/>
        </w:tabs>
        <w:spacing w:after="0"/>
        <w:ind w:left="3119"/>
        <w:jc w:val="left"/>
      </w:pPr>
      <w:r w:rsidRPr="00F51E09">
        <w:t>ECE/TRANS/WP.15/AC.1/2024/1 (UIP)</w:t>
      </w:r>
    </w:p>
    <w:p w14:paraId="6688AD16" w14:textId="77777777" w:rsidR="00E27A10" w:rsidRPr="00F51E09" w:rsidRDefault="00E27A10" w:rsidP="00E27A10">
      <w:pPr>
        <w:pStyle w:val="SingleTxtG"/>
        <w:tabs>
          <w:tab w:val="left" w:pos="3119"/>
        </w:tabs>
        <w:spacing w:after="0"/>
        <w:ind w:left="3119"/>
        <w:jc w:val="left"/>
      </w:pPr>
      <w:r w:rsidRPr="00F51E09">
        <w:t>ECE/TRANS/WP.15/AC.1/2024/2 (Spain)</w:t>
      </w:r>
    </w:p>
    <w:p w14:paraId="2465183C" w14:textId="77777777" w:rsidR="00E27A10" w:rsidRPr="00F51E09" w:rsidRDefault="00E27A10" w:rsidP="00E27A10">
      <w:pPr>
        <w:pStyle w:val="SingleTxtG"/>
        <w:tabs>
          <w:tab w:val="left" w:pos="3119"/>
        </w:tabs>
        <w:spacing w:after="0"/>
        <w:ind w:left="3119"/>
        <w:jc w:val="left"/>
      </w:pPr>
      <w:r w:rsidRPr="00F51E09">
        <w:t>ECE/TRANS/WP.15/AC.1/2024/5 (Russian Federation)</w:t>
      </w:r>
    </w:p>
    <w:p w14:paraId="555F7735" w14:textId="77777777" w:rsidR="00E27A10" w:rsidRPr="00F51E09" w:rsidRDefault="00E27A10" w:rsidP="00E27A10">
      <w:pPr>
        <w:pStyle w:val="SingleTxtG"/>
        <w:tabs>
          <w:tab w:val="left" w:pos="3119"/>
        </w:tabs>
        <w:spacing w:after="0"/>
        <w:ind w:left="3119"/>
        <w:jc w:val="left"/>
      </w:pPr>
      <w:r w:rsidRPr="00F51E09">
        <w:t>ECE/TRANS/WP.15/AC.1/2024/8 (Spain, EIGA)</w:t>
      </w:r>
    </w:p>
    <w:p w14:paraId="4A6D1C0C" w14:textId="77777777" w:rsidR="00E27A10" w:rsidRPr="00F51E09" w:rsidRDefault="00E27A10" w:rsidP="00E27A10">
      <w:pPr>
        <w:pStyle w:val="SingleTxtG"/>
        <w:tabs>
          <w:tab w:val="left" w:pos="3119"/>
        </w:tabs>
        <w:spacing w:after="0"/>
        <w:ind w:left="3119"/>
        <w:jc w:val="left"/>
      </w:pPr>
      <w:r w:rsidRPr="00F51E09">
        <w:t>ECE/TRANS/WP.15/AC.1/2024/18 (Netherlands)</w:t>
      </w:r>
    </w:p>
    <w:p w14:paraId="56D9D27F" w14:textId="77777777" w:rsidR="00E27A10" w:rsidRPr="00F51E09" w:rsidRDefault="00E27A10" w:rsidP="00E27A10">
      <w:pPr>
        <w:pStyle w:val="SingleTxtG"/>
        <w:tabs>
          <w:tab w:val="left" w:pos="3119"/>
        </w:tabs>
        <w:ind w:left="3119"/>
        <w:jc w:val="left"/>
      </w:pPr>
      <w:r w:rsidRPr="00F51E09">
        <w:t>ECE/TRANS/WP.15/AC.1/2024/26 (UIC)</w:t>
      </w:r>
    </w:p>
    <w:p w14:paraId="7D6D3FAE" w14:textId="77777777" w:rsidR="00E27A10" w:rsidRPr="00F51E09" w:rsidRDefault="00E27A10" w:rsidP="00E27A10">
      <w:pPr>
        <w:pStyle w:val="SingleTxtG"/>
        <w:tabs>
          <w:tab w:val="left" w:pos="3119"/>
        </w:tabs>
        <w:spacing w:after="0"/>
        <w:ind w:left="3402" w:hanging="2268"/>
        <w:jc w:val="left"/>
      </w:pPr>
      <w:r w:rsidRPr="00F51E09">
        <w:rPr>
          <w:i/>
          <w:iCs/>
        </w:rPr>
        <w:t>Informal documents:</w:t>
      </w:r>
      <w:r w:rsidRPr="00F51E09">
        <w:tab/>
      </w:r>
      <w:r w:rsidRPr="00F51E09">
        <w:tab/>
        <w:t>INF.5 (UIP)</w:t>
      </w:r>
    </w:p>
    <w:p w14:paraId="6330E57A" w14:textId="77777777" w:rsidR="00E27A10" w:rsidRPr="00F51E09" w:rsidRDefault="00E27A10" w:rsidP="00E27A10">
      <w:pPr>
        <w:pStyle w:val="SingleTxtG"/>
        <w:tabs>
          <w:tab w:val="left" w:pos="3119"/>
        </w:tabs>
        <w:spacing w:after="0"/>
        <w:ind w:left="3119"/>
      </w:pPr>
      <w:r w:rsidRPr="00F51E09">
        <w:t>INF.10 (Germany)</w:t>
      </w:r>
    </w:p>
    <w:p w14:paraId="65E06F7B" w14:textId="77777777" w:rsidR="00E27A10" w:rsidRPr="00644BB5" w:rsidRDefault="00E27A10" w:rsidP="00E27A10">
      <w:pPr>
        <w:pStyle w:val="SingleTxtG"/>
        <w:tabs>
          <w:tab w:val="left" w:pos="3119"/>
        </w:tabs>
        <w:spacing w:after="0"/>
        <w:ind w:left="3119"/>
      </w:pPr>
      <w:r w:rsidRPr="00644BB5">
        <w:t>INF.14 (CEN)</w:t>
      </w:r>
    </w:p>
    <w:p w14:paraId="6E21ACAE" w14:textId="77777777" w:rsidR="00E27A10" w:rsidRPr="00F51E09" w:rsidRDefault="00E27A10" w:rsidP="00E27A10">
      <w:pPr>
        <w:pStyle w:val="SingleTxtG"/>
        <w:tabs>
          <w:tab w:val="left" w:pos="3119"/>
        </w:tabs>
        <w:spacing w:after="0"/>
        <w:ind w:left="3119"/>
      </w:pPr>
      <w:r w:rsidRPr="00F51E09">
        <w:t>INF.16 (ITCO)</w:t>
      </w:r>
    </w:p>
    <w:p w14:paraId="1CEA77BD" w14:textId="77777777" w:rsidR="00E27A10" w:rsidRPr="00F51E09" w:rsidRDefault="00E27A10" w:rsidP="00E27A10">
      <w:pPr>
        <w:pStyle w:val="SingleTxtG"/>
        <w:tabs>
          <w:tab w:val="left" w:pos="3119"/>
        </w:tabs>
        <w:spacing w:after="0"/>
        <w:ind w:left="3119"/>
      </w:pPr>
      <w:r w:rsidRPr="00F51E09">
        <w:t>INF.17 (Belgium)</w:t>
      </w:r>
    </w:p>
    <w:p w14:paraId="6A00501F" w14:textId="1CCA3FF7" w:rsidR="00E27A10" w:rsidRPr="00644BB5" w:rsidRDefault="00E27A10" w:rsidP="00E27A10">
      <w:pPr>
        <w:pStyle w:val="SingleTxtG"/>
        <w:tabs>
          <w:tab w:val="left" w:pos="3119"/>
        </w:tabs>
        <w:spacing w:after="0"/>
        <w:ind w:left="3119"/>
      </w:pPr>
      <w:r w:rsidRPr="00F51E09">
        <w:t xml:space="preserve">INF.18/Rev.1 (Report of the working </w:t>
      </w:r>
      <w:r w:rsidR="004D161C" w:rsidRPr="00F51E09">
        <w:t>g</w:t>
      </w:r>
      <w:r w:rsidRPr="00F51E09">
        <w:t>roup on tanks)</w:t>
      </w:r>
    </w:p>
    <w:p w14:paraId="290E9386" w14:textId="33C2B2C9" w:rsidR="00E27A10" w:rsidRPr="00F51E09" w:rsidRDefault="006B0EBB" w:rsidP="00E27A10">
      <w:pPr>
        <w:pStyle w:val="SingleTxtG"/>
        <w:spacing w:before="120"/>
      </w:pPr>
      <w:r>
        <w:t>9</w:t>
      </w:r>
      <w:r w:rsidR="00E27A10" w:rsidRPr="00F51E09">
        <w:t>.</w:t>
      </w:r>
      <w:r w:rsidR="00E27A10" w:rsidRPr="00F51E09">
        <w:tab/>
        <w:t xml:space="preserve">The Joint Meeting welcomed the outcome of the working group meeting held on 26 and 27 February 2024 as reflected in informal document INF.18/Rev.1 which included some additional editorial amendments and corrections presented by the group’s secretary. The group's report appears in annex </w:t>
      </w:r>
      <w:r w:rsidR="0041729B" w:rsidRPr="00F51E09">
        <w:t>I</w:t>
      </w:r>
      <w:r w:rsidR="00E27A10" w:rsidRPr="00F51E09">
        <w:t xml:space="preserve"> as addendum 1 to this report.</w:t>
      </w:r>
    </w:p>
    <w:p w14:paraId="2F3E427D" w14:textId="5E0A2E6D" w:rsidR="00E27A10" w:rsidRPr="00F51E09" w:rsidRDefault="006B0EBB" w:rsidP="00E27A10">
      <w:pPr>
        <w:pStyle w:val="SingleTxtG"/>
        <w:spacing w:before="120"/>
      </w:pPr>
      <w:r>
        <w:t>10</w:t>
      </w:r>
      <w:r w:rsidR="00E27A10" w:rsidRPr="00F51E09">
        <w:t>.</w:t>
      </w:r>
      <w:r w:rsidR="00E27A10" w:rsidRPr="00F51E09">
        <w:tab/>
        <w:t xml:space="preserve">The Joint Meeting considered the amendments to RID, ADR and ADN proposed in informal document INF.18/Rev.1 and adopted proposals 1, 4, 5, 6, 7, 8 </w:t>
      </w:r>
      <w:r w:rsidR="008D613D" w:rsidRPr="00F51E09">
        <w:t>and 9</w:t>
      </w:r>
      <w:r w:rsidR="0006758B" w:rsidRPr="00F51E09">
        <w:t xml:space="preserve"> </w:t>
      </w:r>
      <w:r w:rsidR="00E27A10" w:rsidRPr="00F51E09">
        <w:t>for entry into force in 2025 and proposal</w:t>
      </w:r>
      <w:r w:rsidR="00CE7348">
        <w:t>s</w:t>
      </w:r>
      <w:r w:rsidR="00E27A10" w:rsidRPr="00F51E09">
        <w:t xml:space="preserve"> 2 and 3 for entry into force in 2027 (see annex</w:t>
      </w:r>
      <w:r w:rsidR="006A5F14">
        <w:t>es</w:t>
      </w:r>
      <w:r w:rsidR="00E27A10" w:rsidRPr="00F51E09">
        <w:t xml:space="preserve"> </w:t>
      </w:r>
      <w:r w:rsidR="00B26BB2" w:rsidRPr="00F51E09">
        <w:t>II</w:t>
      </w:r>
      <w:r w:rsidR="006A5F14">
        <w:t>, III and IV</w:t>
      </w:r>
      <w:r w:rsidR="00E27A10" w:rsidRPr="00F51E09">
        <w:t>).</w:t>
      </w:r>
    </w:p>
    <w:p w14:paraId="028981D7" w14:textId="77197AFD" w:rsidR="00E27A10" w:rsidRPr="00F51E09" w:rsidRDefault="006B0EBB" w:rsidP="00E27A10">
      <w:pPr>
        <w:pStyle w:val="SingleTxtG"/>
        <w:spacing w:line="240" w:lineRule="auto"/>
      </w:pPr>
      <w:r>
        <w:t>11</w:t>
      </w:r>
      <w:r w:rsidR="00E27A10" w:rsidRPr="00F51E09">
        <w:t>.</w:t>
      </w:r>
      <w:r w:rsidR="00E27A10" w:rsidRPr="00F51E09">
        <w:tab/>
        <w:t>On item 2 regarding proposal 2, the Joint Meeting noted that the adopted provision was not a new provision but only a clarification for competent authorities and their inspection services on the inspection of tanks for which the specified date for intermediate inspection has passed. To avoid interpretation issues in the meantime, the secretariat</w:t>
      </w:r>
      <w:r>
        <w:t>s</w:t>
      </w:r>
      <w:r w:rsidR="00E27A10" w:rsidRPr="00F51E09">
        <w:t xml:space="preserve"> w</w:t>
      </w:r>
      <w:r>
        <w:t>ere</w:t>
      </w:r>
      <w:r w:rsidR="00E27A10" w:rsidRPr="00F51E09">
        <w:t xml:space="preserve"> requested to add this clarification on the OTIF RID / UNECE ADR Interpretation List.</w:t>
      </w:r>
    </w:p>
    <w:p w14:paraId="7046D312" w14:textId="56F7F448" w:rsidR="00E27A10" w:rsidRPr="00F51E09" w:rsidRDefault="006B0EBB" w:rsidP="00E27A10">
      <w:pPr>
        <w:pStyle w:val="SingleTxtG"/>
        <w:spacing w:line="240" w:lineRule="auto"/>
      </w:pPr>
      <w:r>
        <w:t>12</w:t>
      </w:r>
      <w:r w:rsidR="00E27A10" w:rsidRPr="00F51E09">
        <w:t>.</w:t>
      </w:r>
      <w:r w:rsidR="00E27A10" w:rsidRPr="00F51E09">
        <w:tab/>
        <w:t xml:space="preserve">On item 4, the Joint Meeting concurred with the working group’s recommendation and invited the Russian Federation to submit to the Sub-Committee of Experts on the Transport of Dangerous Goods an appropriate proposal for amendments to the Model Regulations. </w:t>
      </w:r>
    </w:p>
    <w:p w14:paraId="681C3BB2" w14:textId="6A9EB926" w:rsidR="00E27A10" w:rsidRPr="00F51E09" w:rsidRDefault="006B0EBB" w:rsidP="00E27A10">
      <w:pPr>
        <w:pStyle w:val="SingleTxtG"/>
        <w:spacing w:before="120"/>
      </w:pPr>
      <w:r>
        <w:t>13</w:t>
      </w:r>
      <w:r w:rsidR="00E27A10" w:rsidRPr="00F51E09">
        <w:t>.</w:t>
      </w:r>
      <w:r w:rsidR="00E27A10" w:rsidRPr="00F51E09">
        <w:tab/>
        <w:t>On item 8, the Joint Meeting endorsed the purpose of the proposals and recommended to submit to the RID Committee of Experts' standing working group a proposal for amendments.</w:t>
      </w:r>
    </w:p>
    <w:p w14:paraId="173E0451" w14:textId="77777777" w:rsidR="00EE33C9" w:rsidRPr="00F51E09" w:rsidRDefault="00EE33C9" w:rsidP="00EE33C9">
      <w:pPr>
        <w:pStyle w:val="HChG"/>
      </w:pPr>
      <w:r w:rsidRPr="00F51E09">
        <w:tab/>
      </w:r>
      <w:bookmarkStart w:id="5" w:name="_Toc164258726"/>
      <w:r w:rsidRPr="00F51E09">
        <w:t>V.</w:t>
      </w:r>
      <w:r w:rsidRPr="00F51E09">
        <w:tab/>
        <w:t>Standards (agenda item 3)</w:t>
      </w:r>
      <w:bookmarkEnd w:id="5"/>
    </w:p>
    <w:p w14:paraId="413845BB" w14:textId="77777777" w:rsidR="00EE33C9" w:rsidRPr="00F51E09" w:rsidRDefault="00EE33C9" w:rsidP="00EE33C9">
      <w:pPr>
        <w:tabs>
          <w:tab w:val="left" w:pos="567"/>
          <w:tab w:val="left" w:pos="1134"/>
          <w:tab w:val="left" w:pos="1800"/>
        </w:tabs>
        <w:spacing w:after="120"/>
        <w:ind w:left="1134" w:right="1134" w:hanging="1134"/>
        <w:rPr>
          <w:b/>
          <w:bCs/>
          <w:sz w:val="24"/>
          <w:szCs w:val="24"/>
        </w:rPr>
      </w:pPr>
      <w:r w:rsidRPr="00F51E09">
        <w:rPr>
          <w:b/>
          <w:bCs/>
          <w:sz w:val="24"/>
          <w:szCs w:val="24"/>
        </w:rPr>
        <w:tab/>
        <w:t>A.</w:t>
      </w:r>
      <w:r w:rsidRPr="00F51E09">
        <w:rPr>
          <w:b/>
          <w:bCs/>
          <w:sz w:val="24"/>
          <w:szCs w:val="24"/>
        </w:rPr>
        <w:tab/>
        <w:t>Information on the work of the Working Group on Standards</w:t>
      </w:r>
    </w:p>
    <w:p w14:paraId="26D7FA84" w14:textId="77777777" w:rsidR="00EE33C9" w:rsidRPr="00644BB5" w:rsidRDefault="00EE33C9" w:rsidP="00EE33C9">
      <w:pPr>
        <w:pStyle w:val="SingleTxtG"/>
        <w:tabs>
          <w:tab w:val="clear" w:pos="2268"/>
        </w:tabs>
        <w:ind w:left="3402" w:hanging="2268"/>
        <w:jc w:val="left"/>
      </w:pPr>
      <w:r w:rsidRPr="00644BB5">
        <w:rPr>
          <w:i/>
        </w:rPr>
        <w:t>Document</w:t>
      </w:r>
      <w:r w:rsidRPr="00644BB5">
        <w:t>:</w:t>
      </w:r>
      <w:r w:rsidRPr="00644BB5">
        <w:tab/>
        <w:t>ECE/TRANS/WP.15/AC.1/2024/9 (CEN)</w:t>
      </w:r>
    </w:p>
    <w:p w14:paraId="46B25CCA" w14:textId="6631DCF7" w:rsidR="00EE33C9" w:rsidRPr="00F51E09" w:rsidRDefault="00001399" w:rsidP="00EE33C9">
      <w:pPr>
        <w:pStyle w:val="SingleTxtG"/>
      </w:pPr>
      <w:r w:rsidRPr="00F51E09">
        <w:t>1</w:t>
      </w:r>
      <w:r w:rsidR="009731BF">
        <w:t>4</w:t>
      </w:r>
      <w:r w:rsidR="00EE33C9" w:rsidRPr="00F51E09">
        <w:t>.</w:t>
      </w:r>
      <w:r w:rsidR="00EE33C9" w:rsidRPr="00F51E09">
        <w:tab/>
        <w:t>The Joint Meeting noted the information on CEN’s work programme in document ECE/TRANS/WP.15/AC.1/2024/9.</w:t>
      </w:r>
    </w:p>
    <w:p w14:paraId="439E8C1F" w14:textId="77777777" w:rsidR="00EE33C9" w:rsidRPr="00F51E09" w:rsidRDefault="00EE33C9" w:rsidP="00EE33C9">
      <w:pPr>
        <w:tabs>
          <w:tab w:val="left" w:pos="567"/>
          <w:tab w:val="left" w:pos="1134"/>
          <w:tab w:val="left" w:pos="1800"/>
        </w:tabs>
        <w:spacing w:after="120"/>
        <w:ind w:left="1134" w:right="1134" w:hanging="1134"/>
        <w:rPr>
          <w:b/>
          <w:bCs/>
          <w:sz w:val="24"/>
          <w:szCs w:val="24"/>
        </w:rPr>
      </w:pPr>
      <w:r w:rsidRPr="00F51E09">
        <w:rPr>
          <w:b/>
          <w:bCs/>
          <w:sz w:val="24"/>
          <w:szCs w:val="24"/>
        </w:rPr>
        <w:tab/>
        <w:t>B.</w:t>
      </w:r>
      <w:r w:rsidRPr="00F51E09">
        <w:rPr>
          <w:b/>
          <w:bCs/>
          <w:sz w:val="24"/>
          <w:szCs w:val="24"/>
        </w:rPr>
        <w:tab/>
        <w:t>Report of the Working Group on Standards</w:t>
      </w:r>
    </w:p>
    <w:p w14:paraId="347259D4" w14:textId="77777777" w:rsidR="00EE33C9" w:rsidRPr="00F51E09" w:rsidRDefault="00EE33C9" w:rsidP="00EE33C9">
      <w:pPr>
        <w:pStyle w:val="SingleTxtG"/>
        <w:ind w:left="3402" w:hanging="2268"/>
        <w:jc w:val="left"/>
      </w:pPr>
      <w:r w:rsidRPr="00F51E09">
        <w:rPr>
          <w:i/>
        </w:rPr>
        <w:t>Informal documents</w:t>
      </w:r>
      <w:r w:rsidRPr="00F51E09">
        <w:t>:</w:t>
      </w:r>
      <w:r w:rsidRPr="00F51E09">
        <w:tab/>
        <w:t>INF.14 and INF.26 (Working Group on Standards)</w:t>
      </w:r>
    </w:p>
    <w:p w14:paraId="21ECE851" w14:textId="1631FA19" w:rsidR="00EE33C9" w:rsidRPr="00F51E09" w:rsidRDefault="005E256A" w:rsidP="00EE33C9">
      <w:pPr>
        <w:pStyle w:val="SingleTxtG"/>
      </w:pPr>
      <w:r w:rsidRPr="00F51E09">
        <w:t>1</w:t>
      </w:r>
      <w:r w:rsidR="009731BF">
        <w:t>5</w:t>
      </w:r>
      <w:r w:rsidR="00EE33C9" w:rsidRPr="00F51E09">
        <w:t>.</w:t>
      </w:r>
      <w:r w:rsidR="00EE33C9" w:rsidRPr="00F51E09">
        <w:tab/>
        <w:t xml:space="preserve">The Joint Meeting welcomed the report on the outcome of the recent meeting of the Working Group on Standards held on 1 February 2024. It adopted the amendments proposed in items 3, 4 and 5 listed in informal document INF.14 related to the standards and those proposed in paragraph 6 of informal document INF.26 for entry into force in 2025 (see annex </w:t>
      </w:r>
      <w:r w:rsidR="006F2462" w:rsidRPr="00F51E09">
        <w:t>II</w:t>
      </w:r>
      <w:r w:rsidR="00EE33C9" w:rsidRPr="00F51E09">
        <w:t>).</w:t>
      </w:r>
    </w:p>
    <w:p w14:paraId="18993E26" w14:textId="3F094465" w:rsidR="00EE33C9" w:rsidRPr="00F51E09" w:rsidRDefault="005E256A" w:rsidP="00EE33C9">
      <w:pPr>
        <w:pStyle w:val="SingleTxtG"/>
      </w:pPr>
      <w:r w:rsidRPr="00F51E09">
        <w:t>1</w:t>
      </w:r>
      <w:r w:rsidR="009731BF">
        <w:t>6</w:t>
      </w:r>
      <w:r w:rsidR="00EE33C9" w:rsidRPr="00F51E09">
        <w:t>.</w:t>
      </w:r>
      <w:r w:rsidR="00EE33C9" w:rsidRPr="00F51E09">
        <w:tab/>
        <w:t xml:space="preserve">Recalling that some references to standards adopted on the basis of item 3 in informal document INF.14 were still kept in brackets, the Joint Meeting reminded the representative of CEN to confirm to the secretariat at the latest by </w:t>
      </w:r>
      <w:r w:rsidR="009731BF">
        <w:t>31</w:t>
      </w:r>
      <w:r w:rsidR="00EE33C9" w:rsidRPr="00F51E09">
        <w:t xml:space="preserve"> May 2024 the date of publication of </w:t>
      </w:r>
      <w:r w:rsidR="00EE33C9" w:rsidRPr="00F51E09">
        <w:lastRenderedPageBreak/>
        <w:t>these standards. Otherwise, the amendments on the updated standards could not be published in the 2025 editions of RID and ADR, but in the 2027 editions only.</w:t>
      </w:r>
    </w:p>
    <w:p w14:paraId="49F1FFA9" w14:textId="07CDD17E" w:rsidR="00EE33C9" w:rsidRPr="00F51E09" w:rsidRDefault="00E122F5" w:rsidP="00EE33C9">
      <w:pPr>
        <w:pStyle w:val="SingleTxtG"/>
      </w:pPr>
      <w:r w:rsidRPr="00F51E09">
        <w:t>1</w:t>
      </w:r>
      <w:r w:rsidR="009731BF">
        <w:t>7</w:t>
      </w:r>
      <w:r w:rsidR="00EE33C9" w:rsidRPr="00F51E09">
        <w:t>.</w:t>
      </w:r>
      <w:r w:rsidR="00EE33C9" w:rsidRPr="00F51E09">
        <w:tab/>
        <w:t>On item 5(b) in informal document INF.14, the Joint Meeting noted the confirmation of the working group on tanks to refer to the updated standard EN ISO 9712:2022. In item 6 in informal document INF.14 the Working Group on Standards requested that the appropriate experts are consulted and to confirm if EN 590:2022 should be included in RID/ADR or if the standard could be referenced undated. Some delegates,</w:t>
      </w:r>
      <w:r w:rsidR="008778C0" w:rsidRPr="00F51E09">
        <w:t xml:space="preserve"> </w:t>
      </w:r>
      <w:r w:rsidR="00EE33C9" w:rsidRPr="00F51E09">
        <w:t>who took the floor preferred to use an undated reference which was considered to be sufficient for the purpose of classification. The representative of CEN volunteered to come back with a new proposal on item 7 at the forthcoming session in September 2024.</w:t>
      </w:r>
    </w:p>
    <w:p w14:paraId="1D02F2AB" w14:textId="77777777" w:rsidR="00EE33C9" w:rsidRPr="00644BB5" w:rsidRDefault="00EE33C9" w:rsidP="00EE33C9">
      <w:pPr>
        <w:keepNext/>
        <w:keepLines/>
        <w:tabs>
          <w:tab w:val="left" w:pos="567"/>
          <w:tab w:val="left" w:pos="1134"/>
          <w:tab w:val="left" w:pos="1800"/>
        </w:tabs>
        <w:spacing w:after="120"/>
        <w:ind w:left="1134" w:right="1134" w:hanging="1134"/>
        <w:rPr>
          <w:b/>
          <w:bCs/>
          <w:sz w:val="24"/>
          <w:szCs w:val="24"/>
        </w:rPr>
      </w:pPr>
      <w:r w:rsidRPr="00F51E09">
        <w:rPr>
          <w:b/>
          <w:bCs/>
          <w:sz w:val="24"/>
          <w:szCs w:val="24"/>
        </w:rPr>
        <w:tab/>
      </w:r>
      <w:r w:rsidRPr="00644BB5">
        <w:rPr>
          <w:b/>
          <w:bCs/>
          <w:sz w:val="24"/>
          <w:szCs w:val="24"/>
        </w:rPr>
        <w:t>C.</w:t>
      </w:r>
      <w:r w:rsidRPr="00644BB5">
        <w:rPr>
          <w:b/>
          <w:bCs/>
          <w:sz w:val="24"/>
          <w:szCs w:val="24"/>
        </w:rPr>
        <w:tab/>
        <w:t>Standard EN 1439:2021 in RID/ADR 2023</w:t>
      </w:r>
    </w:p>
    <w:p w14:paraId="15244B29" w14:textId="77777777" w:rsidR="00EE33C9" w:rsidRPr="00F51E09" w:rsidRDefault="00EE33C9" w:rsidP="00EE33C9">
      <w:pPr>
        <w:pStyle w:val="SingleTxtG"/>
        <w:keepNext/>
        <w:keepLines/>
        <w:ind w:left="3402" w:hanging="2268"/>
        <w:jc w:val="left"/>
      </w:pPr>
      <w:r w:rsidRPr="00F51E09">
        <w:rPr>
          <w:i/>
        </w:rPr>
        <w:t>Informal document</w:t>
      </w:r>
      <w:r w:rsidRPr="00F51E09">
        <w:t>:</w:t>
      </w:r>
      <w:r w:rsidRPr="00F51E09">
        <w:tab/>
        <w:t>INF.15 (Netherlands)</w:t>
      </w:r>
    </w:p>
    <w:p w14:paraId="2C6430D9" w14:textId="27BC0CA0" w:rsidR="00EE33C9" w:rsidRPr="00F51E09" w:rsidRDefault="00D503C9" w:rsidP="00EE33C9">
      <w:pPr>
        <w:pStyle w:val="SingleTxtG"/>
        <w:keepNext/>
        <w:keepLines/>
      </w:pPr>
      <w:r w:rsidRPr="00F51E09">
        <w:t>1</w:t>
      </w:r>
      <w:r w:rsidR="009731BF">
        <w:t>8</w:t>
      </w:r>
      <w:r w:rsidR="00EE33C9" w:rsidRPr="00F51E09">
        <w:t>.</w:t>
      </w:r>
      <w:r w:rsidR="00EE33C9" w:rsidRPr="00F51E09">
        <w:tab/>
        <w:t>The Joint Meeting noted the information in informal document INF.15. Some delegations raised concerns about the high value of the admissible limit of 5 g/h for leakage rate of LPG cylinders prescribed in standard EN 1439:2021 which is referenced in packing instruction P200. Others confirmed to have national requirements in force with a lower limit. CEN/TC286 will be invited to review their standard in this respect.</w:t>
      </w:r>
    </w:p>
    <w:p w14:paraId="1AB2BD37" w14:textId="77777777" w:rsidR="00EE33C9" w:rsidRPr="00F51E09" w:rsidRDefault="00EE33C9" w:rsidP="00EE33C9">
      <w:pPr>
        <w:tabs>
          <w:tab w:val="left" w:pos="567"/>
          <w:tab w:val="left" w:pos="1134"/>
          <w:tab w:val="left" w:pos="1800"/>
        </w:tabs>
        <w:spacing w:after="120"/>
        <w:ind w:left="1134" w:right="1134" w:hanging="1134"/>
        <w:rPr>
          <w:b/>
          <w:bCs/>
          <w:sz w:val="24"/>
          <w:szCs w:val="24"/>
        </w:rPr>
      </w:pPr>
      <w:r w:rsidRPr="00F51E09">
        <w:rPr>
          <w:b/>
          <w:bCs/>
          <w:sz w:val="24"/>
          <w:szCs w:val="24"/>
        </w:rPr>
        <w:tab/>
        <w:t>D.</w:t>
      </w:r>
      <w:r w:rsidRPr="00F51E09">
        <w:rPr>
          <w:b/>
          <w:bCs/>
          <w:sz w:val="24"/>
          <w:szCs w:val="24"/>
        </w:rPr>
        <w:tab/>
        <w:t>Publication of the third edition of International Railway Solution (IRS) 50592</w:t>
      </w:r>
    </w:p>
    <w:p w14:paraId="5611AC4A" w14:textId="77777777" w:rsidR="00EE33C9" w:rsidRPr="00F51E09" w:rsidRDefault="00EE33C9" w:rsidP="00EE33C9">
      <w:pPr>
        <w:pStyle w:val="SingleTxtG"/>
        <w:ind w:left="3402" w:hanging="2268"/>
        <w:jc w:val="left"/>
      </w:pPr>
      <w:r w:rsidRPr="00F51E09">
        <w:rPr>
          <w:i/>
        </w:rPr>
        <w:t>Informal document</w:t>
      </w:r>
      <w:r w:rsidRPr="00F51E09">
        <w:t>:</w:t>
      </w:r>
      <w:r w:rsidRPr="00F51E09">
        <w:tab/>
        <w:t>INF.24 (UIC)</w:t>
      </w:r>
    </w:p>
    <w:p w14:paraId="7F0B6D65" w14:textId="64EB2783" w:rsidR="00EE33C9" w:rsidRPr="00F51E09" w:rsidRDefault="00D503C9" w:rsidP="00EE33C9">
      <w:pPr>
        <w:pStyle w:val="SingleTxtG"/>
        <w:spacing w:line="240" w:lineRule="auto"/>
      </w:pPr>
      <w:r w:rsidRPr="00F51E09">
        <w:t>1</w:t>
      </w:r>
      <w:r w:rsidR="00B25246">
        <w:t>9</w:t>
      </w:r>
      <w:r w:rsidR="00EE33C9" w:rsidRPr="00F51E09">
        <w:t>.</w:t>
      </w:r>
      <w:r w:rsidR="00EE33C9" w:rsidRPr="00F51E09">
        <w:tab/>
        <w:t>The Joint Meeting adopted the amendments proposed in paragraph 1 of informal document INF.24 as amended, for entry into force in 2025 (see annex</w:t>
      </w:r>
      <w:r w:rsidR="00014976">
        <w:t>es</w:t>
      </w:r>
      <w:r w:rsidR="00EE33C9" w:rsidRPr="00F51E09">
        <w:t xml:space="preserve"> </w:t>
      </w:r>
      <w:r w:rsidR="00B97333" w:rsidRPr="00F51E09">
        <w:t>I</w:t>
      </w:r>
      <w:r w:rsidR="00B156E8" w:rsidRPr="00F51E09">
        <w:t>I</w:t>
      </w:r>
      <w:r w:rsidR="00014976">
        <w:t xml:space="preserve"> </w:t>
      </w:r>
      <w:proofErr w:type="spellStart"/>
      <w:r w:rsidR="006F01F5">
        <w:t>an</w:t>
      </w:r>
      <w:proofErr w:type="spellEnd"/>
      <w:r w:rsidR="006F01F5">
        <w:t xml:space="preserve"> III</w:t>
      </w:r>
      <w:r w:rsidR="00EE33C9" w:rsidRPr="00F51E09">
        <w:t>).</w:t>
      </w:r>
    </w:p>
    <w:p w14:paraId="782EE881" w14:textId="77777777" w:rsidR="00B122B3" w:rsidRPr="00F51E09" w:rsidRDefault="00B122B3" w:rsidP="00B122B3">
      <w:pPr>
        <w:pStyle w:val="HChG"/>
      </w:pPr>
      <w:r w:rsidRPr="00F51E09">
        <w:tab/>
      </w:r>
      <w:bookmarkStart w:id="6" w:name="_Toc164258727"/>
      <w:r w:rsidRPr="00F51E09">
        <w:t>VI.</w:t>
      </w:r>
      <w:r w:rsidRPr="00F51E09">
        <w:tab/>
        <w:t>Interpretation of RID/ADR/ADN (agenda item 4)</w:t>
      </w:r>
      <w:bookmarkEnd w:id="6"/>
    </w:p>
    <w:p w14:paraId="3A9A8397" w14:textId="3DC5D6BC" w:rsidR="00B122B3" w:rsidRPr="00F51E09" w:rsidRDefault="00B25246" w:rsidP="00B122B3">
      <w:pPr>
        <w:pStyle w:val="SingleTxtG"/>
      </w:pPr>
      <w:r>
        <w:t>20</w:t>
      </w:r>
      <w:r w:rsidR="00B122B3" w:rsidRPr="00F51E09">
        <w:t>.</w:t>
      </w:r>
      <w:r w:rsidR="00B122B3" w:rsidRPr="00F51E09">
        <w:tab/>
        <w:t>The Joint Meeting noted that usually its interpretations were considered by the respective committees in charge of RID, ADR, and ADN, which then decide on the follow-up necessary for each interpretation. Nevertheless, different interpretation to the joint text of RID/ADR/ADN was not a desirable solution. It was agreed that in general the provisions of RID/ADR/ADN shall be as concise and clear as possible to avoid interpretations.</w:t>
      </w:r>
    </w:p>
    <w:p w14:paraId="54B712E4" w14:textId="77777777" w:rsidR="00B122B3" w:rsidRPr="00F51E09" w:rsidRDefault="00B122B3" w:rsidP="00B122B3">
      <w:pPr>
        <w:tabs>
          <w:tab w:val="left" w:pos="567"/>
          <w:tab w:val="left" w:pos="1134"/>
          <w:tab w:val="left" w:pos="1800"/>
        </w:tabs>
        <w:spacing w:after="120"/>
        <w:ind w:left="1134" w:right="1134" w:hanging="1134"/>
        <w:rPr>
          <w:b/>
          <w:bCs/>
          <w:sz w:val="24"/>
          <w:szCs w:val="24"/>
        </w:rPr>
      </w:pPr>
      <w:r w:rsidRPr="00F51E09">
        <w:rPr>
          <w:b/>
          <w:bCs/>
          <w:sz w:val="24"/>
          <w:szCs w:val="24"/>
        </w:rPr>
        <w:tab/>
        <w:t>A.</w:t>
      </w:r>
      <w:r w:rsidRPr="00F51E09">
        <w:rPr>
          <w:b/>
          <w:bCs/>
          <w:sz w:val="24"/>
          <w:szCs w:val="24"/>
        </w:rPr>
        <w:tab/>
        <w:t>Carriage under temperature control – requirements according to ADR/ADN 7.1.7.4.2</w:t>
      </w:r>
    </w:p>
    <w:p w14:paraId="0E5CA945" w14:textId="77777777" w:rsidR="00B122B3" w:rsidRPr="00F51E09" w:rsidRDefault="00B122B3" w:rsidP="00B122B3">
      <w:pPr>
        <w:pStyle w:val="SingleTxtG"/>
        <w:tabs>
          <w:tab w:val="clear" w:pos="1701"/>
          <w:tab w:val="clear" w:pos="2268"/>
        </w:tabs>
        <w:ind w:left="3402" w:hanging="2268"/>
        <w:jc w:val="left"/>
      </w:pPr>
      <w:r w:rsidRPr="00F51E09">
        <w:rPr>
          <w:i/>
        </w:rPr>
        <w:t>Document</w:t>
      </w:r>
      <w:r w:rsidRPr="00F51E09">
        <w:t>:</w:t>
      </w:r>
      <w:r w:rsidRPr="00F51E09">
        <w:tab/>
        <w:t>ECE/TRANS/WP.15/AC.1/2024/21 (Germany)</w:t>
      </w:r>
    </w:p>
    <w:p w14:paraId="13D679E3" w14:textId="7F1BF4A0" w:rsidR="00B122B3" w:rsidRPr="00F51E09" w:rsidRDefault="00E679ED" w:rsidP="00B122B3">
      <w:pPr>
        <w:pStyle w:val="SingleTxtG"/>
      </w:pPr>
      <w:r w:rsidRPr="00F51E09">
        <w:t>2</w:t>
      </w:r>
      <w:r w:rsidR="00A9058E">
        <w:t>1</w:t>
      </w:r>
      <w:r w:rsidR="00B122B3" w:rsidRPr="00F51E09">
        <w:t>.</w:t>
      </w:r>
      <w:r w:rsidR="00B122B3" w:rsidRPr="00F51E09">
        <w:tab/>
        <w:t xml:space="preserve">The representatives who took the floor felt that the provisions in ADR/ADN 7.1.7.4.2 require sensors with independent power supplies for the purpose of redundancy. The representative of Germany announced </w:t>
      </w:r>
      <w:r w:rsidR="00AB4BD2" w:rsidRPr="00F51E09">
        <w:t>her intention</w:t>
      </w:r>
      <w:r w:rsidR="00B122B3" w:rsidRPr="00F51E09">
        <w:t xml:space="preserve"> to submit to the Sub-Committee of </w:t>
      </w:r>
      <w:r w:rsidR="00367155" w:rsidRPr="00F51E09">
        <w:t>E</w:t>
      </w:r>
      <w:r w:rsidR="00B122B3" w:rsidRPr="00F51E09">
        <w:t xml:space="preserve">xperts on the </w:t>
      </w:r>
      <w:r w:rsidR="00367155" w:rsidRPr="00F51E09">
        <w:t>T</w:t>
      </w:r>
      <w:r w:rsidR="00B122B3" w:rsidRPr="00F51E09">
        <w:t xml:space="preserve">ransport of </w:t>
      </w:r>
      <w:r w:rsidR="00367155" w:rsidRPr="00F51E09">
        <w:t>D</w:t>
      </w:r>
      <w:r w:rsidR="00B122B3" w:rsidRPr="00F51E09">
        <w:t xml:space="preserve">angerous </w:t>
      </w:r>
      <w:r w:rsidR="00367155" w:rsidRPr="00F51E09">
        <w:t>G</w:t>
      </w:r>
      <w:r w:rsidR="00B122B3" w:rsidRPr="00F51E09">
        <w:t xml:space="preserve">oods a proposal to clarify the provisions in the </w:t>
      </w:r>
      <w:r w:rsidR="00B122B3" w:rsidRPr="00644BB5">
        <w:rPr>
          <w:i/>
          <w:iCs/>
        </w:rPr>
        <w:t>Model Regulations</w:t>
      </w:r>
      <w:r w:rsidR="00B122B3" w:rsidRPr="00F51E09">
        <w:t>.</w:t>
      </w:r>
    </w:p>
    <w:p w14:paraId="260EA753" w14:textId="77777777" w:rsidR="00B122B3" w:rsidRPr="00F51E09" w:rsidRDefault="00B122B3" w:rsidP="00B122B3">
      <w:pPr>
        <w:keepNext/>
        <w:keepLines/>
        <w:tabs>
          <w:tab w:val="left" w:pos="567"/>
          <w:tab w:val="left" w:pos="1134"/>
          <w:tab w:val="left" w:pos="1800"/>
        </w:tabs>
        <w:spacing w:after="120"/>
        <w:ind w:left="1134" w:right="1134" w:hanging="1134"/>
        <w:rPr>
          <w:b/>
          <w:bCs/>
          <w:sz w:val="24"/>
          <w:szCs w:val="24"/>
        </w:rPr>
      </w:pPr>
      <w:r w:rsidRPr="00F51E09">
        <w:rPr>
          <w:b/>
          <w:bCs/>
          <w:sz w:val="24"/>
          <w:szCs w:val="24"/>
        </w:rPr>
        <w:tab/>
        <w:t>B.</w:t>
      </w:r>
      <w:r w:rsidRPr="00F51E09">
        <w:rPr>
          <w:b/>
          <w:bCs/>
          <w:sz w:val="24"/>
          <w:szCs w:val="24"/>
        </w:rPr>
        <w:tab/>
        <w:t>Criminal records requirements for participants in the carriage of dangerous goods</w:t>
      </w:r>
    </w:p>
    <w:p w14:paraId="1B35D4ED" w14:textId="77777777" w:rsidR="00B122B3" w:rsidRPr="00F51E09" w:rsidRDefault="00B122B3" w:rsidP="00B122B3">
      <w:pPr>
        <w:pStyle w:val="SingleTxtG"/>
        <w:keepNext/>
        <w:keepLines/>
        <w:ind w:left="3402" w:hanging="2268"/>
        <w:jc w:val="left"/>
      </w:pPr>
      <w:r w:rsidRPr="00F51E09">
        <w:rPr>
          <w:i/>
        </w:rPr>
        <w:t>Informal document</w:t>
      </w:r>
      <w:r w:rsidRPr="00F51E09">
        <w:t>:</w:t>
      </w:r>
      <w:r w:rsidRPr="00F51E09">
        <w:tab/>
        <w:t>INF.8 (United Kingdom)</w:t>
      </w:r>
    </w:p>
    <w:p w14:paraId="5D5E535E" w14:textId="3B288838" w:rsidR="004A672E" w:rsidRPr="00F51E09" w:rsidRDefault="00AE48C5" w:rsidP="001B3594">
      <w:pPr>
        <w:pStyle w:val="SingleTxtG"/>
        <w:keepNext/>
        <w:keepLines/>
      </w:pPr>
      <w:r w:rsidRPr="00F51E09">
        <w:t>2</w:t>
      </w:r>
      <w:r w:rsidR="00A9058E">
        <w:t>2</w:t>
      </w:r>
      <w:r w:rsidR="00B122B3" w:rsidRPr="00F51E09">
        <w:t>.</w:t>
      </w:r>
      <w:r w:rsidR="00B122B3" w:rsidRPr="00F51E09">
        <w:tab/>
        <w:t xml:space="preserve">Most of the delegations agreed that the provisions in RID, ADR, and ADN mainly focus on the safety of the transport of dangerous goods and that new requirements in addition to the security provisions in Chapter 1.10 were not necessary. It was noted that the subject was very sensitive as linked to criminal or administrative law and, thus, that security clearance issues should be dealt with at a national level of the contracting parties/states and not </w:t>
      </w:r>
      <w:r w:rsidR="00D42A2D" w:rsidRPr="00F51E09">
        <w:t>at</w:t>
      </w:r>
      <w:r w:rsidR="00B122B3" w:rsidRPr="00F51E09">
        <w:t xml:space="preserve"> international level.</w:t>
      </w:r>
    </w:p>
    <w:p w14:paraId="7470A5B6" w14:textId="77777777" w:rsidR="00EE33C9" w:rsidRPr="00F51E09" w:rsidRDefault="00EE33C9" w:rsidP="00822BBD">
      <w:pPr>
        <w:pStyle w:val="HChG"/>
        <w:keepLines w:val="0"/>
        <w:pageBreakBefore/>
      </w:pPr>
      <w:r w:rsidRPr="00F51E09">
        <w:lastRenderedPageBreak/>
        <w:tab/>
      </w:r>
      <w:bookmarkStart w:id="7" w:name="_Toc164258728"/>
      <w:r w:rsidRPr="00F51E09">
        <w:t>VII.</w:t>
      </w:r>
      <w:r w:rsidRPr="00F51E09">
        <w:tab/>
        <w:t>Proposal for amendments to RID/ADR/ADN (agenda item 5)</w:t>
      </w:r>
      <w:bookmarkEnd w:id="7"/>
    </w:p>
    <w:p w14:paraId="20923839" w14:textId="77777777" w:rsidR="00EE33C9" w:rsidRPr="00F51E09" w:rsidRDefault="00EE33C9" w:rsidP="00EE33C9">
      <w:pPr>
        <w:tabs>
          <w:tab w:val="left" w:pos="567"/>
          <w:tab w:val="left" w:pos="1134"/>
          <w:tab w:val="left" w:pos="1800"/>
        </w:tabs>
        <w:spacing w:after="120"/>
        <w:rPr>
          <w:b/>
          <w:bCs/>
          <w:sz w:val="24"/>
          <w:szCs w:val="24"/>
        </w:rPr>
      </w:pPr>
      <w:r w:rsidRPr="00F51E09">
        <w:rPr>
          <w:b/>
          <w:bCs/>
          <w:sz w:val="24"/>
          <w:szCs w:val="24"/>
        </w:rPr>
        <w:tab/>
        <w:t>A.</w:t>
      </w:r>
      <w:r w:rsidRPr="00F51E09">
        <w:rPr>
          <w:b/>
          <w:bCs/>
          <w:sz w:val="24"/>
          <w:szCs w:val="24"/>
        </w:rPr>
        <w:tab/>
        <w:t>Documents on gases and related issues</w:t>
      </w:r>
    </w:p>
    <w:p w14:paraId="248394FC" w14:textId="77777777" w:rsidR="00EE33C9" w:rsidRPr="00F51E09" w:rsidRDefault="00EE33C9" w:rsidP="00EE33C9">
      <w:pPr>
        <w:tabs>
          <w:tab w:val="left" w:pos="567"/>
          <w:tab w:val="left" w:pos="1134"/>
          <w:tab w:val="left" w:pos="1800"/>
        </w:tabs>
        <w:spacing w:after="120"/>
        <w:ind w:right="1134"/>
        <w:rPr>
          <w:b/>
          <w:bCs/>
        </w:rPr>
      </w:pPr>
      <w:bookmarkStart w:id="8" w:name="_Hlk50725266"/>
      <w:r w:rsidRPr="00F51E09">
        <w:rPr>
          <w:b/>
          <w:bCs/>
        </w:rPr>
        <w:tab/>
        <w:t>1.</w:t>
      </w:r>
      <w:r w:rsidRPr="00F51E09">
        <w:rPr>
          <w:b/>
          <w:bCs/>
        </w:rPr>
        <w:tab/>
      </w:r>
      <w:bookmarkEnd w:id="8"/>
      <w:r w:rsidRPr="00F51E09">
        <w:rPr>
          <w:b/>
          <w:bCs/>
        </w:rPr>
        <w:t>Note to accompany the new graph at the end of packing instruction P200 in 4.1.4.1</w:t>
      </w:r>
    </w:p>
    <w:p w14:paraId="66F75CD0" w14:textId="77777777" w:rsidR="00EE33C9" w:rsidRPr="00644BB5" w:rsidRDefault="00EE33C9" w:rsidP="00EE33C9">
      <w:pPr>
        <w:pStyle w:val="SingleTxtG"/>
        <w:tabs>
          <w:tab w:val="clear" w:pos="2268"/>
        </w:tabs>
        <w:ind w:left="3402" w:hanging="2268"/>
        <w:jc w:val="left"/>
      </w:pPr>
      <w:r w:rsidRPr="00644BB5">
        <w:rPr>
          <w:i/>
        </w:rPr>
        <w:t>Document</w:t>
      </w:r>
      <w:r w:rsidRPr="00644BB5">
        <w:t>:</w:t>
      </w:r>
      <w:r w:rsidRPr="00644BB5">
        <w:tab/>
        <w:t>ECE/TRANS/WP.15/AC.1/2024/3 (Liquid Gas Europe)</w:t>
      </w:r>
    </w:p>
    <w:p w14:paraId="3AB08C87" w14:textId="0958C3C8" w:rsidR="00EE33C9" w:rsidRPr="00F51E09" w:rsidRDefault="00AE48C5" w:rsidP="00EE33C9">
      <w:pPr>
        <w:pStyle w:val="SingleTxtG"/>
      </w:pPr>
      <w:r w:rsidRPr="00F51E09">
        <w:t>2</w:t>
      </w:r>
      <w:r w:rsidR="00A9058E">
        <w:t>3</w:t>
      </w:r>
      <w:r w:rsidR="00EE33C9" w:rsidRPr="00F51E09">
        <w:t>.</w:t>
      </w:r>
      <w:r w:rsidR="00EE33C9" w:rsidRPr="00F51E09">
        <w:tab/>
        <w:t xml:space="preserve">The Joint Meeting adopted the proposed amendments as amended, for entry into force in 2025 (see annex </w:t>
      </w:r>
      <w:r w:rsidR="00C02453" w:rsidRPr="00F51E09">
        <w:t>II</w:t>
      </w:r>
      <w:r w:rsidR="00573C63">
        <w:t>I</w:t>
      </w:r>
      <w:r w:rsidR="00EE33C9" w:rsidRPr="00F51E09">
        <w:t>).</w:t>
      </w:r>
    </w:p>
    <w:p w14:paraId="220BDF47" w14:textId="77777777" w:rsidR="00EE33C9" w:rsidRPr="00F51E09" w:rsidRDefault="00EE33C9" w:rsidP="00EE33C9">
      <w:pPr>
        <w:pStyle w:val="SingleTxtG"/>
        <w:tabs>
          <w:tab w:val="left" w:pos="567"/>
        </w:tabs>
        <w:ind w:hanging="1134"/>
      </w:pPr>
      <w:r w:rsidRPr="00F51E09">
        <w:rPr>
          <w:b/>
          <w:bCs/>
        </w:rPr>
        <w:tab/>
        <w:t>2.</w:t>
      </w:r>
      <w:r w:rsidRPr="00F51E09">
        <w:rPr>
          <w:b/>
          <w:bCs/>
        </w:rPr>
        <w:tab/>
        <w:t>Revised definition of liquefied petroleum gas</w:t>
      </w:r>
    </w:p>
    <w:p w14:paraId="3C815E2A" w14:textId="77777777" w:rsidR="00EE33C9" w:rsidRPr="00644BB5" w:rsidRDefault="00EE33C9" w:rsidP="00EE33C9">
      <w:pPr>
        <w:pStyle w:val="SingleTxtG"/>
        <w:tabs>
          <w:tab w:val="clear" w:pos="2268"/>
        </w:tabs>
        <w:ind w:left="3402" w:hanging="2268"/>
      </w:pPr>
      <w:r w:rsidRPr="00644BB5">
        <w:rPr>
          <w:i/>
        </w:rPr>
        <w:t>Document</w:t>
      </w:r>
      <w:r w:rsidRPr="00644BB5">
        <w:t>:</w:t>
      </w:r>
      <w:r w:rsidRPr="00644BB5">
        <w:tab/>
        <w:t>ECE/TRANS/WP.15/AC.1/2024/11 (Liquid Gas Europe)</w:t>
      </w:r>
    </w:p>
    <w:p w14:paraId="4A065403" w14:textId="7CF13529" w:rsidR="00EE33C9" w:rsidRPr="00F51E09" w:rsidRDefault="009B66E6" w:rsidP="00EE33C9">
      <w:pPr>
        <w:pStyle w:val="SingleTxtG"/>
      </w:pPr>
      <w:r w:rsidRPr="00F51E09">
        <w:t>2</w:t>
      </w:r>
      <w:r w:rsidR="00A9058E">
        <w:t>4</w:t>
      </w:r>
      <w:r w:rsidR="00EE33C9" w:rsidRPr="00F51E09">
        <w:t>.</w:t>
      </w:r>
      <w:r w:rsidR="00EE33C9" w:rsidRPr="00F51E09">
        <w:tab/>
        <w:t xml:space="preserve">The representatives who spoke supported in principle the proposed amendments to 1.2.1 and the consequential amendments. Considering the earliest entry into force in 2027, most delegations preferred to defer the adoption by the Joint Meeting to its next session in September 2024, awaiting the final outcome of the discussion at the forthcoming session of the Sub-Committee </w:t>
      </w:r>
      <w:r w:rsidR="00367155" w:rsidRPr="00F51E09">
        <w:t xml:space="preserve">of Experts </w:t>
      </w:r>
      <w:r w:rsidR="00EE33C9" w:rsidRPr="00F51E09">
        <w:t xml:space="preserve">on the </w:t>
      </w:r>
      <w:r w:rsidR="004B5786" w:rsidRPr="00F51E09">
        <w:t>T</w:t>
      </w:r>
      <w:r w:rsidR="00EE33C9" w:rsidRPr="00F51E09">
        <w:t xml:space="preserve">ransport of </w:t>
      </w:r>
      <w:r w:rsidR="004B5786" w:rsidRPr="00F51E09">
        <w:t>D</w:t>
      </w:r>
      <w:r w:rsidR="00EE33C9" w:rsidRPr="00F51E09">
        <w:t xml:space="preserve">angerous </w:t>
      </w:r>
      <w:r w:rsidR="004B5786" w:rsidRPr="00F51E09">
        <w:t>G</w:t>
      </w:r>
      <w:r w:rsidR="00EE33C9" w:rsidRPr="00F51E09">
        <w:t>oods in June 2024, in particular with respect to the content of dimethyl ether up to 12 per cent by mass. The Joint Meeting noted no objection to go forward in that way. The representative of Norway added that there was still the need to also amend the acronym “LPG” in RID/ADR 1.2.3 List of abbreviations.</w:t>
      </w:r>
    </w:p>
    <w:p w14:paraId="6FD1E05D" w14:textId="4C91583C" w:rsidR="00EE33C9" w:rsidRPr="00F51E09" w:rsidRDefault="009B66E6" w:rsidP="00EE33C9">
      <w:pPr>
        <w:pStyle w:val="SingleTxtG"/>
      </w:pPr>
      <w:r w:rsidRPr="00F51E09">
        <w:t>2</w:t>
      </w:r>
      <w:r w:rsidR="006D5D02">
        <w:t>5</w:t>
      </w:r>
      <w:r w:rsidR="00EE33C9" w:rsidRPr="00F51E09">
        <w:t>.</w:t>
      </w:r>
      <w:r w:rsidR="00EE33C9" w:rsidRPr="00F51E09">
        <w:tab/>
        <w:t>The representative of Liquid Gas Europe volunteered to prepare an updated document for consideration at the next session, taking into account the comments received.</w:t>
      </w:r>
    </w:p>
    <w:p w14:paraId="6199317D" w14:textId="77777777" w:rsidR="00EE33C9" w:rsidRPr="00F51E09" w:rsidRDefault="00EE33C9" w:rsidP="00EE33C9">
      <w:pPr>
        <w:pStyle w:val="SingleTxtG"/>
        <w:tabs>
          <w:tab w:val="left" w:pos="567"/>
        </w:tabs>
        <w:ind w:hanging="1134"/>
      </w:pPr>
      <w:r w:rsidRPr="00F51E09">
        <w:rPr>
          <w:b/>
          <w:bCs/>
        </w:rPr>
        <w:tab/>
        <w:t>3.</w:t>
      </w:r>
      <w:r w:rsidRPr="00F51E09">
        <w:rPr>
          <w:b/>
          <w:bCs/>
        </w:rPr>
        <w:tab/>
        <w:t>Modification of transitional measures for acetylene cylinder marking</w:t>
      </w:r>
    </w:p>
    <w:p w14:paraId="4D0C8338" w14:textId="77777777" w:rsidR="00EE33C9" w:rsidRPr="00644BB5" w:rsidRDefault="00EE33C9" w:rsidP="00EE33C9">
      <w:pPr>
        <w:pStyle w:val="SingleTxtG"/>
        <w:tabs>
          <w:tab w:val="clear" w:pos="2268"/>
        </w:tabs>
        <w:ind w:left="3402" w:hanging="2268"/>
      </w:pPr>
      <w:r w:rsidRPr="00644BB5">
        <w:rPr>
          <w:i/>
        </w:rPr>
        <w:t>Document</w:t>
      </w:r>
      <w:r w:rsidRPr="00644BB5">
        <w:t>:</w:t>
      </w:r>
      <w:r w:rsidRPr="00644BB5">
        <w:tab/>
        <w:t>ECE/TRANS/WP.15/AC.1/2024/4 (EIGA)</w:t>
      </w:r>
    </w:p>
    <w:p w14:paraId="7412CA04" w14:textId="071F74FF" w:rsidR="00EE33C9" w:rsidRPr="00F51E09" w:rsidRDefault="00A02E3D" w:rsidP="00EE33C9">
      <w:pPr>
        <w:pStyle w:val="SingleTxtG"/>
      </w:pPr>
      <w:r w:rsidRPr="00F51E09">
        <w:t>2</w:t>
      </w:r>
      <w:r w:rsidR="006D5D02">
        <w:t>6</w:t>
      </w:r>
      <w:r w:rsidR="00EE33C9" w:rsidRPr="00F51E09">
        <w:t>.</w:t>
      </w:r>
      <w:r w:rsidR="00EE33C9" w:rsidRPr="00F51E09">
        <w:tab/>
        <w:t xml:space="preserve">Some delegations supported the proposed amendments while others recommended to use alternative methods of cylinder marking such as additional neck rings. Some others preferred to resolve this issue through the </w:t>
      </w:r>
      <w:r w:rsidR="00EE33C9" w:rsidRPr="00F51E09">
        <w:rPr>
          <w:i/>
          <w:iCs/>
        </w:rPr>
        <w:t>Model Regulations</w:t>
      </w:r>
      <w:r w:rsidR="00EE33C9" w:rsidRPr="00F51E09">
        <w:t xml:space="preserve"> and to address the subject to the Sub-Committee </w:t>
      </w:r>
      <w:r w:rsidR="00367155" w:rsidRPr="00F51E09">
        <w:t xml:space="preserve">of Experts </w:t>
      </w:r>
      <w:r w:rsidR="00EE33C9" w:rsidRPr="00F51E09">
        <w:t xml:space="preserve">on the </w:t>
      </w:r>
      <w:r w:rsidR="006D5D02">
        <w:t>T</w:t>
      </w:r>
      <w:r w:rsidR="00EE33C9" w:rsidRPr="00F51E09">
        <w:t xml:space="preserve">ransport of </w:t>
      </w:r>
      <w:r w:rsidR="006D5D02">
        <w:t>D</w:t>
      </w:r>
      <w:r w:rsidR="00EE33C9" w:rsidRPr="00F51E09">
        <w:t xml:space="preserve">angerous </w:t>
      </w:r>
      <w:r w:rsidR="006D5D02">
        <w:t>G</w:t>
      </w:r>
      <w:r w:rsidR="00EE33C9" w:rsidRPr="00F51E09">
        <w:t>oods. It was recommended that in the meantime a multilateral agreement on this subject could be initiated to cover the period until 2027. The representative of EIGA offered to review his proposal for further consideration at the next session.</w:t>
      </w:r>
    </w:p>
    <w:p w14:paraId="0FDCF105" w14:textId="77777777" w:rsidR="00EE33C9" w:rsidRPr="00F51E09" w:rsidRDefault="00EE33C9" w:rsidP="00EE33C9">
      <w:pPr>
        <w:pStyle w:val="SingleTxtG"/>
        <w:keepNext/>
        <w:keepLines/>
        <w:tabs>
          <w:tab w:val="left" w:pos="567"/>
        </w:tabs>
        <w:ind w:hanging="1134"/>
      </w:pPr>
      <w:r w:rsidRPr="00F51E09">
        <w:rPr>
          <w:b/>
          <w:bCs/>
        </w:rPr>
        <w:tab/>
        <w:t>4.</w:t>
      </w:r>
      <w:r w:rsidRPr="00F51E09">
        <w:rPr>
          <w:b/>
          <w:bCs/>
        </w:rPr>
        <w:tab/>
        <w:t>Modification of requirements for non-UN acetylene cylinder marking</w:t>
      </w:r>
    </w:p>
    <w:p w14:paraId="2A170025" w14:textId="77777777" w:rsidR="00EE33C9" w:rsidRPr="00644BB5" w:rsidRDefault="00EE33C9" w:rsidP="00EE33C9">
      <w:pPr>
        <w:pStyle w:val="SingleTxtG"/>
        <w:tabs>
          <w:tab w:val="clear" w:pos="2268"/>
        </w:tabs>
        <w:ind w:left="3402" w:hanging="2268"/>
      </w:pPr>
      <w:r w:rsidRPr="00644BB5">
        <w:rPr>
          <w:i/>
        </w:rPr>
        <w:t>Document</w:t>
      </w:r>
      <w:r w:rsidRPr="00644BB5">
        <w:t>:</w:t>
      </w:r>
      <w:r w:rsidRPr="00644BB5">
        <w:tab/>
        <w:t>ECE/TRANS/WP.15/AC.1/2024/12 (EIGA)</w:t>
      </w:r>
    </w:p>
    <w:p w14:paraId="4F6D4F2D" w14:textId="5CD7FEFA" w:rsidR="00EE33C9" w:rsidRPr="00F51E09" w:rsidRDefault="00A02E3D" w:rsidP="00EE33C9">
      <w:pPr>
        <w:pStyle w:val="SingleTxtG"/>
      </w:pPr>
      <w:r w:rsidRPr="00F51E09">
        <w:t>2</w:t>
      </w:r>
      <w:r w:rsidR="006D5D02">
        <w:t>7</w:t>
      </w:r>
      <w:r w:rsidR="00EE33C9" w:rsidRPr="00F51E09">
        <w:t>.</w:t>
      </w:r>
      <w:r w:rsidR="00EE33C9" w:rsidRPr="00F51E09">
        <w:tab/>
        <w:t>The representatives who took the floor did not support the proposal. Some delegations suggested to insert a definition on “Tare S”, others preferred to consider more detailed information. The representative of EIGA volunteered to supplement the document with a more solid justification and to prepare an updated proposal for the next session.</w:t>
      </w:r>
    </w:p>
    <w:p w14:paraId="2F8352FB" w14:textId="77777777" w:rsidR="00EE33C9" w:rsidRPr="00F51E09" w:rsidRDefault="00EE33C9" w:rsidP="00EE33C9">
      <w:pPr>
        <w:pStyle w:val="SingleTxtG"/>
        <w:keepNext/>
        <w:keepLines/>
        <w:tabs>
          <w:tab w:val="left" w:pos="567"/>
        </w:tabs>
        <w:ind w:hanging="1134"/>
      </w:pPr>
      <w:r w:rsidRPr="00F51E09">
        <w:rPr>
          <w:b/>
          <w:bCs/>
        </w:rPr>
        <w:tab/>
        <w:t>5.</w:t>
      </w:r>
      <w:r w:rsidRPr="00F51E09">
        <w:rPr>
          <w:b/>
          <w:bCs/>
        </w:rPr>
        <w:tab/>
        <w:t>Modification of the requirements for pressure receptacles authorised by the United States of America Department of Transportation</w:t>
      </w:r>
    </w:p>
    <w:p w14:paraId="5C1334A8" w14:textId="77777777" w:rsidR="00EE33C9" w:rsidRPr="00644BB5" w:rsidRDefault="00EE33C9" w:rsidP="00EE33C9">
      <w:pPr>
        <w:pStyle w:val="SingleTxtG"/>
        <w:keepNext/>
        <w:keepLines/>
        <w:tabs>
          <w:tab w:val="clear" w:pos="2268"/>
        </w:tabs>
        <w:spacing w:after="0"/>
        <w:ind w:left="3402" w:hanging="2268"/>
      </w:pPr>
      <w:r w:rsidRPr="00644BB5">
        <w:rPr>
          <w:i/>
        </w:rPr>
        <w:t>Document</w:t>
      </w:r>
      <w:r w:rsidRPr="00644BB5">
        <w:t>:</w:t>
      </w:r>
      <w:r w:rsidRPr="00644BB5">
        <w:tab/>
        <w:t>ECE/TRANS/WP.15/AC.1/2024/13 (EIGA)</w:t>
      </w:r>
    </w:p>
    <w:p w14:paraId="67D80A30" w14:textId="77777777" w:rsidR="00EE33C9" w:rsidRPr="00F51E09" w:rsidRDefault="00EE33C9" w:rsidP="00EE33C9">
      <w:pPr>
        <w:pStyle w:val="SingleTxtG"/>
        <w:keepNext/>
        <w:keepLines/>
        <w:ind w:left="3402" w:hanging="2268"/>
        <w:jc w:val="left"/>
      </w:pPr>
      <w:r w:rsidRPr="00F51E09">
        <w:rPr>
          <w:i/>
        </w:rPr>
        <w:t>Informal document</w:t>
      </w:r>
      <w:r w:rsidRPr="00F51E09">
        <w:t>:</w:t>
      </w:r>
      <w:r w:rsidRPr="00F51E09">
        <w:tab/>
        <w:t>INF.23 (United States of America)</w:t>
      </w:r>
    </w:p>
    <w:p w14:paraId="2A534AFD" w14:textId="0F94ACAF" w:rsidR="000E0FB9" w:rsidRPr="005260B9" w:rsidRDefault="00A02E3D" w:rsidP="00EE33C9">
      <w:pPr>
        <w:pStyle w:val="SingleTxtG"/>
        <w:keepNext/>
        <w:keepLines/>
      </w:pPr>
      <w:r w:rsidRPr="00F51E09">
        <w:t>2</w:t>
      </w:r>
      <w:r w:rsidR="00635ADD">
        <w:t>8</w:t>
      </w:r>
      <w:r w:rsidR="00EE33C9" w:rsidRPr="00F51E09">
        <w:t>.</w:t>
      </w:r>
      <w:r w:rsidR="00EE33C9" w:rsidRPr="00F51E09">
        <w:tab/>
        <w:t xml:space="preserve">Most representative who spoke </w:t>
      </w:r>
      <w:r w:rsidR="00EE33C9" w:rsidRPr="00644BB5">
        <w:t>stressed that the initial intention of the text included into RID/ADR was to not exclude the transport of non-gaseous substances under the provisions of 1.1.4.7</w:t>
      </w:r>
      <w:r w:rsidR="00EE33C9" w:rsidRPr="00F51E09">
        <w:t xml:space="preserve">. Accordingly, the Joint Meeting adopted the amendments proposed in informal document INF.23 as amended, for entry into force in 2027 (see annex </w:t>
      </w:r>
      <w:r w:rsidR="001D5623" w:rsidRPr="00F51E09">
        <w:t>I</w:t>
      </w:r>
      <w:r w:rsidR="00212918">
        <w:t>V</w:t>
      </w:r>
      <w:r w:rsidR="00EE33C9" w:rsidRPr="00F51E09">
        <w:t xml:space="preserve">). </w:t>
      </w:r>
      <w:r w:rsidR="00EE33C9" w:rsidRPr="00644BB5">
        <w:t xml:space="preserve">It was noted that multilateral agreements may be an option to transport dangerous substances other than gases before that date. Information concerning multilateral agreements may be found on the UNECE and OTIF websites: </w:t>
      </w:r>
      <w:hyperlink r:id="rId12" w:history="1">
        <w:r w:rsidR="00EE33C9" w:rsidRPr="00824499">
          <w:rPr>
            <w:rStyle w:val="Hyperlink"/>
            <w:color w:val="auto"/>
          </w:rPr>
          <w:t>https://unece.org/adr-multilateral-agreements</w:t>
        </w:r>
      </w:hyperlink>
      <w:r w:rsidR="00EE33C9" w:rsidRPr="00644BB5">
        <w:t xml:space="preserve"> </w:t>
      </w:r>
      <w:r w:rsidR="003A3E6F" w:rsidRPr="00644BB5">
        <w:t xml:space="preserve">and </w:t>
      </w:r>
      <w:hyperlink r:id="rId13" w:history="1">
        <w:r w:rsidR="003A3E6F" w:rsidRPr="005260B9">
          <w:rPr>
            <w:rStyle w:val="Hyperlink"/>
            <w:color w:val="auto"/>
          </w:rPr>
          <w:t>https://otif.org/en/?page_id=176</w:t>
        </w:r>
      </w:hyperlink>
      <w:r w:rsidR="00EE33C9" w:rsidRPr="005260B9">
        <w:t>.</w:t>
      </w:r>
    </w:p>
    <w:p w14:paraId="6D1C7F42" w14:textId="77777777" w:rsidR="00EE33C9" w:rsidRPr="00F51E09" w:rsidRDefault="00EE33C9" w:rsidP="00822BBD">
      <w:pPr>
        <w:pStyle w:val="SingleTxtG"/>
        <w:pageBreakBefore/>
        <w:tabs>
          <w:tab w:val="left" w:pos="567"/>
        </w:tabs>
        <w:ind w:hanging="1134"/>
      </w:pPr>
      <w:r w:rsidRPr="00F51E09">
        <w:rPr>
          <w:b/>
          <w:bCs/>
        </w:rPr>
        <w:lastRenderedPageBreak/>
        <w:tab/>
        <w:t>6.</w:t>
      </w:r>
      <w:r w:rsidRPr="00F51E09">
        <w:rPr>
          <w:b/>
          <w:bCs/>
        </w:rPr>
        <w:tab/>
        <w:t>Proposal for amendment to packing instruction P200 in 4.1.4.1 of RID/ADR to permit the interval between the periodic inspection of Liquefied Petroleum Gas cylinders manufactured according to EN 14140 to be extended from 10 to 15 years</w:t>
      </w:r>
    </w:p>
    <w:p w14:paraId="794AFEB5" w14:textId="77777777" w:rsidR="00EE33C9" w:rsidRPr="00644BB5" w:rsidRDefault="00EE33C9" w:rsidP="00EE33C9">
      <w:pPr>
        <w:pStyle w:val="SingleTxtG"/>
        <w:tabs>
          <w:tab w:val="clear" w:pos="2268"/>
        </w:tabs>
        <w:spacing w:after="0"/>
        <w:ind w:left="3402" w:hanging="2268"/>
      </w:pPr>
      <w:r w:rsidRPr="00644BB5">
        <w:rPr>
          <w:i/>
        </w:rPr>
        <w:t>Document</w:t>
      </w:r>
      <w:r w:rsidRPr="00644BB5">
        <w:t>:</w:t>
      </w:r>
      <w:r w:rsidRPr="00644BB5">
        <w:tab/>
        <w:t>ECE/TRANS/WP.15/AC.1/2024/17 (Liquid Gas Europe)</w:t>
      </w:r>
    </w:p>
    <w:p w14:paraId="4D1A7025" w14:textId="77777777" w:rsidR="00EE33C9" w:rsidRPr="00644BB5" w:rsidRDefault="00EE33C9" w:rsidP="00EE33C9">
      <w:pPr>
        <w:pStyle w:val="SingleTxtG"/>
        <w:ind w:left="3402" w:hanging="2268"/>
        <w:jc w:val="left"/>
      </w:pPr>
      <w:r w:rsidRPr="00644BB5">
        <w:rPr>
          <w:i/>
        </w:rPr>
        <w:t>Informal document</w:t>
      </w:r>
      <w:r w:rsidRPr="00644BB5">
        <w:t>:</w:t>
      </w:r>
      <w:r w:rsidRPr="00644BB5">
        <w:tab/>
        <w:t>INF.6 (Liquid Gas Europe)</w:t>
      </w:r>
    </w:p>
    <w:p w14:paraId="0A4D282A" w14:textId="4DEA2F3C" w:rsidR="00EE33C9" w:rsidRPr="00F51E09" w:rsidRDefault="0096091E" w:rsidP="00EE33C9">
      <w:pPr>
        <w:pStyle w:val="SingleTxtG"/>
      </w:pPr>
      <w:r w:rsidRPr="00F51E09">
        <w:t>2</w:t>
      </w:r>
      <w:r w:rsidR="00635ADD">
        <w:t>9</w:t>
      </w:r>
      <w:r w:rsidR="00EE33C9" w:rsidRPr="00F51E09">
        <w:t>.</w:t>
      </w:r>
      <w:r w:rsidR="00EE33C9" w:rsidRPr="00F51E09">
        <w:tab/>
        <w:t>The Joint Meeting noted the supporting information in informal document INF.6 and adopted the amendments proposed in document ECE/TRANS/WP.15/AC.1/2024/17, for entry into force in 2027 (see annex</w:t>
      </w:r>
      <w:r w:rsidR="008F57A9" w:rsidRPr="00F51E09">
        <w:t xml:space="preserve"> I</w:t>
      </w:r>
      <w:r w:rsidR="00DE48E1">
        <w:t>V</w:t>
      </w:r>
      <w:r w:rsidR="00EE33C9" w:rsidRPr="00F51E09">
        <w:t xml:space="preserve">). </w:t>
      </w:r>
      <w:r w:rsidR="00EE33C9" w:rsidRPr="00F51E09">
        <w:rPr>
          <w:iCs/>
        </w:rPr>
        <w:t>Several delegations expressed a desire to investigate the possibility of a multilateral agreement to facilitate a solution for the issue identified in the document, for the intervening period, before RID/ADR 2027 enters into force.</w:t>
      </w:r>
    </w:p>
    <w:p w14:paraId="5CC5B1AA" w14:textId="77777777" w:rsidR="000E0FB9" w:rsidRPr="00F51E09" w:rsidRDefault="000E0FB9" w:rsidP="000E0FB9">
      <w:pPr>
        <w:pStyle w:val="SingleTxtG"/>
        <w:keepNext/>
        <w:keepLines/>
        <w:tabs>
          <w:tab w:val="left" w:pos="567"/>
        </w:tabs>
        <w:ind w:hanging="1134"/>
      </w:pPr>
      <w:r w:rsidRPr="00F51E09">
        <w:rPr>
          <w:b/>
          <w:bCs/>
        </w:rPr>
        <w:tab/>
        <w:t>7.</w:t>
      </w:r>
      <w:r w:rsidRPr="00F51E09">
        <w:rPr>
          <w:b/>
          <w:bCs/>
        </w:rPr>
        <w:tab/>
        <w:t>Pressure receptacles that are constructed in accordance with EN 17339</w:t>
      </w:r>
    </w:p>
    <w:p w14:paraId="273DB37B" w14:textId="77777777" w:rsidR="000E0FB9" w:rsidRPr="00644BB5" w:rsidRDefault="000E0FB9" w:rsidP="000E0FB9">
      <w:pPr>
        <w:pStyle w:val="SingleTxtG"/>
        <w:keepNext/>
        <w:keepLines/>
        <w:tabs>
          <w:tab w:val="clear" w:pos="2268"/>
        </w:tabs>
        <w:spacing w:after="0"/>
        <w:ind w:left="3402" w:hanging="2268"/>
      </w:pPr>
      <w:r w:rsidRPr="00644BB5">
        <w:rPr>
          <w:i/>
        </w:rPr>
        <w:t>Document</w:t>
      </w:r>
      <w:r w:rsidRPr="00644BB5">
        <w:t>:</w:t>
      </w:r>
      <w:r w:rsidRPr="00644BB5">
        <w:tab/>
        <w:t>ECE/TRANS/WP.15/AC.1/2024/19 (ECMA)</w:t>
      </w:r>
    </w:p>
    <w:p w14:paraId="051B3EAB" w14:textId="77777777" w:rsidR="000E0FB9" w:rsidRPr="00F51E09" w:rsidRDefault="000E0FB9" w:rsidP="000E0FB9">
      <w:pPr>
        <w:pStyle w:val="SingleTxtG"/>
        <w:keepNext/>
        <w:keepLines/>
        <w:ind w:left="3402" w:hanging="2268"/>
        <w:jc w:val="left"/>
      </w:pPr>
      <w:r w:rsidRPr="00F51E09">
        <w:rPr>
          <w:i/>
        </w:rPr>
        <w:t>Informal document</w:t>
      </w:r>
      <w:r w:rsidRPr="00F51E09">
        <w:t>:</w:t>
      </w:r>
      <w:r w:rsidRPr="00F51E09">
        <w:tab/>
        <w:t>INF.22 (France)</w:t>
      </w:r>
    </w:p>
    <w:p w14:paraId="013FD674" w14:textId="2C22DD60" w:rsidR="000E0FB9" w:rsidRPr="00F51E09" w:rsidRDefault="00892FB5" w:rsidP="000E0FB9">
      <w:pPr>
        <w:pStyle w:val="SingleTxtG"/>
      </w:pPr>
      <w:r>
        <w:t>30</w:t>
      </w:r>
      <w:r w:rsidR="000E0FB9" w:rsidRPr="00F51E09">
        <w:t>.</w:t>
      </w:r>
      <w:r w:rsidR="000E0FB9" w:rsidRPr="00F51E09">
        <w:tab/>
        <w:t>The proposed amendments in document ECE/TRANS/WP.15/AC.1/2024/19 received several comments and questions, amongst others the comments in informal document INF.22. Following the discussion, the Joint Meeting agreed to resume consideration of this subject at its next session in September 2024 on the basis of a new proposal by ECMA, including a more detailed justification.</w:t>
      </w:r>
    </w:p>
    <w:p w14:paraId="0912D9B0" w14:textId="77777777" w:rsidR="000E0FB9" w:rsidRPr="00F51E09" w:rsidRDefault="000E0FB9" w:rsidP="000E0FB9">
      <w:pPr>
        <w:pStyle w:val="SingleTxtG"/>
        <w:keepNext/>
        <w:keepLines/>
        <w:tabs>
          <w:tab w:val="left" w:pos="567"/>
        </w:tabs>
        <w:ind w:hanging="1134"/>
      </w:pPr>
      <w:r w:rsidRPr="00F51E09">
        <w:rPr>
          <w:b/>
          <w:bCs/>
        </w:rPr>
        <w:tab/>
        <w:t>8.</w:t>
      </w:r>
      <w:r w:rsidRPr="00F51E09">
        <w:rPr>
          <w:b/>
          <w:bCs/>
        </w:rPr>
        <w:tab/>
        <w:t>Pressure vessels that are constructed to a design code recognised by a national competent authority</w:t>
      </w:r>
    </w:p>
    <w:p w14:paraId="3335FB99" w14:textId="77777777" w:rsidR="000E0FB9" w:rsidRPr="00644BB5" w:rsidRDefault="000E0FB9" w:rsidP="000E0FB9">
      <w:pPr>
        <w:pStyle w:val="SingleTxtG"/>
        <w:keepNext/>
        <w:keepLines/>
        <w:tabs>
          <w:tab w:val="clear" w:pos="2268"/>
        </w:tabs>
        <w:ind w:left="3402" w:hanging="2268"/>
      </w:pPr>
      <w:r w:rsidRPr="00644BB5">
        <w:rPr>
          <w:i/>
        </w:rPr>
        <w:t>Document</w:t>
      </w:r>
      <w:r w:rsidRPr="00644BB5">
        <w:t>:</w:t>
      </w:r>
      <w:r w:rsidRPr="00644BB5">
        <w:tab/>
        <w:t>ECE/TRANS/WP.15/AC.1/2024/20 (ECMA)</w:t>
      </w:r>
    </w:p>
    <w:p w14:paraId="3901E693" w14:textId="4466E735" w:rsidR="000E0FB9" w:rsidRPr="00F51E09" w:rsidRDefault="00737FFD" w:rsidP="000E0FB9">
      <w:pPr>
        <w:pStyle w:val="SingleTxtG"/>
      </w:pPr>
      <w:r w:rsidRPr="00F51E09">
        <w:t>3</w:t>
      </w:r>
      <w:r w:rsidR="009B7E55">
        <w:t>1</w:t>
      </w:r>
      <w:r w:rsidR="000E0FB9" w:rsidRPr="00F51E09">
        <w:t>.</w:t>
      </w:r>
      <w:r w:rsidR="000E0FB9" w:rsidRPr="00F51E09">
        <w:tab/>
        <w:t xml:space="preserve">The representatives who spoke supported in principle the proposal in </w:t>
      </w:r>
      <w:r w:rsidR="0005171C" w:rsidRPr="00F51E09">
        <w:t xml:space="preserve">document </w:t>
      </w:r>
      <w:r w:rsidR="000E0FB9" w:rsidRPr="00F51E09">
        <w:t xml:space="preserve">ECE/TRANS/WP.15/AC.1/2024/20, but most agreed that the scope was too broad and some further work was needed to narrow it. The representative of ECMA offered to reach out to the delegations which commented and to come back with a more detailed proposal for consideration at </w:t>
      </w:r>
      <w:r w:rsidR="001A17B0" w:rsidRPr="00F51E09">
        <w:t>the</w:t>
      </w:r>
      <w:r w:rsidR="000E0FB9" w:rsidRPr="00F51E09">
        <w:t xml:space="preserve"> next session in September 2024.</w:t>
      </w:r>
    </w:p>
    <w:p w14:paraId="18F76A43" w14:textId="77777777" w:rsidR="000E0FB9" w:rsidRPr="00F51E09" w:rsidRDefault="000E0FB9" w:rsidP="000E0FB9">
      <w:pPr>
        <w:pStyle w:val="SingleTxtG"/>
        <w:keepNext/>
        <w:keepLines/>
        <w:tabs>
          <w:tab w:val="left" w:pos="567"/>
        </w:tabs>
        <w:ind w:hanging="1134"/>
      </w:pPr>
      <w:r w:rsidRPr="00F51E09">
        <w:rPr>
          <w:b/>
          <w:bCs/>
        </w:rPr>
        <w:tab/>
        <w:t>9.</w:t>
      </w:r>
      <w:r w:rsidRPr="00F51E09">
        <w:rPr>
          <w:b/>
          <w:bCs/>
        </w:rPr>
        <w:tab/>
        <w:t>Marking of LPG Cylinders – 6.2.3.9.4</w:t>
      </w:r>
    </w:p>
    <w:p w14:paraId="66B447D5" w14:textId="77777777" w:rsidR="000E0FB9" w:rsidRPr="00F51E09" w:rsidRDefault="000E0FB9" w:rsidP="000E0FB9">
      <w:pPr>
        <w:pStyle w:val="SingleTxtG"/>
        <w:keepNext/>
        <w:keepLines/>
        <w:tabs>
          <w:tab w:val="clear" w:pos="2268"/>
        </w:tabs>
        <w:ind w:left="2835" w:hanging="1701"/>
        <w:jc w:val="left"/>
      </w:pPr>
      <w:r w:rsidRPr="00F51E09">
        <w:rPr>
          <w:i/>
        </w:rPr>
        <w:t>Informal document</w:t>
      </w:r>
      <w:r w:rsidRPr="00F51E09">
        <w:t>:</w:t>
      </w:r>
      <w:r w:rsidRPr="00F51E09">
        <w:tab/>
        <w:t>INF.20 (Liquid Gas Europe)</w:t>
      </w:r>
    </w:p>
    <w:p w14:paraId="2D3498C3" w14:textId="0DE88A77" w:rsidR="000E0FB9" w:rsidRPr="00F51E09" w:rsidRDefault="001C57E4" w:rsidP="000E0FB9">
      <w:pPr>
        <w:pStyle w:val="SingleTxtG"/>
      </w:pPr>
      <w:r w:rsidRPr="00F51E09">
        <w:t>3</w:t>
      </w:r>
      <w:r w:rsidR="009B7E55">
        <w:t>2</w:t>
      </w:r>
      <w:r w:rsidR="000E0FB9" w:rsidRPr="00F51E09">
        <w:t>.</w:t>
      </w:r>
      <w:r w:rsidR="000E0FB9" w:rsidRPr="00F51E09">
        <w:tab/>
        <w:t>The Joint Meeting noted support in principle but also the need for further information. It was agreed to resume consideration of this subject at its next session in September 2024 on the basis of an official document by Liquid Gas Europe.</w:t>
      </w:r>
    </w:p>
    <w:p w14:paraId="55D53745" w14:textId="77777777" w:rsidR="000E0FB9" w:rsidRPr="00F51E09" w:rsidRDefault="000E0FB9" w:rsidP="000E0FB9">
      <w:pPr>
        <w:pStyle w:val="SingleTxtG"/>
        <w:keepNext/>
        <w:keepLines/>
        <w:tabs>
          <w:tab w:val="left" w:pos="567"/>
        </w:tabs>
        <w:ind w:hanging="1134"/>
      </w:pPr>
      <w:r w:rsidRPr="00F51E09">
        <w:rPr>
          <w:b/>
          <w:bCs/>
        </w:rPr>
        <w:tab/>
        <w:t>10.</w:t>
      </w:r>
      <w:r w:rsidRPr="00F51E09">
        <w:rPr>
          <w:b/>
          <w:bCs/>
        </w:rPr>
        <w:tab/>
        <w:t>Report from intersessional working group on test periods for battery-vehicles filled in accordance with packing instruction P200</w:t>
      </w:r>
    </w:p>
    <w:p w14:paraId="6FB64860" w14:textId="77777777" w:rsidR="000E0FB9" w:rsidRPr="00F51E09" w:rsidRDefault="000E0FB9" w:rsidP="000E0FB9">
      <w:pPr>
        <w:pStyle w:val="SingleTxtG"/>
        <w:keepNext/>
        <w:keepLines/>
        <w:tabs>
          <w:tab w:val="clear" w:pos="2268"/>
        </w:tabs>
        <w:ind w:left="2835" w:hanging="1701"/>
        <w:jc w:val="left"/>
      </w:pPr>
      <w:r w:rsidRPr="00F51E09">
        <w:rPr>
          <w:i/>
        </w:rPr>
        <w:t>Informal document</w:t>
      </w:r>
      <w:r w:rsidRPr="00F51E09">
        <w:t>:</w:t>
      </w:r>
      <w:r w:rsidRPr="00F51E09">
        <w:tab/>
        <w:t>INF.4 (EIGA)</w:t>
      </w:r>
    </w:p>
    <w:p w14:paraId="3F0383CF" w14:textId="2D149F78" w:rsidR="000E0FB9" w:rsidRPr="00F51E09" w:rsidRDefault="000324FB" w:rsidP="000E0FB9">
      <w:pPr>
        <w:pStyle w:val="SingleTxtG"/>
      </w:pPr>
      <w:r w:rsidRPr="00F51E09">
        <w:t>3</w:t>
      </w:r>
      <w:r w:rsidR="009B7E55">
        <w:t>3</w:t>
      </w:r>
      <w:r w:rsidR="000E0FB9" w:rsidRPr="00F51E09">
        <w:t>.</w:t>
      </w:r>
      <w:r w:rsidR="000E0FB9" w:rsidRPr="00F51E09">
        <w:tab/>
        <w:t>The Joint Meeting welcomed the report from the intersessional working group and noted that EIGA would submit an official document on this subject for consideration at the next session.</w:t>
      </w:r>
    </w:p>
    <w:p w14:paraId="36C621B5" w14:textId="77777777" w:rsidR="002D7059" w:rsidRPr="00F51E09" w:rsidRDefault="002D7059" w:rsidP="002D7059">
      <w:pPr>
        <w:pStyle w:val="SingleTxtG"/>
        <w:keepNext/>
        <w:keepLines/>
        <w:tabs>
          <w:tab w:val="left" w:pos="567"/>
        </w:tabs>
        <w:ind w:hanging="1134"/>
      </w:pPr>
      <w:r w:rsidRPr="00F51E09">
        <w:rPr>
          <w:b/>
          <w:bCs/>
        </w:rPr>
        <w:tab/>
        <w:t>11.</w:t>
      </w:r>
      <w:r w:rsidRPr="00F51E09">
        <w:rPr>
          <w:b/>
          <w:bCs/>
        </w:rPr>
        <w:tab/>
        <w:t>Use of intermediate bulk containers for higher concentrations of UN 2672 ammonia solution</w:t>
      </w:r>
    </w:p>
    <w:p w14:paraId="6A07F8EA" w14:textId="0B3686D4" w:rsidR="002D7059" w:rsidRPr="00F51E09" w:rsidRDefault="002D7059" w:rsidP="002D7059">
      <w:pPr>
        <w:pStyle w:val="SingleTxtG"/>
        <w:keepNext/>
        <w:keepLines/>
        <w:tabs>
          <w:tab w:val="clear" w:pos="2268"/>
        </w:tabs>
        <w:ind w:left="2835" w:hanging="1701"/>
        <w:jc w:val="left"/>
      </w:pPr>
      <w:r w:rsidRPr="00F51E09">
        <w:rPr>
          <w:i/>
        </w:rPr>
        <w:t>Informal documents</w:t>
      </w:r>
      <w:r w:rsidRPr="00F51E09">
        <w:t>:</w:t>
      </w:r>
      <w:r w:rsidRPr="00F51E09">
        <w:tab/>
        <w:t>INF.11 and INF.30 (United Kingdom)</w:t>
      </w:r>
      <w:r w:rsidRPr="00F51E09">
        <w:br/>
        <w:t>INF.25 (Germany)</w:t>
      </w:r>
    </w:p>
    <w:p w14:paraId="4EE512E2" w14:textId="3E88F727" w:rsidR="002D7059" w:rsidRPr="00F51E09" w:rsidRDefault="000324FB" w:rsidP="002D7059">
      <w:pPr>
        <w:pStyle w:val="SingleTxtG"/>
      </w:pPr>
      <w:r w:rsidRPr="00F51E09">
        <w:t>3</w:t>
      </w:r>
      <w:r w:rsidR="009B7E55">
        <w:t>4</w:t>
      </w:r>
      <w:r w:rsidR="002D7059" w:rsidRPr="00F51E09">
        <w:t>.</w:t>
      </w:r>
      <w:r w:rsidR="002D7059" w:rsidRPr="00F51E09">
        <w:tab/>
        <w:t xml:space="preserve">Upon the presentation by the United Kingdom of informal document INF.11, the representative of Germany commented in detail as reflected in informal document INF.25. The current provision of 4.1.1.10 originated from a compromise solution between general principles and specific provisions which was originated at the time from the maritime transport of tanks and </w:t>
      </w:r>
      <w:r w:rsidR="006E24DF" w:rsidRPr="00F51E09">
        <w:t>intermediate bulk containers (</w:t>
      </w:r>
      <w:r w:rsidR="002D7059" w:rsidRPr="00F51E09">
        <w:t>IBCs</w:t>
      </w:r>
      <w:r w:rsidR="006E24DF" w:rsidRPr="00F51E09">
        <w:t>)</w:t>
      </w:r>
      <w:r w:rsidR="002D7059" w:rsidRPr="00F51E09">
        <w:t xml:space="preserve">. Following a lunch time working group it was recommended to revert back to the Sub-Committee of </w:t>
      </w:r>
      <w:r w:rsidR="00CC7A3A" w:rsidRPr="00F51E09">
        <w:t>E</w:t>
      </w:r>
      <w:r w:rsidR="002D7059" w:rsidRPr="00F51E09">
        <w:t xml:space="preserve">xperts on the </w:t>
      </w:r>
      <w:r w:rsidR="00CC7A3A" w:rsidRPr="00F51E09">
        <w:t>T</w:t>
      </w:r>
      <w:r w:rsidR="002D7059" w:rsidRPr="00F51E09">
        <w:t xml:space="preserve">ransport of </w:t>
      </w:r>
      <w:r w:rsidR="00CC7A3A" w:rsidRPr="00F51E09">
        <w:t>D</w:t>
      </w:r>
      <w:r w:rsidR="002D7059" w:rsidRPr="00F51E09">
        <w:t xml:space="preserve">angerous </w:t>
      </w:r>
      <w:r w:rsidR="00CC7A3A" w:rsidRPr="00F51E09">
        <w:t>G</w:t>
      </w:r>
      <w:r w:rsidR="002D7059" w:rsidRPr="00F51E09">
        <w:t>oods. The representative of the United Kingdom volunteered to prepare a proposal and thus invited all interested delegations to send him more detailed information on this subject (see informal document INF.30).</w:t>
      </w:r>
    </w:p>
    <w:p w14:paraId="04E47CA3" w14:textId="77777777" w:rsidR="000E0FB9" w:rsidRPr="00F51E09" w:rsidRDefault="000E0FB9" w:rsidP="000E0FB9">
      <w:pPr>
        <w:tabs>
          <w:tab w:val="left" w:pos="567"/>
          <w:tab w:val="left" w:pos="1134"/>
          <w:tab w:val="left" w:pos="1800"/>
        </w:tabs>
        <w:spacing w:after="120"/>
        <w:rPr>
          <w:b/>
          <w:bCs/>
          <w:sz w:val="24"/>
          <w:szCs w:val="24"/>
        </w:rPr>
      </w:pPr>
      <w:r w:rsidRPr="00F51E09">
        <w:rPr>
          <w:b/>
          <w:bCs/>
          <w:sz w:val="24"/>
          <w:szCs w:val="24"/>
        </w:rPr>
        <w:lastRenderedPageBreak/>
        <w:tab/>
        <w:t>B.</w:t>
      </w:r>
      <w:r w:rsidRPr="00F51E09">
        <w:rPr>
          <w:b/>
          <w:bCs/>
          <w:sz w:val="24"/>
          <w:szCs w:val="24"/>
        </w:rPr>
        <w:tab/>
        <w:t>Pending issues</w:t>
      </w:r>
    </w:p>
    <w:p w14:paraId="4C8E23EC" w14:textId="77777777" w:rsidR="000E0FB9" w:rsidRPr="00F51E09" w:rsidRDefault="000E0FB9" w:rsidP="000E0FB9">
      <w:pPr>
        <w:pStyle w:val="SingleTxtG"/>
        <w:tabs>
          <w:tab w:val="left" w:pos="567"/>
        </w:tabs>
        <w:ind w:hanging="1134"/>
        <w:rPr>
          <w:b/>
          <w:bCs/>
        </w:rPr>
      </w:pPr>
      <w:r w:rsidRPr="00F51E09">
        <w:rPr>
          <w:b/>
          <w:bCs/>
        </w:rPr>
        <w:tab/>
        <w:t>1.</w:t>
      </w:r>
      <w:r w:rsidRPr="00F51E09">
        <w:rPr>
          <w:b/>
          <w:bCs/>
        </w:rPr>
        <w:tab/>
        <w:t>Paints and printing inks classified as environmentally hazardous mixtures (UN 3082 of Class 9) and the requirements for performance tests related to packaging of small quantities</w:t>
      </w:r>
    </w:p>
    <w:p w14:paraId="0405031C" w14:textId="77777777" w:rsidR="000E0FB9" w:rsidRPr="00644BB5" w:rsidRDefault="000E0FB9" w:rsidP="000E0FB9">
      <w:pPr>
        <w:pStyle w:val="SingleTxtG"/>
        <w:tabs>
          <w:tab w:val="clear" w:pos="2268"/>
        </w:tabs>
        <w:ind w:left="3402" w:hanging="2268"/>
        <w:jc w:val="left"/>
      </w:pPr>
      <w:r w:rsidRPr="00644BB5">
        <w:rPr>
          <w:i/>
        </w:rPr>
        <w:t>Document</w:t>
      </w:r>
      <w:r w:rsidRPr="00644BB5">
        <w:t>:</w:t>
      </w:r>
      <w:r w:rsidRPr="00644BB5">
        <w:tab/>
        <w:t>ECE/TRANS/WP.15/AC.1/2024/7 (CEPE)</w:t>
      </w:r>
    </w:p>
    <w:p w14:paraId="4F54EBA3" w14:textId="5653E5FB" w:rsidR="000E0FB9" w:rsidRPr="00F51E09" w:rsidRDefault="002B190C" w:rsidP="000E0FB9">
      <w:pPr>
        <w:pStyle w:val="SingleTxtG"/>
      </w:pPr>
      <w:r w:rsidRPr="00F51E09">
        <w:t>3</w:t>
      </w:r>
      <w:r w:rsidR="009B7E55">
        <w:t>5</w:t>
      </w:r>
      <w:r w:rsidR="000E0FB9" w:rsidRPr="00F51E09">
        <w:t>.</w:t>
      </w:r>
      <w:r w:rsidR="000E0FB9" w:rsidRPr="00F51E09">
        <w:tab/>
        <w:t xml:space="preserve">The Joint Meeting adopted the proposal as amended, for an entry into force in 2025 (see annex </w:t>
      </w:r>
      <w:r w:rsidR="00510C88" w:rsidRPr="00F51E09">
        <w:t>II</w:t>
      </w:r>
      <w:r w:rsidR="000E0FB9" w:rsidRPr="00F51E09">
        <w:t>).</w:t>
      </w:r>
    </w:p>
    <w:p w14:paraId="07E0BB56" w14:textId="77777777" w:rsidR="000E0FB9" w:rsidRPr="00F51E09" w:rsidRDefault="000E0FB9" w:rsidP="000E0FB9">
      <w:pPr>
        <w:pStyle w:val="SingleTxtG"/>
        <w:tabs>
          <w:tab w:val="left" w:pos="567"/>
        </w:tabs>
        <w:ind w:hanging="1134"/>
        <w:rPr>
          <w:b/>
          <w:bCs/>
        </w:rPr>
      </w:pPr>
      <w:r w:rsidRPr="00F51E09">
        <w:rPr>
          <w:b/>
          <w:bCs/>
        </w:rPr>
        <w:tab/>
        <w:t>2.</w:t>
      </w:r>
      <w:r w:rsidRPr="00F51E09">
        <w:rPr>
          <w:b/>
          <w:bCs/>
        </w:rPr>
        <w:tab/>
        <w:t>Harmonization of RID/ADR/ADN with the United Nations Recommendations on the Transport of Dangerous Goods</w:t>
      </w:r>
    </w:p>
    <w:p w14:paraId="537F9407" w14:textId="77777777" w:rsidR="000E0FB9" w:rsidRPr="00F51E09" w:rsidRDefault="000E0FB9" w:rsidP="000E0FB9">
      <w:pPr>
        <w:pStyle w:val="SingleTxtG"/>
        <w:tabs>
          <w:tab w:val="clear" w:pos="2268"/>
        </w:tabs>
        <w:ind w:left="3402" w:hanging="2268"/>
        <w:jc w:val="left"/>
      </w:pPr>
      <w:r w:rsidRPr="00F51E09">
        <w:rPr>
          <w:i/>
        </w:rPr>
        <w:t>Document</w:t>
      </w:r>
      <w:r w:rsidRPr="00F51E09">
        <w:t>:</w:t>
      </w:r>
      <w:r w:rsidRPr="00F51E09">
        <w:tab/>
        <w:t>ECE/TRANS/WP.15/AC.1/2024/25 (Secretariats)</w:t>
      </w:r>
    </w:p>
    <w:p w14:paraId="605EBCD0" w14:textId="2FAF9E1D" w:rsidR="000E0FB9" w:rsidRPr="00F51E09" w:rsidRDefault="00510C88" w:rsidP="000E0FB9">
      <w:pPr>
        <w:pStyle w:val="SingleTxtG"/>
      </w:pPr>
      <w:r w:rsidRPr="00F51E09">
        <w:t>3</w:t>
      </w:r>
      <w:r w:rsidR="009B7E55">
        <w:t>6</w:t>
      </w:r>
      <w:r w:rsidR="000E0FB9" w:rsidRPr="00F51E09">
        <w:t>.</w:t>
      </w:r>
      <w:r w:rsidR="000E0FB9" w:rsidRPr="00F51E09">
        <w:tab/>
        <w:t xml:space="preserve">The Joint Meeting adopted the consequential amendments proposed in document ECE/TRANS/WP.15/AC.1/2024/25 which have been identified in 2023 by the Ad hoc Working Group on the Harmonization of RID/ADR/ADN with the United Nations Recommendations on the Transport of Dangerous Goods and have been agreed by the Sub-Committee </w:t>
      </w:r>
      <w:r w:rsidR="00D75DCE" w:rsidRPr="00F51E09">
        <w:t xml:space="preserve">of Experts </w:t>
      </w:r>
      <w:r w:rsidR="000E0FB9" w:rsidRPr="00F51E09">
        <w:t>on the transport of dangerous goods</w:t>
      </w:r>
      <w:r w:rsidR="00DF24DA">
        <w:t xml:space="preserve"> (see annex III)</w:t>
      </w:r>
      <w:r w:rsidR="000E0FB9" w:rsidRPr="00F51E09">
        <w:t xml:space="preserve">. It was noted that further editorial corrections by the secretariats would be considered at the forthcoming sessions of Working Party on the </w:t>
      </w:r>
      <w:r w:rsidR="00A378A2" w:rsidRPr="00F51E09">
        <w:t>T</w:t>
      </w:r>
      <w:r w:rsidR="000E0FB9" w:rsidRPr="00F51E09">
        <w:t xml:space="preserve">ransport of </w:t>
      </w:r>
      <w:r w:rsidR="00A378A2" w:rsidRPr="00F51E09">
        <w:t>D</w:t>
      </w:r>
      <w:r w:rsidR="000E0FB9" w:rsidRPr="00F51E09">
        <w:t xml:space="preserve">angerous </w:t>
      </w:r>
      <w:r w:rsidR="00A378A2" w:rsidRPr="00F51E09">
        <w:t>G</w:t>
      </w:r>
      <w:r w:rsidR="000E0FB9" w:rsidRPr="00F51E09">
        <w:t xml:space="preserve">oods </w:t>
      </w:r>
      <w:r w:rsidR="00A378A2" w:rsidRPr="00F51E09">
        <w:t xml:space="preserve">(WP.15) </w:t>
      </w:r>
      <w:r w:rsidR="000E0FB9" w:rsidRPr="00F51E09">
        <w:t>and the RID Committee of Experts' standing working group.</w:t>
      </w:r>
    </w:p>
    <w:p w14:paraId="1115CA1C" w14:textId="77777777" w:rsidR="005616B7" w:rsidRPr="00F51E09" w:rsidRDefault="005616B7" w:rsidP="005616B7">
      <w:pPr>
        <w:pStyle w:val="SingleTxtG"/>
        <w:keepNext/>
        <w:keepLines/>
        <w:tabs>
          <w:tab w:val="left" w:pos="567"/>
        </w:tabs>
        <w:ind w:hanging="1134"/>
        <w:rPr>
          <w:b/>
          <w:bCs/>
        </w:rPr>
      </w:pPr>
      <w:r w:rsidRPr="00F51E09">
        <w:rPr>
          <w:b/>
          <w:bCs/>
        </w:rPr>
        <w:tab/>
        <w:t>3.</w:t>
      </w:r>
      <w:r w:rsidRPr="00F51E09">
        <w:rPr>
          <w:b/>
          <w:bCs/>
        </w:rPr>
        <w:tab/>
        <w:t>Carriage in bulk of specific categories of wastes containing asbestos (UN Nos. 2590 and 2212) – Editorial modification to AP12</w:t>
      </w:r>
    </w:p>
    <w:p w14:paraId="0BF743AE" w14:textId="77777777" w:rsidR="005616B7" w:rsidRPr="00F51E09" w:rsidRDefault="005616B7" w:rsidP="005616B7">
      <w:pPr>
        <w:pStyle w:val="SingleTxtG"/>
        <w:keepNext/>
        <w:keepLines/>
        <w:tabs>
          <w:tab w:val="clear" w:pos="2268"/>
        </w:tabs>
        <w:ind w:left="3402" w:hanging="2268"/>
        <w:jc w:val="left"/>
      </w:pPr>
      <w:r w:rsidRPr="00F51E09">
        <w:rPr>
          <w:i/>
        </w:rPr>
        <w:t>Informal document</w:t>
      </w:r>
      <w:r w:rsidRPr="00F51E09">
        <w:t>:</w:t>
      </w:r>
      <w:r w:rsidRPr="00F51E09">
        <w:tab/>
        <w:t>INF.21 (France)</w:t>
      </w:r>
    </w:p>
    <w:p w14:paraId="27EC23D5" w14:textId="2F84E3C2" w:rsidR="005616B7" w:rsidRPr="00F51E09" w:rsidRDefault="00317103" w:rsidP="005616B7">
      <w:pPr>
        <w:pStyle w:val="SingleTxtG"/>
        <w:keepNext/>
        <w:keepLines/>
      </w:pPr>
      <w:r w:rsidRPr="00F51E09">
        <w:t>3</w:t>
      </w:r>
      <w:r w:rsidR="009B7E55">
        <w:t>7</w:t>
      </w:r>
      <w:r w:rsidR="005616B7" w:rsidRPr="00F51E09">
        <w:t>.</w:t>
      </w:r>
      <w:r w:rsidR="005616B7" w:rsidRPr="00F51E09">
        <w:tab/>
        <w:t xml:space="preserve">The Joint Meeting adopted the proposals in informal document INF.21 as amended for an entry into force in 2025 (see annex </w:t>
      </w:r>
      <w:r w:rsidR="002447B7" w:rsidRPr="00F51E09">
        <w:t>I</w:t>
      </w:r>
      <w:r w:rsidR="00026B21">
        <w:t>I</w:t>
      </w:r>
      <w:r w:rsidR="002447B7" w:rsidRPr="00F51E09">
        <w:t>I</w:t>
      </w:r>
      <w:r w:rsidR="005616B7" w:rsidRPr="00F51E09">
        <w:t>).</w:t>
      </w:r>
    </w:p>
    <w:p w14:paraId="33F51ABF" w14:textId="77777777" w:rsidR="00C864BF" w:rsidRPr="00F51E09" w:rsidRDefault="00C864BF" w:rsidP="00C864BF">
      <w:pPr>
        <w:pStyle w:val="SingleTxtG"/>
        <w:tabs>
          <w:tab w:val="left" w:pos="567"/>
        </w:tabs>
        <w:ind w:hanging="1134"/>
        <w:rPr>
          <w:b/>
          <w:bCs/>
        </w:rPr>
      </w:pPr>
      <w:r w:rsidRPr="00F51E09">
        <w:rPr>
          <w:b/>
          <w:bCs/>
        </w:rPr>
        <w:tab/>
        <w:t>4.</w:t>
      </w:r>
      <w:r w:rsidRPr="00F51E09">
        <w:rPr>
          <w:b/>
          <w:bCs/>
        </w:rPr>
        <w:tab/>
        <w:t>Application of special provision 376 to critically damaged lithium batteries</w:t>
      </w:r>
    </w:p>
    <w:p w14:paraId="5D0FE6A7" w14:textId="77777777" w:rsidR="00C864BF" w:rsidRPr="00644BB5" w:rsidRDefault="00C864BF" w:rsidP="00C864BF">
      <w:pPr>
        <w:pStyle w:val="SingleTxtG"/>
        <w:tabs>
          <w:tab w:val="clear" w:pos="2268"/>
        </w:tabs>
        <w:spacing w:after="0"/>
        <w:ind w:left="3402" w:hanging="2268"/>
        <w:jc w:val="left"/>
      </w:pPr>
      <w:r w:rsidRPr="00644BB5">
        <w:rPr>
          <w:i/>
        </w:rPr>
        <w:t>Document</w:t>
      </w:r>
      <w:r w:rsidRPr="00644BB5">
        <w:t>:</w:t>
      </w:r>
      <w:r w:rsidRPr="00644BB5">
        <w:tab/>
        <w:t>ECE/TRANS/WP.15/AC.1/2024/27 (Belgium)</w:t>
      </w:r>
    </w:p>
    <w:p w14:paraId="461089A2" w14:textId="77777777" w:rsidR="00C864BF" w:rsidRPr="00644BB5" w:rsidRDefault="00C864BF" w:rsidP="00C864BF">
      <w:pPr>
        <w:pStyle w:val="SingleTxtG"/>
        <w:tabs>
          <w:tab w:val="clear" w:pos="2268"/>
        </w:tabs>
        <w:ind w:left="3402" w:hanging="2268"/>
        <w:jc w:val="left"/>
      </w:pPr>
      <w:r w:rsidRPr="00644BB5">
        <w:rPr>
          <w:i/>
          <w:iCs/>
        </w:rPr>
        <w:t>Informal document:</w:t>
      </w:r>
      <w:r w:rsidRPr="00644BB5">
        <w:t xml:space="preserve"> </w:t>
      </w:r>
      <w:r w:rsidRPr="00644BB5">
        <w:tab/>
        <w:t>INF.28 (Belgium)</w:t>
      </w:r>
    </w:p>
    <w:p w14:paraId="037CD416" w14:textId="18225575" w:rsidR="00C864BF" w:rsidRPr="00F51E09" w:rsidRDefault="002447B7" w:rsidP="00C864BF">
      <w:pPr>
        <w:pStyle w:val="SingleTxtG"/>
      </w:pPr>
      <w:r w:rsidRPr="00F51E09">
        <w:t>3</w:t>
      </w:r>
      <w:r w:rsidR="009B7E55">
        <w:t>8</w:t>
      </w:r>
      <w:r w:rsidR="00C864BF" w:rsidRPr="00F51E09">
        <w:t>.</w:t>
      </w:r>
      <w:r w:rsidR="00C864BF" w:rsidRPr="00F51E09">
        <w:tab/>
        <w:t xml:space="preserve">Most delegations supported the principles of the proposal in informal document INF.28, but others felt that further consideration was needed on the best way forward to implement the provision. Following the discussion, the representative of Belgium volunteered to work on an updated proposal and to submit it to the Sub-Committee of Experts on the Transport of Dangerous Goods for consideration at its forthcoming June </w:t>
      </w:r>
      <w:r w:rsidR="002A7EF3" w:rsidRPr="00F51E09">
        <w:t xml:space="preserve">2024 </w:t>
      </w:r>
      <w:r w:rsidR="00C864BF" w:rsidRPr="00F51E09">
        <w:t>session. The Joint Meeting will be kept informed at its next session in September.</w:t>
      </w:r>
    </w:p>
    <w:p w14:paraId="0EF8284D" w14:textId="77777777" w:rsidR="00730008" w:rsidRPr="00F51E09" w:rsidRDefault="00730008" w:rsidP="00730008">
      <w:pPr>
        <w:tabs>
          <w:tab w:val="left" w:pos="567"/>
          <w:tab w:val="left" w:pos="1134"/>
          <w:tab w:val="left" w:pos="1800"/>
        </w:tabs>
        <w:spacing w:after="120"/>
        <w:rPr>
          <w:b/>
          <w:bCs/>
          <w:sz w:val="24"/>
          <w:szCs w:val="24"/>
        </w:rPr>
      </w:pPr>
      <w:r w:rsidRPr="00F51E09">
        <w:rPr>
          <w:b/>
          <w:bCs/>
          <w:sz w:val="24"/>
          <w:szCs w:val="24"/>
        </w:rPr>
        <w:tab/>
        <w:t>C.</w:t>
      </w:r>
      <w:r w:rsidRPr="00F51E09">
        <w:rPr>
          <w:b/>
          <w:bCs/>
          <w:sz w:val="24"/>
          <w:szCs w:val="24"/>
        </w:rPr>
        <w:tab/>
        <w:t>New proposals</w:t>
      </w:r>
    </w:p>
    <w:p w14:paraId="612EDD46" w14:textId="77777777" w:rsidR="00730008" w:rsidRPr="00F51E09" w:rsidRDefault="00730008" w:rsidP="00730008">
      <w:pPr>
        <w:pStyle w:val="SingleTxtG"/>
        <w:tabs>
          <w:tab w:val="left" w:pos="567"/>
        </w:tabs>
        <w:ind w:hanging="1134"/>
        <w:rPr>
          <w:b/>
          <w:bCs/>
        </w:rPr>
      </w:pPr>
      <w:r w:rsidRPr="00F51E09">
        <w:rPr>
          <w:b/>
          <w:bCs/>
        </w:rPr>
        <w:tab/>
        <w:t>1.</w:t>
      </w:r>
      <w:r w:rsidRPr="00F51E09">
        <w:rPr>
          <w:b/>
          <w:bCs/>
        </w:rPr>
        <w:tab/>
        <w:t>Proposal for amendments to section 1.2.1 of Annex A to the ADR Agreement</w:t>
      </w:r>
    </w:p>
    <w:p w14:paraId="5DEBB552" w14:textId="77777777" w:rsidR="00730008" w:rsidRPr="00F51E09" w:rsidRDefault="00730008" w:rsidP="00644BB5">
      <w:pPr>
        <w:pStyle w:val="SingleTxtG"/>
        <w:tabs>
          <w:tab w:val="clear" w:pos="2268"/>
        </w:tabs>
        <w:ind w:left="3402" w:hanging="2268"/>
        <w:jc w:val="left"/>
      </w:pPr>
      <w:r w:rsidRPr="00F51E09">
        <w:rPr>
          <w:i/>
        </w:rPr>
        <w:t>Document</w:t>
      </w:r>
      <w:r w:rsidRPr="00F51E09">
        <w:t>:</w:t>
      </w:r>
      <w:r w:rsidRPr="00F51E09">
        <w:tab/>
        <w:t>ECE/TRANS/WP.15/AC.1/2024/6 (Russian Federation)</w:t>
      </w:r>
    </w:p>
    <w:p w14:paraId="36980466" w14:textId="78352405" w:rsidR="00730008" w:rsidRPr="00F51E09" w:rsidRDefault="002447B7" w:rsidP="00730008">
      <w:pPr>
        <w:pStyle w:val="SingleTxtG"/>
      </w:pPr>
      <w:r w:rsidRPr="00F51E09">
        <w:t>3</w:t>
      </w:r>
      <w:r w:rsidR="009B7E55">
        <w:t>9</w:t>
      </w:r>
      <w:r w:rsidR="00730008" w:rsidRPr="00F51E09">
        <w:t>.</w:t>
      </w:r>
      <w:r w:rsidR="00730008" w:rsidRPr="00F51E09">
        <w:tab/>
        <w:t>Most delegations that took the floor felt that more detailed justification was necessary to understand the need for new definitions. The representative of the Russian Federation announced to come back with a more detailed document for consideration at the forthcoming session in September 2024.</w:t>
      </w:r>
    </w:p>
    <w:p w14:paraId="00ED8F55" w14:textId="77777777" w:rsidR="00730008" w:rsidRPr="00F51E09" w:rsidRDefault="00730008" w:rsidP="00730008">
      <w:pPr>
        <w:pStyle w:val="SingleTxtG"/>
        <w:tabs>
          <w:tab w:val="left" w:pos="567"/>
        </w:tabs>
        <w:ind w:hanging="1134"/>
        <w:rPr>
          <w:b/>
          <w:bCs/>
        </w:rPr>
      </w:pPr>
      <w:r w:rsidRPr="00F51E09">
        <w:rPr>
          <w:b/>
          <w:bCs/>
        </w:rPr>
        <w:tab/>
        <w:t>2.</w:t>
      </w:r>
      <w:r w:rsidRPr="00F51E09">
        <w:rPr>
          <w:b/>
          <w:bCs/>
        </w:rPr>
        <w:tab/>
        <w:t>Dangerous goods transport document: 5.4.1.1.3.1 Special provisions for wastes, addition of technical names</w:t>
      </w:r>
    </w:p>
    <w:p w14:paraId="34A04DED" w14:textId="77777777" w:rsidR="00730008" w:rsidRPr="00644BB5" w:rsidRDefault="00730008" w:rsidP="00730008">
      <w:pPr>
        <w:pStyle w:val="SingleTxtG"/>
        <w:tabs>
          <w:tab w:val="clear" w:pos="2268"/>
        </w:tabs>
        <w:ind w:left="3402" w:hanging="2268"/>
      </w:pPr>
      <w:r w:rsidRPr="00644BB5">
        <w:rPr>
          <w:i/>
        </w:rPr>
        <w:t>Document</w:t>
      </w:r>
      <w:r w:rsidRPr="00644BB5">
        <w:t>:</w:t>
      </w:r>
      <w:r w:rsidRPr="00644BB5">
        <w:tab/>
        <w:t>ECE/TRANS/WP.15/AC.1/2024/10 (Finland)</w:t>
      </w:r>
    </w:p>
    <w:p w14:paraId="04DA50B9" w14:textId="720D7EAB" w:rsidR="00730008" w:rsidRPr="00F51E09" w:rsidRDefault="009B7E55" w:rsidP="00730008">
      <w:pPr>
        <w:pStyle w:val="SingleTxtG"/>
      </w:pPr>
      <w:r>
        <w:t>40</w:t>
      </w:r>
      <w:r w:rsidR="00730008" w:rsidRPr="00F51E09">
        <w:t>.</w:t>
      </w:r>
      <w:r w:rsidR="00730008" w:rsidRPr="00F51E09">
        <w:tab/>
        <w:t xml:space="preserve">The Joint Meeting adopted the amendments proposed in </w:t>
      </w:r>
      <w:r w:rsidR="0005171C" w:rsidRPr="00F51E09">
        <w:t xml:space="preserve">document </w:t>
      </w:r>
      <w:r w:rsidR="00730008" w:rsidRPr="00F51E09">
        <w:t xml:space="preserve">ECE/TRANS/WP.15/AC.1/2024/10 for an entry into force in 2025 (see annex </w:t>
      </w:r>
      <w:r w:rsidR="0005171C" w:rsidRPr="00F51E09">
        <w:t>II</w:t>
      </w:r>
      <w:r w:rsidR="00730008" w:rsidRPr="00F51E09">
        <w:t>).</w:t>
      </w:r>
    </w:p>
    <w:p w14:paraId="2566E689" w14:textId="77777777" w:rsidR="00730008" w:rsidRPr="00F51E09" w:rsidRDefault="00730008" w:rsidP="00730008">
      <w:pPr>
        <w:pStyle w:val="SingleTxtG"/>
        <w:tabs>
          <w:tab w:val="left" w:pos="567"/>
        </w:tabs>
        <w:ind w:hanging="1134"/>
        <w:rPr>
          <w:b/>
          <w:bCs/>
        </w:rPr>
      </w:pPr>
      <w:r w:rsidRPr="00F51E09">
        <w:rPr>
          <w:b/>
          <w:bCs/>
        </w:rPr>
        <w:tab/>
        <w:t>3.</w:t>
      </w:r>
      <w:r w:rsidRPr="00F51E09">
        <w:rPr>
          <w:b/>
          <w:bCs/>
        </w:rPr>
        <w:tab/>
        <w:t>Definition of “closed vehicle” in 1.2.1 of ADR</w:t>
      </w:r>
    </w:p>
    <w:p w14:paraId="77A6EBA2" w14:textId="77777777" w:rsidR="00730008" w:rsidRPr="00644BB5" w:rsidRDefault="00730008" w:rsidP="00730008">
      <w:pPr>
        <w:pStyle w:val="SingleTxtG"/>
        <w:tabs>
          <w:tab w:val="clear" w:pos="2268"/>
        </w:tabs>
        <w:ind w:left="3402" w:hanging="2268"/>
      </w:pPr>
      <w:r w:rsidRPr="00644BB5">
        <w:rPr>
          <w:i/>
        </w:rPr>
        <w:t>Document</w:t>
      </w:r>
      <w:r w:rsidRPr="00644BB5">
        <w:t>:</w:t>
      </w:r>
      <w:r w:rsidRPr="00644BB5">
        <w:tab/>
        <w:t>ECE/TRANS/WP.15/AC.1/2024/14 (Netherlands)</w:t>
      </w:r>
    </w:p>
    <w:p w14:paraId="59AAAC32" w14:textId="2AFC6E53" w:rsidR="00730008" w:rsidRPr="00F51E09" w:rsidRDefault="0005171C" w:rsidP="00730008">
      <w:pPr>
        <w:pStyle w:val="SingleTxtG"/>
      </w:pPr>
      <w:r w:rsidRPr="00F51E09">
        <w:t>4</w:t>
      </w:r>
      <w:r w:rsidR="009B7E55">
        <w:t>1</w:t>
      </w:r>
      <w:r w:rsidR="00730008" w:rsidRPr="00F51E09">
        <w:t>.</w:t>
      </w:r>
      <w:r w:rsidR="00730008" w:rsidRPr="00F51E09">
        <w:tab/>
      </w:r>
      <w:bookmarkStart w:id="9" w:name="_Hlk162379841"/>
      <w:r w:rsidR="00730008" w:rsidRPr="00F51E09">
        <w:t xml:space="preserve">The Joint Meeting supported in principle the proposed amendment to the current definition of “closed vehicle” in 1.2.1 of ADR. </w:t>
      </w:r>
      <w:bookmarkEnd w:id="9"/>
      <w:r w:rsidR="00730008" w:rsidRPr="00F51E09">
        <w:t xml:space="preserve">Some delegates indicated that transitional </w:t>
      </w:r>
      <w:r w:rsidR="00730008" w:rsidRPr="00F51E09">
        <w:lastRenderedPageBreak/>
        <w:t>measures were needed, some others raised cautious concerns on the possible impact on the transport operators. The representative of the Netherlands offered to check if a consequential amendment to special provision CV36 was necessary and to consult with the Working Party on the Transport of Dangerous Goods at its forthcoming session if an adoption of the amendment was possible.</w:t>
      </w:r>
    </w:p>
    <w:p w14:paraId="039CEE3B" w14:textId="77777777" w:rsidR="00730008" w:rsidRPr="00F51E09" w:rsidRDefault="00730008" w:rsidP="00730008">
      <w:pPr>
        <w:pStyle w:val="SingleTxtG"/>
        <w:tabs>
          <w:tab w:val="left" w:pos="567"/>
        </w:tabs>
        <w:ind w:hanging="1134"/>
        <w:rPr>
          <w:b/>
          <w:bCs/>
        </w:rPr>
      </w:pPr>
      <w:r w:rsidRPr="00F51E09">
        <w:rPr>
          <w:b/>
          <w:bCs/>
        </w:rPr>
        <w:tab/>
        <w:t>4.</w:t>
      </w:r>
      <w:r w:rsidRPr="00F51E09">
        <w:rPr>
          <w:b/>
          <w:bCs/>
        </w:rPr>
        <w:tab/>
        <w:t>Transport of animal material containing infectious substances (UN 3373)</w:t>
      </w:r>
    </w:p>
    <w:p w14:paraId="366C0EC6" w14:textId="77777777" w:rsidR="00730008" w:rsidRPr="00F51E09" w:rsidRDefault="00730008" w:rsidP="00730008">
      <w:pPr>
        <w:pStyle w:val="SingleTxtG"/>
        <w:tabs>
          <w:tab w:val="clear" w:pos="2268"/>
        </w:tabs>
        <w:ind w:left="3402" w:hanging="2268"/>
      </w:pPr>
      <w:r w:rsidRPr="00F51E09">
        <w:rPr>
          <w:i/>
        </w:rPr>
        <w:t>Document</w:t>
      </w:r>
      <w:r w:rsidRPr="00F51E09">
        <w:t>:</w:t>
      </w:r>
      <w:r w:rsidRPr="00F51E09">
        <w:tab/>
        <w:t>ECE/TRANS/WP.15/AC.1/2024/22 (Sweden)</w:t>
      </w:r>
    </w:p>
    <w:p w14:paraId="6A7F8464" w14:textId="02CD1DBD" w:rsidR="00730008" w:rsidRPr="00F51E09" w:rsidRDefault="00E30F87" w:rsidP="00730008">
      <w:pPr>
        <w:pStyle w:val="SingleTxtG"/>
      </w:pPr>
      <w:r w:rsidRPr="00F51E09">
        <w:t>4</w:t>
      </w:r>
      <w:r w:rsidR="009B7E55">
        <w:t>2</w:t>
      </w:r>
      <w:r w:rsidR="00730008" w:rsidRPr="00F51E09">
        <w:t>.</w:t>
      </w:r>
      <w:r w:rsidR="00730008" w:rsidRPr="00F51E09">
        <w:tab/>
        <w:t xml:space="preserve">The Joint Meeting adopted the proposed amendment for an entry into force in 2027 (see annex </w:t>
      </w:r>
      <w:r w:rsidR="003160E2" w:rsidRPr="00F51E09">
        <w:t>I</w:t>
      </w:r>
      <w:r w:rsidR="00222735">
        <w:t>V</w:t>
      </w:r>
      <w:r w:rsidR="00730008" w:rsidRPr="00F51E09">
        <w:t>). Following the discussion on the additional question in the document, the representative of Sweden volunteered to submit a new document, taking into account the comments received.</w:t>
      </w:r>
    </w:p>
    <w:p w14:paraId="3906CE97" w14:textId="77777777" w:rsidR="00730008" w:rsidRPr="00F51E09" w:rsidRDefault="00730008" w:rsidP="00730008">
      <w:pPr>
        <w:pStyle w:val="SingleTxtG"/>
        <w:tabs>
          <w:tab w:val="left" w:pos="567"/>
        </w:tabs>
        <w:ind w:hanging="1134"/>
        <w:rPr>
          <w:b/>
          <w:bCs/>
        </w:rPr>
      </w:pPr>
      <w:r w:rsidRPr="00F51E09">
        <w:rPr>
          <w:b/>
          <w:bCs/>
        </w:rPr>
        <w:tab/>
        <w:t>5.</w:t>
      </w:r>
      <w:r w:rsidRPr="00F51E09">
        <w:rPr>
          <w:b/>
          <w:bCs/>
        </w:rPr>
        <w:tab/>
        <w:t>Correction of the English term “load compartment” in the French and German versions</w:t>
      </w:r>
    </w:p>
    <w:p w14:paraId="55303DA9" w14:textId="77777777" w:rsidR="00730008" w:rsidRPr="00644BB5" w:rsidRDefault="00730008" w:rsidP="00730008">
      <w:pPr>
        <w:pStyle w:val="SingleTxtG"/>
        <w:tabs>
          <w:tab w:val="clear" w:pos="2268"/>
        </w:tabs>
        <w:ind w:left="3402" w:hanging="2268"/>
      </w:pPr>
      <w:r w:rsidRPr="00644BB5">
        <w:rPr>
          <w:i/>
        </w:rPr>
        <w:t>Document</w:t>
      </w:r>
      <w:r w:rsidRPr="00644BB5">
        <w:t>:</w:t>
      </w:r>
      <w:r w:rsidRPr="00644BB5">
        <w:tab/>
        <w:t>ECE/TRANS/WP.15/AC.1/2024/24 (Switzerland)</w:t>
      </w:r>
    </w:p>
    <w:p w14:paraId="36BA6F30" w14:textId="567FAA4C" w:rsidR="00730008" w:rsidRPr="00F51E09" w:rsidRDefault="00F318C4" w:rsidP="00730008">
      <w:pPr>
        <w:pStyle w:val="SingleTxtG"/>
      </w:pPr>
      <w:r w:rsidRPr="00F51E09">
        <w:t>4</w:t>
      </w:r>
      <w:r w:rsidR="009B7E55">
        <w:t>3</w:t>
      </w:r>
      <w:r w:rsidR="00730008" w:rsidRPr="00F51E09">
        <w:t>.</w:t>
      </w:r>
      <w:r w:rsidR="00730008" w:rsidRPr="00F51E09">
        <w:tab/>
        <w:t xml:space="preserve">The Joint Meeting adopted the amendments proposed in document ECE/TRANS/WP.15/AC.1/2024/24 for an entry into force in 2025 (see annex </w:t>
      </w:r>
      <w:r w:rsidR="001830E9" w:rsidRPr="00F51E09">
        <w:t>II</w:t>
      </w:r>
      <w:r w:rsidR="00730008" w:rsidRPr="00F51E09">
        <w:t>).</w:t>
      </w:r>
    </w:p>
    <w:p w14:paraId="29484268" w14:textId="77777777" w:rsidR="00730008" w:rsidRPr="00F51E09" w:rsidRDefault="00730008" w:rsidP="00730008">
      <w:pPr>
        <w:pStyle w:val="SingleTxtG"/>
        <w:tabs>
          <w:tab w:val="left" w:pos="567"/>
        </w:tabs>
        <w:ind w:hanging="1134"/>
        <w:rPr>
          <w:b/>
          <w:bCs/>
        </w:rPr>
      </w:pPr>
      <w:r w:rsidRPr="00F51E09">
        <w:rPr>
          <w:b/>
          <w:bCs/>
        </w:rPr>
        <w:tab/>
        <w:t>6.</w:t>
      </w:r>
      <w:r w:rsidRPr="00F51E09">
        <w:rPr>
          <w:b/>
          <w:bCs/>
        </w:rPr>
        <w:tab/>
        <w:t>5.3.2.2.1 of RID/ADR/ADN: Fire resistance of the orange-coloured plate</w:t>
      </w:r>
    </w:p>
    <w:p w14:paraId="54284B93" w14:textId="77777777" w:rsidR="00730008" w:rsidRPr="00F51E09" w:rsidRDefault="00730008" w:rsidP="00730008">
      <w:pPr>
        <w:pStyle w:val="SingleTxtG"/>
        <w:ind w:left="3402" w:hanging="2268"/>
      </w:pPr>
      <w:r w:rsidRPr="00F51E09">
        <w:rPr>
          <w:i/>
        </w:rPr>
        <w:t>Informal document</w:t>
      </w:r>
      <w:r w:rsidRPr="00F51E09">
        <w:t>:</w:t>
      </w:r>
      <w:r w:rsidRPr="00F51E09">
        <w:tab/>
        <w:t>INF.9 (Germany)</w:t>
      </w:r>
    </w:p>
    <w:p w14:paraId="28E81E4C" w14:textId="7AB51C25" w:rsidR="00730008" w:rsidRPr="00F51E09" w:rsidRDefault="00156EF6" w:rsidP="00730008">
      <w:pPr>
        <w:pStyle w:val="SingleTxtG"/>
      </w:pPr>
      <w:r w:rsidRPr="00F51E09">
        <w:t>4</w:t>
      </w:r>
      <w:r w:rsidR="009B7E55">
        <w:t>4</w:t>
      </w:r>
      <w:r w:rsidR="00730008" w:rsidRPr="00F51E09">
        <w:t>.</w:t>
      </w:r>
      <w:r w:rsidR="00730008" w:rsidRPr="00F51E09">
        <w:tab/>
        <w:t>Following an exchange of views by the Joint Meeting, the representative of Germany offered to reach out to the delegations that took the floor to clarify their positions and to come back, if necessary, with a new document at the forthcoming session in September 2024.</w:t>
      </w:r>
    </w:p>
    <w:p w14:paraId="6BDEFF8E" w14:textId="77777777" w:rsidR="00730008" w:rsidRPr="00F51E09" w:rsidRDefault="00730008" w:rsidP="00730008">
      <w:pPr>
        <w:pStyle w:val="SingleTxtG"/>
        <w:tabs>
          <w:tab w:val="left" w:pos="567"/>
        </w:tabs>
        <w:ind w:hanging="1134"/>
        <w:rPr>
          <w:b/>
          <w:bCs/>
        </w:rPr>
      </w:pPr>
      <w:r w:rsidRPr="00F51E09">
        <w:rPr>
          <w:b/>
          <w:bCs/>
        </w:rPr>
        <w:tab/>
        <w:t>7.</w:t>
      </w:r>
      <w:r w:rsidRPr="00F51E09">
        <w:rPr>
          <w:b/>
          <w:bCs/>
        </w:rPr>
        <w:tab/>
        <w:t>Amendment of term "tons" of "tonnes" in the English text of 1.2.2.1</w:t>
      </w:r>
    </w:p>
    <w:p w14:paraId="64FEE265" w14:textId="77777777" w:rsidR="00730008" w:rsidRPr="00F51E09" w:rsidRDefault="00730008" w:rsidP="00730008">
      <w:pPr>
        <w:pStyle w:val="SingleTxtG"/>
        <w:ind w:left="3402" w:hanging="2268"/>
      </w:pPr>
      <w:r w:rsidRPr="00F51E09">
        <w:rPr>
          <w:i/>
        </w:rPr>
        <w:t>Informal document</w:t>
      </w:r>
      <w:r w:rsidRPr="00F51E09">
        <w:t>:</w:t>
      </w:r>
      <w:r w:rsidRPr="00F51E09">
        <w:tab/>
        <w:t>INF.12 (United Kingdom)</w:t>
      </w:r>
    </w:p>
    <w:p w14:paraId="2140279E" w14:textId="023FEE61" w:rsidR="00730008" w:rsidRPr="00F51E09" w:rsidRDefault="00156EF6" w:rsidP="00730008">
      <w:pPr>
        <w:pStyle w:val="SingleTxtG"/>
      </w:pPr>
      <w:r w:rsidRPr="00F51E09">
        <w:t>4</w:t>
      </w:r>
      <w:r w:rsidR="009B7E55">
        <w:t>5</w:t>
      </w:r>
      <w:r w:rsidR="00730008" w:rsidRPr="00F51E09">
        <w:t>.</w:t>
      </w:r>
      <w:r w:rsidR="00730008" w:rsidRPr="00F51E09">
        <w:tab/>
        <w:t xml:space="preserve">The Joint Meeting adopted the proposed amendment for an entry into force in 2025 (see annex </w:t>
      </w:r>
      <w:r w:rsidR="001830E9" w:rsidRPr="00F51E09">
        <w:t>II</w:t>
      </w:r>
      <w:r w:rsidR="00730008" w:rsidRPr="00F51E09">
        <w:t>).</w:t>
      </w:r>
    </w:p>
    <w:p w14:paraId="002B766A" w14:textId="77777777" w:rsidR="005F5FC6" w:rsidRPr="00F51E09" w:rsidRDefault="005F5FC6" w:rsidP="005F5FC6">
      <w:pPr>
        <w:pStyle w:val="HChG"/>
      </w:pPr>
      <w:r w:rsidRPr="00F51E09">
        <w:tab/>
      </w:r>
      <w:bookmarkStart w:id="10" w:name="_Hlk51257359"/>
      <w:bookmarkStart w:id="11" w:name="_Toc164258729"/>
      <w:r w:rsidRPr="00F51E09">
        <w:t>VIII.</w:t>
      </w:r>
      <w:r w:rsidRPr="00F51E09">
        <w:tab/>
        <w:t>Reports of informal working groups (agenda item 6)</w:t>
      </w:r>
      <w:bookmarkEnd w:id="10"/>
      <w:bookmarkEnd w:id="11"/>
    </w:p>
    <w:p w14:paraId="1E6A764F" w14:textId="77777777" w:rsidR="005F5FC6" w:rsidRPr="00F51E09" w:rsidRDefault="005F5FC6" w:rsidP="005F5FC6">
      <w:pPr>
        <w:tabs>
          <w:tab w:val="left" w:pos="567"/>
          <w:tab w:val="left" w:pos="1134"/>
          <w:tab w:val="left" w:pos="1800"/>
        </w:tabs>
        <w:spacing w:after="120"/>
        <w:ind w:left="1134" w:right="1134" w:hanging="1134"/>
        <w:rPr>
          <w:b/>
          <w:bCs/>
          <w:sz w:val="24"/>
          <w:szCs w:val="24"/>
        </w:rPr>
      </w:pPr>
      <w:r w:rsidRPr="00F51E09">
        <w:rPr>
          <w:b/>
          <w:bCs/>
          <w:sz w:val="24"/>
          <w:szCs w:val="24"/>
        </w:rPr>
        <w:tab/>
        <w:t>A.</w:t>
      </w:r>
      <w:r w:rsidRPr="00F51E09">
        <w:rPr>
          <w:b/>
          <w:bCs/>
          <w:sz w:val="24"/>
          <w:szCs w:val="24"/>
        </w:rPr>
        <w:tab/>
      </w:r>
      <w:bookmarkStart w:id="12" w:name="_Hlk98338610"/>
      <w:r w:rsidRPr="00F51E09">
        <w:rPr>
          <w:b/>
          <w:bCs/>
          <w:sz w:val="24"/>
          <w:szCs w:val="24"/>
        </w:rPr>
        <w:t xml:space="preserve">Informal working group on the </w:t>
      </w:r>
      <w:bookmarkEnd w:id="12"/>
      <w:r w:rsidRPr="00F51E09">
        <w:rPr>
          <w:b/>
          <w:bCs/>
          <w:sz w:val="24"/>
          <w:szCs w:val="24"/>
        </w:rPr>
        <w:t>reduction of the risk of a BLEVE</w:t>
      </w:r>
    </w:p>
    <w:p w14:paraId="75497835" w14:textId="77777777" w:rsidR="005F5FC6" w:rsidRPr="00F51E09" w:rsidRDefault="005F5FC6" w:rsidP="005F5FC6">
      <w:pPr>
        <w:pStyle w:val="SingleTxtG"/>
        <w:keepNext/>
        <w:keepLines/>
        <w:ind w:left="3402" w:hanging="2268"/>
        <w:jc w:val="left"/>
      </w:pPr>
      <w:r w:rsidRPr="00F51E09">
        <w:rPr>
          <w:i/>
        </w:rPr>
        <w:t>Informal document</w:t>
      </w:r>
      <w:r w:rsidRPr="00F51E09">
        <w:t>:</w:t>
      </w:r>
      <w:r w:rsidRPr="00F51E09">
        <w:tab/>
        <w:t>INF.13 (Spain)</w:t>
      </w:r>
    </w:p>
    <w:p w14:paraId="1E958ABB" w14:textId="69A8C0CC" w:rsidR="005F5FC6" w:rsidRPr="00F51E09" w:rsidRDefault="00151892" w:rsidP="005F5FC6">
      <w:pPr>
        <w:pStyle w:val="SingleTxtG"/>
      </w:pPr>
      <w:r w:rsidRPr="00F51E09">
        <w:t>4</w:t>
      </w:r>
      <w:r w:rsidR="009B7E55">
        <w:t>6</w:t>
      </w:r>
      <w:r w:rsidR="005F5FC6" w:rsidRPr="00F51E09">
        <w:t>.</w:t>
      </w:r>
      <w:r w:rsidR="005F5FC6" w:rsidRPr="00F51E09">
        <w:tab/>
        <w:t>The Joint Meeting noted the information in the report of the informal working group on the reduction of the risk of a BLEVE and welcomed the group’s initiative to go forward with informing the Working Party on the Transport of Dangerous Goods and consulting the WP.29 Working Party on General Safety Provisions (GRSG) on new construction requirements for ADR vehicles regarding the installation of fire suppression systems in the engine compartment and thermal protection of wheels. The Joint Meeting acknowledged the continued and valuable contributions of the Swedish technical institute RISE to the group’s work on fire suppression systems.</w:t>
      </w:r>
    </w:p>
    <w:p w14:paraId="193C5C53" w14:textId="77777777" w:rsidR="000327A2" w:rsidRPr="00F51E09" w:rsidRDefault="000327A2" w:rsidP="000327A2">
      <w:pPr>
        <w:tabs>
          <w:tab w:val="left" w:pos="567"/>
          <w:tab w:val="left" w:pos="1134"/>
          <w:tab w:val="left" w:pos="1800"/>
        </w:tabs>
        <w:spacing w:after="120"/>
        <w:ind w:left="1134" w:right="1134" w:hanging="1134"/>
        <w:rPr>
          <w:b/>
          <w:bCs/>
          <w:sz w:val="24"/>
          <w:szCs w:val="24"/>
        </w:rPr>
      </w:pPr>
      <w:r w:rsidRPr="00F51E09">
        <w:rPr>
          <w:b/>
          <w:bCs/>
          <w:sz w:val="24"/>
          <w:szCs w:val="24"/>
        </w:rPr>
        <w:tab/>
        <w:t>B.</w:t>
      </w:r>
      <w:r w:rsidRPr="00F51E09">
        <w:rPr>
          <w:b/>
          <w:bCs/>
          <w:sz w:val="24"/>
          <w:szCs w:val="24"/>
        </w:rPr>
        <w:tab/>
        <w:t>Informal working group on e-learning</w:t>
      </w:r>
    </w:p>
    <w:p w14:paraId="3BAEA2F6" w14:textId="77777777" w:rsidR="000327A2" w:rsidRPr="00F51E09" w:rsidRDefault="000327A2" w:rsidP="000327A2">
      <w:pPr>
        <w:pStyle w:val="SingleTxtG"/>
        <w:tabs>
          <w:tab w:val="clear" w:pos="2268"/>
        </w:tabs>
        <w:spacing w:after="0"/>
        <w:ind w:left="3402" w:hanging="2268"/>
        <w:jc w:val="left"/>
      </w:pPr>
      <w:r w:rsidRPr="00F51E09">
        <w:rPr>
          <w:i/>
        </w:rPr>
        <w:t>Document</w:t>
      </w:r>
      <w:r w:rsidRPr="00F51E09">
        <w:t>:</w:t>
      </w:r>
      <w:r w:rsidRPr="00F51E09">
        <w:tab/>
        <w:t>ECE/TRANS/WP.15/AC.1/2024/23 (Germany, IRU)</w:t>
      </w:r>
    </w:p>
    <w:p w14:paraId="35AE83CC" w14:textId="09F94FD8" w:rsidR="000327A2" w:rsidRPr="00F51E09" w:rsidRDefault="000327A2" w:rsidP="000327A2">
      <w:pPr>
        <w:pStyle w:val="SingleTxtG"/>
        <w:ind w:left="3402" w:hanging="2268"/>
        <w:jc w:val="left"/>
      </w:pPr>
      <w:r w:rsidRPr="00F51E09">
        <w:rPr>
          <w:i/>
        </w:rPr>
        <w:t>Informal documents</w:t>
      </w:r>
      <w:r w:rsidRPr="00F51E09">
        <w:t>:</w:t>
      </w:r>
      <w:r w:rsidRPr="00F51E09">
        <w:tab/>
        <w:t>INF.7/Rev.1 and INF.29/Rev.1 (Germany, IRU)</w:t>
      </w:r>
    </w:p>
    <w:p w14:paraId="0302E714" w14:textId="3C78D401" w:rsidR="000327A2" w:rsidRPr="00F51E09" w:rsidRDefault="00151892" w:rsidP="000327A2">
      <w:pPr>
        <w:pStyle w:val="SingleTxtG"/>
      </w:pPr>
      <w:r w:rsidRPr="00F51E09">
        <w:t>4</w:t>
      </w:r>
      <w:r w:rsidR="009B7E55">
        <w:t>7</w:t>
      </w:r>
      <w:r w:rsidR="000327A2" w:rsidRPr="00F51E09">
        <w:t>.</w:t>
      </w:r>
      <w:r w:rsidR="000327A2" w:rsidRPr="00F51E09">
        <w:tab/>
        <w:t>The representative of IRU reported on the progress of work made by the informal working group on e-learning during the recent meetings held in November, December 2023, and end of January 2024. The Joint Meeting noted the group’s outcome on e-learning in ADR refresher training programme as reflected in the annex to informal document INF.7/Rev.1.</w:t>
      </w:r>
    </w:p>
    <w:p w14:paraId="2167A610" w14:textId="39E4FCE8" w:rsidR="000327A2" w:rsidRPr="00F51E09" w:rsidRDefault="00151892" w:rsidP="000327A2">
      <w:pPr>
        <w:pStyle w:val="SingleTxtG"/>
      </w:pPr>
      <w:r w:rsidRPr="00F51E09">
        <w:t>4</w:t>
      </w:r>
      <w:r w:rsidR="009B7E55">
        <w:t>8</w:t>
      </w:r>
      <w:r w:rsidR="000327A2" w:rsidRPr="00F51E09">
        <w:t>.</w:t>
      </w:r>
      <w:r w:rsidR="000327A2" w:rsidRPr="00F51E09">
        <w:tab/>
        <w:t>Following lunch-time meetings of the group on 27 and 28 March 2024, the Joint Meeting acknowledged in informal document INF.29/Rev.1 that further progress was made by the group. It was also noted that the next meeting of the group was planned to be held online on 29 April 2024. Interested delegates may contact the delegates of Germany and IRU.</w:t>
      </w:r>
    </w:p>
    <w:p w14:paraId="205A6558" w14:textId="77777777" w:rsidR="000327A2" w:rsidRPr="00F51E09" w:rsidRDefault="000327A2" w:rsidP="000327A2">
      <w:pPr>
        <w:tabs>
          <w:tab w:val="left" w:pos="567"/>
          <w:tab w:val="left" w:pos="1134"/>
          <w:tab w:val="left" w:pos="1800"/>
        </w:tabs>
        <w:spacing w:after="120"/>
        <w:ind w:left="1134" w:right="1134" w:hanging="1134"/>
        <w:rPr>
          <w:b/>
          <w:bCs/>
          <w:sz w:val="24"/>
          <w:szCs w:val="24"/>
        </w:rPr>
      </w:pPr>
      <w:r w:rsidRPr="00F51E09">
        <w:rPr>
          <w:b/>
          <w:bCs/>
          <w:sz w:val="24"/>
          <w:szCs w:val="24"/>
        </w:rPr>
        <w:lastRenderedPageBreak/>
        <w:tab/>
        <w:t>C.</w:t>
      </w:r>
      <w:r w:rsidRPr="00F51E09">
        <w:rPr>
          <w:b/>
          <w:bCs/>
          <w:sz w:val="24"/>
          <w:szCs w:val="24"/>
        </w:rPr>
        <w:tab/>
        <w:t>Informal working group on the transport of hazardous waste</w:t>
      </w:r>
    </w:p>
    <w:p w14:paraId="46EEADEC" w14:textId="77777777" w:rsidR="000327A2" w:rsidRPr="00F51E09" w:rsidRDefault="000327A2" w:rsidP="000327A2">
      <w:pPr>
        <w:pStyle w:val="SingleTxtG"/>
        <w:keepNext/>
        <w:keepLines/>
        <w:ind w:left="3402" w:hanging="2268"/>
        <w:jc w:val="left"/>
      </w:pPr>
      <w:r w:rsidRPr="00F51E09">
        <w:rPr>
          <w:i/>
        </w:rPr>
        <w:t>Informal document</w:t>
      </w:r>
      <w:r w:rsidRPr="00F51E09">
        <w:t>:</w:t>
      </w:r>
      <w:r w:rsidRPr="00F51E09">
        <w:tab/>
        <w:t>INF.27 (FEAD)</w:t>
      </w:r>
    </w:p>
    <w:p w14:paraId="4D92FF1D" w14:textId="11B3A671" w:rsidR="000327A2" w:rsidRPr="00F51E09" w:rsidRDefault="00036FC4" w:rsidP="000327A2">
      <w:pPr>
        <w:pStyle w:val="SingleTxtG"/>
      </w:pPr>
      <w:r w:rsidRPr="00F51E09">
        <w:t>4</w:t>
      </w:r>
      <w:r w:rsidR="009B7E55">
        <w:t>9</w:t>
      </w:r>
      <w:r w:rsidR="000327A2" w:rsidRPr="00F51E09">
        <w:t>.</w:t>
      </w:r>
      <w:r w:rsidR="000327A2" w:rsidRPr="00F51E09">
        <w:tab/>
        <w:t xml:space="preserve">The Joint Meeting welcomed the report on the progress work made by the informal working group on the transport of hazardous waste </w:t>
      </w:r>
      <w:r w:rsidR="00801B44" w:rsidRPr="00F51E09">
        <w:t>during</w:t>
      </w:r>
      <w:r w:rsidR="000327A2" w:rsidRPr="00F51E09">
        <w:t xml:space="preserve"> its recent meeting held on 8 February 2024. To continue the group’s work, the representative of FEAD intended to organize a further meeting. Interested delegates who wish to attend the meeting or add new items on the list in paragraph 24 of informal document INF.27 may contact the representative of FEAD (aizea.astorhoschen@fead.be).</w:t>
      </w:r>
    </w:p>
    <w:p w14:paraId="1B51E736" w14:textId="77777777" w:rsidR="000327A2" w:rsidRPr="00F51E09" w:rsidRDefault="000327A2" w:rsidP="000327A2">
      <w:pPr>
        <w:pStyle w:val="HChG"/>
      </w:pPr>
      <w:bookmarkStart w:id="13" w:name="_Hlk51257529"/>
      <w:r w:rsidRPr="00F51E09">
        <w:tab/>
      </w:r>
      <w:bookmarkStart w:id="14" w:name="_Toc164258730"/>
      <w:r w:rsidRPr="00F51E09">
        <w:t>IX.</w:t>
      </w:r>
      <w:r w:rsidRPr="00F51E09">
        <w:tab/>
        <w:t>Accidents and risk management (agenda item 7)</w:t>
      </w:r>
      <w:bookmarkEnd w:id="14"/>
    </w:p>
    <w:bookmarkEnd w:id="13"/>
    <w:p w14:paraId="301FB6C5" w14:textId="39018FC9" w:rsidR="000327A2" w:rsidRPr="00F51E09" w:rsidRDefault="000327A2" w:rsidP="000327A2">
      <w:pPr>
        <w:tabs>
          <w:tab w:val="left" w:pos="567"/>
          <w:tab w:val="left" w:pos="1134"/>
          <w:tab w:val="left" w:pos="1800"/>
        </w:tabs>
        <w:spacing w:after="120"/>
        <w:ind w:left="1134" w:right="1134" w:hanging="1134"/>
        <w:rPr>
          <w:b/>
          <w:bCs/>
          <w:sz w:val="24"/>
          <w:szCs w:val="24"/>
        </w:rPr>
      </w:pPr>
      <w:r w:rsidRPr="00F51E09">
        <w:rPr>
          <w:b/>
          <w:bCs/>
          <w:sz w:val="24"/>
          <w:szCs w:val="24"/>
        </w:rPr>
        <w:tab/>
      </w:r>
      <w:r w:rsidRPr="00F51E09">
        <w:rPr>
          <w:b/>
          <w:bCs/>
          <w:sz w:val="24"/>
          <w:szCs w:val="24"/>
        </w:rPr>
        <w:tab/>
        <w:t>Report of the meeting on the improvement of transport of dangerous goods occurrence reporting</w:t>
      </w:r>
    </w:p>
    <w:p w14:paraId="4BB3673A" w14:textId="77777777" w:rsidR="000327A2" w:rsidRPr="00644BB5" w:rsidRDefault="000327A2" w:rsidP="000327A2">
      <w:pPr>
        <w:pStyle w:val="SingleTxtG"/>
        <w:tabs>
          <w:tab w:val="clear" w:pos="2268"/>
        </w:tabs>
        <w:spacing w:after="0"/>
        <w:ind w:left="2835" w:hanging="1701"/>
        <w:jc w:val="left"/>
      </w:pPr>
      <w:r w:rsidRPr="00644BB5">
        <w:rPr>
          <w:i/>
        </w:rPr>
        <w:t>Documents</w:t>
      </w:r>
      <w:r w:rsidRPr="00644BB5">
        <w:t>:</w:t>
      </w:r>
      <w:r w:rsidRPr="00644BB5">
        <w:tab/>
        <w:t>ECE/TRANS/WP.15/AC.1/2024/15 (France)</w:t>
      </w:r>
      <w:r w:rsidRPr="00644BB5">
        <w:br/>
        <w:t>ECE/TRANS/WP.15/AC.1/2024/16 (France)</w:t>
      </w:r>
    </w:p>
    <w:p w14:paraId="3C8BF6BC" w14:textId="77777777" w:rsidR="000327A2" w:rsidRPr="00644BB5" w:rsidRDefault="000327A2" w:rsidP="000327A2">
      <w:pPr>
        <w:pStyle w:val="SingleTxtG"/>
        <w:ind w:left="3402" w:hanging="2268"/>
        <w:jc w:val="left"/>
      </w:pPr>
      <w:r w:rsidRPr="00644BB5">
        <w:rPr>
          <w:i/>
        </w:rPr>
        <w:t>Informal document</w:t>
      </w:r>
      <w:r w:rsidRPr="00644BB5">
        <w:t>:</w:t>
      </w:r>
      <w:r w:rsidRPr="00644BB5">
        <w:tab/>
        <w:t>INF.19 (France)</w:t>
      </w:r>
    </w:p>
    <w:p w14:paraId="60855BE4" w14:textId="361F8444" w:rsidR="000327A2" w:rsidRPr="00F51E09" w:rsidRDefault="009B7E55" w:rsidP="000327A2">
      <w:pPr>
        <w:pStyle w:val="SingleTxtG"/>
      </w:pPr>
      <w:r>
        <w:t>50</w:t>
      </w:r>
      <w:r w:rsidR="000327A2" w:rsidRPr="00F51E09">
        <w:t>.</w:t>
      </w:r>
      <w:r w:rsidR="000327A2" w:rsidRPr="00F51E09">
        <w:tab/>
        <w:t>The Joint Meeting noted in document ECE/TRANS/WP.15/AC.1/2024/15 the report on the meeting of the informal working group held on 23-24 October 2023. Most delegations raised concern on the short-term reporting period of 72 hours after the event, which they considered as challenging and the purpose of which was called into question. Others welcomed the possibility of being able to tick the various boxes.</w:t>
      </w:r>
    </w:p>
    <w:p w14:paraId="7723329C" w14:textId="7221F6AC" w:rsidR="000327A2" w:rsidRPr="00F51E09" w:rsidRDefault="00EC313F" w:rsidP="000327A2">
      <w:pPr>
        <w:pStyle w:val="SingleTxtG"/>
      </w:pPr>
      <w:r w:rsidRPr="00F51E09">
        <w:t>5</w:t>
      </w:r>
      <w:r w:rsidR="009B7E55">
        <w:t>1</w:t>
      </w:r>
      <w:r w:rsidR="000327A2" w:rsidRPr="00F51E09">
        <w:t>.</w:t>
      </w:r>
      <w:r w:rsidR="000327A2" w:rsidRPr="00F51E09">
        <w:tab/>
        <w:t>On the reporting model in document ECE/TRANS/WP.15/AC.1/2024/16 the Joint Meeting noted only limited support and the need to clarify:</w:t>
      </w:r>
    </w:p>
    <w:p w14:paraId="1C598362" w14:textId="77777777" w:rsidR="000327A2" w:rsidRPr="00F51E09" w:rsidRDefault="000327A2" w:rsidP="000327A2">
      <w:pPr>
        <w:pStyle w:val="SingleTxtG"/>
      </w:pPr>
      <w:r w:rsidRPr="00F51E09">
        <w:tab/>
        <w:t>-</w:t>
      </w:r>
      <w:r w:rsidRPr="00F51E09">
        <w:tab/>
        <w:t>the later use of the data in the report,</w:t>
      </w:r>
    </w:p>
    <w:p w14:paraId="3112120E" w14:textId="77777777" w:rsidR="000327A2" w:rsidRPr="00F51E09" w:rsidRDefault="000327A2" w:rsidP="000327A2">
      <w:pPr>
        <w:pStyle w:val="SingleTxtG"/>
      </w:pPr>
      <w:r w:rsidRPr="00F51E09">
        <w:tab/>
        <w:t>-</w:t>
      </w:r>
      <w:r w:rsidRPr="00F51E09">
        <w:tab/>
        <w:t>the hosting of the data base on a national or international level,</w:t>
      </w:r>
    </w:p>
    <w:p w14:paraId="1D4B798E" w14:textId="77777777" w:rsidR="000327A2" w:rsidRPr="00F51E09" w:rsidRDefault="000327A2" w:rsidP="000327A2">
      <w:pPr>
        <w:pStyle w:val="SingleTxtG"/>
      </w:pPr>
      <w:r w:rsidRPr="00F51E09">
        <w:tab/>
        <w:t>-</w:t>
      </w:r>
      <w:r w:rsidRPr="00F51E09">
        <w:tab/>
        <w:t>mandatory, optional and applicable entries in the report,</w:t>
      </w:r>
    </w:p>
    <w:p w14:paraId="73830796" w14:textId="1C0119C0" w:rsidR="000327A2" w:rsidRPr="00F51E09" w:rsidRDefault="000327A2" w:rsidP="000327A2">
      <w:pPr>
        <w:pStyle w:val="SingleTxtG"/>
      </w:pPr>
      <w:r w:rsidRPr="00F51E09">
        <w:tab/>
        <w:t>-</w:t>
      </w:r>
      <w:r w:rsidRPr="00F51E09">
        <w:tab/>
        <w:t>the provisions in 1.8.5.1 and 1.8.5.3,</w:t>
      </w:r>
    </w:p>
    <w:p w14:paraId="04C6FEE1" w14:textId="77777777" w:rsidR="000327A2" w:rsidRPr="00F51E09" w:rsidRDefault="000327A2" w:rsidP="000327A2">
      <w:pPr>
        <w:pStyle w:val="SingleTxtG"/>
        <w:ind w:left="2268" w:hanging="1134"/>
      </w:pPr>
      <w:r w:rsidRPr="00F51E09">
        <w:tab/>
        <w:t>-</w:t>
      </w:r>
      <w:r w:rsidRPr="00F51E09">
        <w:tab/>
        <w:t>the harmonization of the reporting models for the three modes rail, road and inland waterway, and</w:t>
      </w:r>
    </w:p>
    <w:p w14:paraId="612CBB1A" w14:textId="77777777" w:rsidR="000327A2" w:rsidRPr="00F51E09" w:rsidRDefault="000327A2" w:rsidP="000327A2">
      <w:pPr>
        <w:pStyle w:val="SingleTxtG"/>
        <w:ind w:left="2268" w:hanging="1134"/>
      </w:pPr>
      <w:r w:rsidRPr="00F51E09">
        <w:tab/>
        <w:t>-</w:t>
      </w:r>
      <w:r w:rsidRPr="00F51E09">
        <w:tab/>
        <w:t>the subsequent risk analysis management.</w:t>
      </w:r>
    </w:p>
    <w:p w14:paraId="0C12CB96" w14:textId="3BBF49CA" w:rsidR="000327A2" w:rsidRPr="00F51E09" w:rsidRDefault="00D83D38" w:rsidP="000327A2">
      <w:pPr>
        <w:pStyle w:val="SingleTxtG"/>
      </w:pPr>
      <w:r w:rsidRPr="00F51E09">
        <w:t>5</w:t>
      </w:r>
      <w:r w:rsidR="009B7E55">
        <w:t>2</w:t>
      </w:r>
      <w:r w:rsidR="000327A2" w:rsidRPr="00F51E09">
        <w:t>.</w:t>
      </w:r>
      <w:r w:rsidR="000327A2" w:rsidRPr="00F51E09">
        <w:tab/>
        <w:t xml:space="preserve">The Joint Meeting acknowledged the work done by France. The representative of France invited all delegations to send him their written comments. In view of the comments received the Joint Meeting was of the view that the terms of reference and mandate of the group </w:t>
      </w:r>
      <w:r w:rsidR="005C4136" w:rsidRPr="00F51E09">
        <w:t>might</w:t>
      </w:r>
      <w:r w:rsidR="000327A2" w:rsidRPr="00F51E09">
        <w:t xml:space="preserve"> be reviewed to see if they were still appropriate. </w:t>
      </w:r>
    </w:p>
    <w:p w14:paraId="69F7FCFA" w14:textId="77777777" w:rsidR="005F5FC6" w:rsidRPr="00F51E09" w:rsidRDefault="005F5FC6" w:rsidP="005F5FC6">
      <w:pPr>
        <w:pStyle w:val="HChG"/>
      </w:pPr>
      <w:r w:rsidRPr="00F51E09">
        <w:tab/>
      </w:r>
      <w:bookmarkStart w:id="15" w:name="_Toc164258731"/>
      <w:r w:rsidRPr="00F51E09">
        <w:t>X.</w:t>
      </w:r>
      <w:r w:rsidRPr="00F51E09">
        <w:tab/>
        <w:t>United Nations 2030 Agenda for Sustainable Development (agenda item 8)</w:t>
      </w:r>
      <w:bookmarkEnd w:id="15"/>
    </w:p>
    <w:p w14:paraId="69B0E2E0" w14:textId="500170AD" w:rsidR="005F5FC6" w:rsidRPr="00644BB5" w:rsidRDefault="005F5FC6" w:rsidP="005F5FC6">
      <w:pPr>
        <w:pStyle w:val="SingleTxtG"/>
        <w:ind w:left="3402" w:hanging="2268"/>
        <w:jc w:val="left"/>
      </w:pPr>
      <w:r w:rsidRPr="00644BB5">
        <w:rPr>
          <w:i/>
        </w:rPr>
        <w:t>Informal document</w:t>
      </w:r>
      <w:r w:rsidRPr="00644BB5">
        <w:t>:</w:t>
      </w:r>
      <w:r w:rsidRPr="00644BB5">
        <w:tab/>
        <w:t>INF.31 (Secretariat)</w:t>
      </w:r>
    </w:p>
    <w:p w14:paraId="41FCA655" w14:textId="2D40AF48" w:rsidR="005F5FC6" w:rsidRPr="00F51E09" w:rsidRDefault="00D83D38" w:rsidP="005F5FC6">
      <w:pPr>
        <w:pStyle w:val="SingleTxtG"/>
      </w:pPr>
      <w:r w:rsidRPr="00F51E09">
        <w:t>5</w:t>
      </w:r>
      <w:r w:rsidR="009B7E55">
        <w:t>3</w:t>
      </w:r>
      <w:r w:rsidR="005F5FC6" w:rsidRPr="00F51E09">
        <w:t>.</w:t>
      </w:r>
      <w:r w:rsidR="005F5FC6" w:rsidRPr="00F51E09">
        <w:tab/>
        <w:t>The Joint Meeting noted a first evaluation of the contributions by its representative</w:t>
      </w:r>
      <w:r w:rsidR="00D15BC7" w:rsidRPr="00F51E09">
        <w:t>s</w:t>
      </w:r>
      <w:r w:rsidR="005F5FC6" w:rsidRPr="00F51E09">
        <w:t xml:space="preserve"> </w:t>
      </w:r>
      <w:r w:rsidR="009536DD" w:rsidRPr="00F51E09">
        <w:t>on</w:t>
      </w:r>
      <w:r w:rsidR="005F5FC6" w:rsidRPr="00F51E09">
        <w:t xml:space="preserve"> the interlinkage of their work to the United Nations Sustainable Development Goals (SDGs). Delegations welcomed the useful information and encouraged the secretariat to keep the Joint Meeting regularly updated.</w:t>
      </w:r>
    </w:p>
    <w:p w14:paraId="1485E77E" w14:textId="259115BB" w:rsidR="005F5FC6" w:rsidRPr="00F51E09" w:rsidRDefault="006744A6" w:rsidP="005F5FC6">
      <w:pPr>
        <w:pStyle w:val="SingleTxtG"/>
      </w:pPr>
      <w:r w:rsidRPr="00F51E09">
        <w:t>5</w:t>
      </w:r>
      <w:r w:rsidR="009B7E55">
        <w:t>4</w:t>
      </w:r>
      <w:r w:rsidR="005F5FC6" w:rsidRPr="00F51E09">
        <w:t>.</w:t>
      </w:r>
      <w:r w:rsidR="005F5FC6" w:rsidRPr="00F51E09">
        <w:tab/>
        <w:t>Delegates were reminded that more detailed information on SDGs was available on the UNECE website</w:t>
      </w:r>
      <w:r w:rsidR="005F5FC6" w:rsidRPr="00F51E09">
        <w:rPr>
          <w:rStyle w:val="FootnoteReference"/>
        </w:rPr>
        <w:footnoteReference w:id="2"/>
      </w:r>
      <w:r w:rsidR="005F5FC6" w:rsidRPr="00F51E09">
        <w:t xml:space="preserve"> and were invited to continue inserting in their future proposals </w:t>
      </w:r>
      <w:r w:rsidR="005F5FC6" w:rsidRPr="00F51E09">
        <w:lastRenderedPageBreak/>
        <w:t>information on the link of their proposal to the Sustainable Development Goals and targets, if applicable.</w:t>
      </w:r>
    </w:p>
    <w:p w14:paraId="74E26ADE" w14:textId="77777777" w:rsidR="00566C28" w:rsidRPr="00F51E09" w:rsidRDefault="00566C28" w:rsidP="00566C28">
      <w:pPr>
        <w:pStyle w:val="HChG"/>
        <w:keepNext w:val="0"/>
        <w:keepLines w:val="0"/>
        <w:spacing w:before="240"/>
      </w:pPr>
      <w:r w:rsidRPr="00F51E09">
        <w:tab/>
      </w:r>
      <w:bookmarkStart w:id="16" w:name="_Toc164258732"/>
      <w:r w:rsidRPr="00F51E09">
        <w:t>XI.</w:t>
      </w:r>
      <w:r w:rsidRPr="00F51E09">
        <w:tab/>
        <w:t>Future work (agenda item 9)</w:t>
      </w:r>
      <w:bookmarkEnd w:id="16"/>
    </w:p>
    <w:p w14:paraId="2D2AAA9B" w14:textId="49FB5FBB" w:rsidR="00566C28" w:rsidRPr="00F51E09" w:rsidRDefault="00E41C1E" w:rsidP="00566C28">
      <w:pPr>
        <w:pStyle w:val="SingleTxtG"/>
        <w:spacing w:line="240" w:lineRule="auto"/>
      </w:pPr>
      <w:r w:rsidRPr="00F51E09">
        <w:t>5</w:t>
      </w:r>
      <w:r w:rsidR="009B7E55">
        <w:t>5</w:t>
      </w:r>
      <w:r w:rsidR="00566C28" w:rsidRPr="00F51E09">
        <w:t>.</w:t>
      </w:r>
      <w:r w:rsidR="00566C28" w:rsidRPr="00F51E09">
        <w:tab/>
        <w:t>The Joint Meeting was informed that the next session would be held in Geneva from 9 to 13 September 2024 and that the deadline for submission of documents was 14 June 2024. The spring 2025 session of the Joint Meeting would be held in Berne from 24 to 28 March 2025.</w:t>
      </w:r>
    </w:p>
    <w:p w14:paraId="58DFBBC6" w14:textId="4B9456A2" w:rsidR="00566C28" w:rsidRPr="00F51E09" w:rsidRDefault="00BE3600" w:rsidP="00566C28">
      <w:pPr>
        <w:pStyle w:val="SingleTxtG"/>
        <w:spacing w:line="240" w:lineRule="auto"/>
      </w:pPr>
      <w:r w:rsidRPr="00F51E09">
        <w:t>5</w:t>
      </w:r>
      <w:r w:rsidR="009B7E55">
        <w:t>6</w:t>
      </w:r>
      <w:r w:rsidR="00566C28" w:rsidRPr="00F51E09">
        <w:t>.</w:t>
      </w:r>
      <w:r w:rsidR="00566C28" w:rsidRPr="00F51E09">
        <w:tab/>
        <w:t>It was noted that the forthcoming session of the Ad hoc Working Group on the Harmonization of RID/ADR/ADN with the United Nations Recommendations on the Transport of Dangerous Goods was scheduled to be held in Geneva on 15 and 16 April 2025.</w:t>
      </w:r>
    </w:p>
    <w:p w14:paraId="1A336F00" w14:textId="77777777" w:rsidR="00566C28" w:rsidRPr="00F51E09" w:rsidRDefault="00566C28" w:rsidP="00566C28">
      <w:pPr>
        <w:pStyle w:val="HChG"/>
        <w:keepNext w:val="0"/>
        <w:keepLines w:val="0"/>
      </w:pPr>
      <w:r w:rsidRPr="00F51E09">
        <w:tab/>
      </w:r>
      <w:bookmarkStart w:id="17" w:name="_Toc164258733"/>
      <w:r w:rsidRPr="00F51E09">
        <w:t>XII.</w:t>
      </w:r>
      <w:r w:rsidRPr="00F51E09">
        <w:tab/>
        <w:t>Any other business (agenda item 10)</w:t>
      </w:r>
      <w:bookmarkEnd w:id="17"/>
    </w:p>
    <w:p w14:paraId="42362532" w14:textId="64AC42AA" w:rsidR="00566C28" w:rsidRPr="00F51E09" w:rsidRDefault="00566C28" w:rsidP="00566C28">
      <w:pPr>
        <w:tabs>
          <w:tab w:val="left" w:pos="567"/>
          <w:tab w:val="left" w:pos="1134"/>
          <w:tab w:val="left" w:pos="1800"/>
        </w:tabs>
        <w:spacing w:after="120"/>
        <w:rPr>
          <w:b/>
          <w:bCs/>
          <w:sz w:val="24"/>
          <w:szCs w:val="24"/>
        </w:rPr>
      </w:pPr>
      <w:r w:rsidRPr="00F51E09">
        <w:rPr>
          <w:b/>
          <w:bCs/>
          <w:sz w:val="24"/>
          <w:szCs w:val="24"/>
        </w:rPr>
        <w:tab/>
      </w:r>
      <w:r w:rsidRPr="00F51E09">
        <w:rPr>
          <w:b/>
          <w:bCs/>
          <w:sz w:val="24"/>
          <w:szCs w:val="24"/>
        </w:rPr>
        <w:tab/>
        <w:t>Tributes</w:t>
      </w:r>
    </w:p>
    <w:p w14:paraId="323DD2F8" w14:textId="14CC6C8E" w:rsidR="00566C28" w:rsidRPr="00F51E09" w:rsidRDefault="00D85E27" w:rsidP="00566C28">
      <w:pPr>
        <w:pStyle w:val="SingleTxtG"/>
        <w:spacing w:line="240" w:lineRule="auto"/>
      </w:pPr>
      <w:r w:rsidRPr="00F51E09">
        <w:t>5</w:t>
      </w:r>
      <w:r w:rsidR="009B7E55">
        <w:t>7</w:t>
      </w:r>
      <w:r w:rsidR="00566C28" w:rsidRPr="00F51E09">
        <w:t>.</w:t>
      </w:r>
      <w:r w:rsidR="00566C28" w:rsidRPr="00F51E09">
        <w:tab/>
        <w:t xml:space="preserve">The Joint Meeting noted that Mr. Wolfgang </w:t>
      </w:r>
      <w:proofErr w:type="spellStart"/>
      <w:r w:rsidR="00566C28" w:rsidRPr="00F51E09">
        <w:t>Küpper</w:t>
      </w:r>
      <w:proofErr w:type="spellEnd"/>
      <w:r w:rsidR="00566C28" w:rsidRPr="00F51E09">
        <w:t xml:space="preserve"> (Secretary General of OTIF) would retire by the end of the year, thanked him for the continued support and wished him all the best for the future and a happy retirement.</w:t>
      </w:r>
    </w:p>
    <w:p w14:paraId="08D34BD7" w14:textId="016D460D" w:rsidR="00566C28" w:rsidRPr="00F51E09" w:rsidRDefault="00D85E27" w:rsidP="00566C28">
      <w:pPr>
        <w:pStyle w:val="SingleTxtG"/>
        <w:spacing w:line="240" w:lineRule="auto"/>
      </w:pPr>
      <w:r w:rsidRPr="00F51E09">
        <w:t>5</w:t>
      </w:r>
      <w:r w:rsidR="009B7E55">
        <w:t>8</w:t>
      </w:r>
      <w:r w:rsidR="00566C28" w:rsidRPr="00F51E09">
        <w:t>.</w:t>
      </w:r>
      <w:r w:rsidR="00566C28" w:rsidRPr="00F51E09">
        <w:tab/>
        <w:t>Learning that Mr. Yuwei Li (Director of the Sustainable Transport Division) will retire soon, the Joint Meeting wished him all the best for a long and happy retirement too.</w:t>
      </w:r>
    </w:p>
    <w:p w14:paraId="2D111F1E" w14:textId="5825189E" w:rsidR="00566C28" w:rsidRPr="00F51E09" w:rsidRDefault="00D85E27" w:rsidP="00566C28">
      <w:pPr>
        <w:pStyle w:val="SingleTxtG"/>
        <w:spacing w:line="240" w:lineRule="auto"/>
      </w:pPr>
      <w:r w:rsidRPr="00F51E09">
        <w:t>5</w:t>
      </w:r>
      <w:r w:rsidR="009B7E55">
        <w:t>9</w:t>
      </w:r>
      <w:r w:rsidR="00566C28" w:rsidRPr="00F51E09">
        <w:t>.</w:t>
      </w:r>
      <w:r w:rsidR="00566C28" w:rsidRPr="00F51E09">
        <w:tab/>
        <w:t xml:space="preserve">The Joint Meeting was informed that Mr. </w:t>
      </w:r>
      <w:proofErr w:type="spellStart"/>
      <w:r w:rsidR="00566C28" w:rsidRPr="00F51E09">
        <w:t>Alfons</w:t>
      </w:r>
      <w:proofErr w:type="spellEnd"/>
      <w:r w:rsidR="00566C28" w:rsidRPr="00F51E09">
        <w:t xml:space="preserve"> Hoffmann (Germany) will retire soon and will no longer attend future sessions. It acknowledged his commitment and his valuable contributions to the work of the Joint Meeting for more than three decades and wished him a long and happy retirement.</w:t>
      </w:r>
    </w:p>
    <w:p w14:paraId="04E39B97" w14:textId="5505C0C6" w:rsidR="00566C28" w:rsidRPr="00F51E09" w:rsidRDefault="009B7E55" w:rsidP="00566C28">
      <w:pPr>
        <w:pStyle w:val="SingleTxtG"/>
        <w:spacing w:line="240" w:lineRule="auto"/>
      </w:pPr>
      <w:r>
        <w:t>60</w:t>
      </w:r>
      <w:r w:rsidR="00566C28" w:rsidRPr="00F51E09">
        <w:t>.</w:t>
      </w:r>
      <w:r w:rsidR="00566C28" w:rsidRPr="00F51E09">
        <w:tab/>
      </w:r>
      <w:r w:rsidR="001A4880" w:rsidRPr="00F51E09">
        <w:t xml:space="preserve">Learning that Mr. Claude </w:t>
      </w:r>
      <w:proofErr w:type="spellStart"/>
      <w:r w:rsidR="001A4880" w:rsidRPr="00F51E09">
        <w:t>Despont</w:t>
      </w:r>
      <w:proofErr w:type="spellEnd"/>
      <w:r w:rsidR="001A4880" w:rsidRPr="00F51E09">
        <w:t xml:space="preserve"> (</w:t>
      </w:r>
      <w:r w:rsidR="002D7EBC" w:rsidRPr="00F51E09">
        <w:t>Switzerland</w:t>
      </w:r>
      <w:r w:rsidR="001A4880" w:rsidRPr="00F51E09">
        <w:t xml:space="preserve">) </w:t>
      </w:r>
      <w:r w:rsidR="0006765B" w:rsidRPr="00F51E09">
        <w:t>decided to take his</w:t>
      </w:r>
      <w:r w:rsidR="001A4880" w:rsidRPr="00F51E09">
        <w:t xml:space="preserve"> retire</w:t>
      </w:r>
      <w:r w:rsidR="0006765B" w:rsidRPr="00F51E09">
        <w:t>ment</w:t>
      </w:r>
      <w:r w:rsidR="00E75B62" w:rsidRPr="00F51E09">
        <w:t xml:space="preserve"> and </w:t>
      </w:r>
      <w:r w:rsidR="0006765B" w:rsidRPr="00F51E09">
        <w:t xml:space="preserve">therefore </w:t>
      </w:r>
      <w:r w:rsidR="00E75B62" w:rsidRPr="00F51E09">
        <w:t>no longer attend future sessions,</w:t>
      </w:r>
      <w:r w:rsidR="001A4880" w:rsidRPr="00F51E09">
        <w:t xml:space="preserve"> the Joint Meeting</w:t>
      </w:r>
      <w:r w:rsidR="00E75B62" w:rsidRPr="00F51E09">
        <w:t xml:space="preserve"> thank</w:t>
      </w:r>
      <w:r w:rsidR="00EE5E7E" w:rsidRPr="00F51E09">
        <w:t>ed</w:t>
      </w:r>
      <w:r w:rsidR="00E75B62" w:rsidRPr="00F51E09">
        <w:t xml:space="preserve"> him for</w:t>
      </w:r>
      <w:r w:rsidR="001A4880" w:rsidRPr="00F51E09">
        <w:t xml:space="preserve"> </w:t>
      </w:r>
      <w:r w:rsidR="00EE5E7E" w:rsidRPr="00F51E09">
        <w:t xml:space="preserve">his </w:t>
      </w:r>
      <w:r w:rsidR="00E75B62" w:rsidRPr="00F51E09">
        <w:t xml:space="preserve">contributions </w:t>
      </w:r>
      <w:r w:rsidR="00AD7960">
        <w:t>to</w:t>
      </w:r>
      <w:r w:rsidR="00E75B62" w:rsidRPr="00F51E09">
        <w:t xml:space="preserve"> the working group on tanks and </w:t>
      </w:r>
      <w:r w:rsidR="001A4880" w:rsidRPr="00F51E09">
        <w:t>wished him a long and happy retirement</w:t>
      </w:r>
      <w:r w:rsidR="00337779" w:rsidRPr="00F51E09">
        <w:t>.</w:t>
      </w:r>
    </w:p>
    <w:p w14:paraId="2AD4B398" w14:textId="58C13D60" w:rsidR="00566C28" w:rsidRPr="00F51E09" w:rsidRDefault="00D85E27" w:rsidP="00566C28">
      <w:pPr>
        <w:pStyle w:val="SingleTxtG"/>
        <w:spacing w:line="240" w:lineRule="auto"/>
      </w:pPr>
      <w:r w:rsidRPr="00F51E09">
        <w:t>6</w:t>
      </w:r>
      <w:r w:rsidR="009B7E55">
        <w:t>1</w:t>
      </w:r>
      <w:r w:rsidR="00566C28" w:rsidRPr="00F51E09">
        <w:t>.</w:t>
      </w:r>
      <w:r w:rsidR="00566C28" w:rsidRPr="00F51E09">
        <w:tab/>
        <w:t>The Joint Meeting noted that Ms. Christine Barrio-Champeau who had provided with great devotion secretariat services since 2011 has retired recently. It acknowledged her dedication during all the years of service and her assistance during the sessions of the Joint Meeting for more than a decade and wished her also a long and happy retirement.</w:t>
      </w:r>
    </w:p>
    <w:p w14:paraId="3CFA897D" w14:textId="5E4371CB" w:rsidR="00566C28" w:rsidRPr="00F51E09" w:rsidRDefault="00566C28" w:rsidP="00566C28">
      <w:pPr>
        <w:pStyle w:val="HChG"/>
        <w:spacing w:before="240"/>
      </w:pPr>
      <w:r w:rsidRPr="00F51E09">
        <w:tab/>
      </w:r>
      <w:bookmarkStart w:id="18" w:name="_Toc164258734"/>
      <w:r w:rsidRPr="00F51E09">
        <w:t>XIII.</w:t>
      </w:r>
      <w:r w:rsidRPr="00F51E09">
        <w:tab/>
        <w:t>Adoption of the report (agenda item 11)</w:t>
      </w:r>
      <w:bookmarkEnd w:id="18"/>
    </w:p>
    <w:p w14:paraId="72794DE2" w14:textId="5C7169BD" w:rsidR="00566C28" w:rsidRPr="00F51E09" w:rsidRDefault="005F19BA" w:rsidP="00566C28">
      <w:pPr>
        <w:pStyle w:val="SingleTxtG"/>
        <w:keepNext/>
        <w:keepLines/>
        <w:spacing w:line="240" w:lineRule="auto"/>
      </w:pPr>
      <w:r w:rsidRPr="00F51E09">
        <w:t>6</w:t>
      </w:r>
      <w:r w:rsidR="009B7E55">
        <w:t>2</w:t>
      </w:r>
      <w:r w:rsidR="00566C28" w:rsidRPr="00F51E09">
        <w:t>.</w:t>
      </w:r>
      <w:r w:rsidR="00566C28" w:rsidRPr="00F51E09">
        <w:tab/>
        <w:t>The Joint Meeting adopted the report on its spring 2024 session and its annexes based on a draft prepared by the secretariat.</w:t>
      </w:r>
    </w:p>
    <w:p w14:paraId="32ADD043" w14:textId="77777777" w:rsidR="00566C28" w:rsidRPr="00F51E09" w:rsidRDefault="00566C28" w:rsidP="00566C28">
      <w:pPr>
        <w:jc w:val="center"/>
      </w:pPr>
      <w:r w:rsidRPr="00F51E09">
        <w:t>_______________________</w:t>
      </w:r>
    </w:p>
    <w:p w14:paraId="1C5172B2" w14:textId="44DCE8F5" w:rsidR="0014735B" w:rsidRPr="00F51E09" w:rsidRDefault="0014735B">
      <w:r w:rsidRPr="00F51E09">
        <w:br w:type="page"/>
      </w:r>
    </w:p>
    <w:p w14:paraId="258C808D" w14:textId="2102B9BE" w:rsidR="00084CD6" w:rsidRPr="00F51E09" w:rsidRDefault="00084CD6" w:rsidP="00084CD6">
      <w:pPr>
        <w:pStyle w:val="HChG"/>
        <w:tabs>
          <w:tab w:val="left" w:pos="4536"/>
          <w:tab w:val="right" w:pos="8505"/>
        </w:tabs>
      </w:pPr>
      <w:bookmarkStart w:id="19" w:name="_Toc164258735"/>
      <w:r w:rsidRPr="00F51E09">
        <w:lastRenderedPageBreak/>
        <w:t>Annex I</w:t>
      </w:r>
      <w:bookmarkEnd w:id="19"/>
    </w:p>
    <w:p w14:paraId="1A2C6051" w14:textId="77777777" w:rsidR="00084CD6" w:rsidRPr="00F51E09" w:rsidRDefault="00084CD6" w:rsidP="00084CD6">
      <w:pPr>
        <w:pStyle w:val="HChG"/>
      </w:pPr>
      <w:r w:rsidRPr="00F51E09">
        <w:tab/>
      </w:r>
      <w:r w:rsidRPr="00F51E09">
        <w:tab/>
      </w:r>
      <w:bookmarkStart w:id="20" w:name="_Toc164258736"/>
      <w:r w:rsidRPr="00F51E09">
        <w:t>Report of the Working Group on Tanks</w:t>
      </w:r>
      <w:bookmarkEnd w:id="20"/>
    </w:p>
    <w:p w14:paraId="3377B4A8" w14:textId="2AB5CF24" w:rsidR="00084CD6" w:rsidRPr="00F51E09" w:rsidRDefault="00084CD6" w:rsidP="00084CD6">
      <w:pPr>
        <w:ind w:left="567" w:firstLine="567"/>
      </w:pPr>
      <w:bookmarkStart w:id="21" w:name="_Hlk53066336"/>
      <w:r w:rsidRPr="00F51E09">
        <w:t>(see ECE/TRANS/WP.15/AC.1/1</w:t>
      </w:r>
      <w:r w:rsidR="001D6F1C" w:rsidRPr="00F51E09">
        <w:t>72</w:t>
      </w:r>
      <w:r w:rsidRPr="00F51E09">
        <w:t>/Add.1)</w:t>
      </w:r>
      <w:bookmarkEnd w:id="21"/>
    </w:p>
    <w:p w14:paraId="125A5179" w14:textId="77777777" w:rsidR="00084CD6" w:rsidRPr="00F51E09" w:rsidRDefault="00084CD6" w:rsidP="00084CD6">
      <w:pPr>
        <w:pStyle w:val="SingleTxtG"/>
      </w:pPr>
    </w:p>
    <w:p w14:paraId="0FDBE008" w14:textId="77777777" w:rsidR="00084CD6" w:rsidRPr="00F51E09" w:rsidRDefault="00084CD6" w:rsidP="00084CD6">
      <w:pPr>
        <w:spacing w:line="240" w:lineRule="auto"/>
        <w:rPr>
          <w:b/>
          <w:sz w:val="28"/>
        </w:rPr>
      </w:pPr>
      <w:r w:rsidRPr="00F51E09">
        <w:br w:type="page"/>
      </w:r>
    </w:p>
    <w:p w14:paraId="3D9C5925" w14:textId="77777777" w:rsidR="006C104C" w:rsidRDefault="00084CD6" w:rsidP="00424122">
      <w:pPr>
        <w:pStyle w:val="HChG"/>
        <w:tabs>
          <w:tab w:val="left" w:pos="4536"/>
        </w:tabs>
      </w:pPr>
      <w:bookmarkStart w:id="22" w:name="_Toc164258737"/>
      <w:r w:rsidRPr="00F51E09">
        <w:lastRenderedPageBreak/>
        <w:t>Annex II</w:t>
      </w:r>
      <w:bookmarkEnd w:id="22"/>
    </w:p>
    <w:p w14:paraId="012E5539" w14:textId="7E9F3AB6" w:rsidR="00084CD6" w:rsidRPr="006C104C" w:rsidRDefault="00FB6E67" w:rsidP="00C25339">
      <w:pPr>
        <w:pStyle w:val="HChG"/>
        <w:tabs>
          <w:tab w:val="left" w:pos="4536"/>
        </w:tabs>
        <w:jc w:val="right"/>
        <w:rPr>
          <w:sz w:val="20"/>
        </w:rPr>
      </w:pPr>
      <w:r w:rsidRPr="006C104C">
        <w:rPr>
          <w:rStyle w:val="ui-provider"/>
          <w:b w:val="0"/>
          <w:bCs/>
          <w:sz w:val="20"/>
        </w:rPr>
        <w:t>[Original: English and French]</w:t>
      </w:r>
    </w:p>
    <w:p w14:paraId="6525D21E" w14:textId="4D124BD8" w:rsidR="007700D0" w:rsidRPr="00F51E09" w:rsidRDefault="007700D0" w:rsidP="007700D0">
      <w:pPr>
        <w:pStyle w:val="HChG"/>
      </w:pPr>
      <w:r w:rsidRPr="00F51E09">
        <w:tab/>
      </w:r>
      <w:r w:rsidRPr="00F51E09">
        <w:tab/>
      </w:r>
      <w:r w:rsidRPr="00F51E09">
        <w:tab/>
      </w:r>
      <w:bookmarkStart w:id="23" w:name="_Toc164258738"/>
      <w:r w:rsidRPr="00F51E09">
        <w:t>Draft amendments to RID, ADR and ADN for entry into force on 1 January 2025</w:t>
      </w:r>
      <w:bookmarkEnd w:id="23"/>
    </w:p>
    <w:p w14:paraId="0F733ED6" w14:textId="77777777" w:rsidR="009A44B8" w:rsidRPr="00F51E09" w:rsidRDefault="009A44B8" w:rsidP="009A44B8">
      <w:pPr>
        <w:pStyle w:val="H23G"/>
      </w:pPr>
      <w:r w:rsidRPr="00F51E09">
        <w:tab/>
      </w:r>
      <w:r w:rsidRPr="00F51E09">
        <w:tab/>
        <w:t>Chapter 1.1</w:t>
      </w:r>
    </w:p>
    <w:p w14:paraId="533E4EAA" w14:textId="51F48D7C" w:rsidR="009A44B8" w:rsidRPr="00F51E09" w:rsidRDefault="009A44B8" w:rsidP="009A44B8">
      <w:pPr>
        <w:pStyle w:val="SingleTxtG"/>
      </w:pPr>
      <w:r w:rsidRPr="00644BB5">
        <w:rPr>
          <w:bCs/>
        </w:rPr>
        <w:t>1.1.3.7</w:t>
      </w:r>
      <w:r w:rsidRPr="00644BB5">
        <w:rPr>
          <w:bCs/>
        </w:rPr>
        <w:tab/>
      </w:r>
      <w:r w:rsidR="00B81C09">
        <w:tab/>
      </w:r>
      <w:r w:rsidR="00B81C09">
        <w:rPr>
          <w:bCs/>
        </w:rPr>
        <w:t>Not applicable to English</w:t>
      </w:r>
      <w:r w:rsidR="00C5646D">
        <w:rPr>
          <w:bCs/>
        </w:rPr>
        <w:t>.</w:t>
      </w:r>
    </w:p>
    <w:p w14:paraId="185CAF12" w14:textId="77777777" w:rsidR="009A44B8" w:rsidRPr="00F51E09" w:rsidRDefault="009A44B8" w:rsidP="009A44B8">
      <w:pPr>
        <w:pStyle w:val="H23G"/>
      </w:pPr>
      <w:r w:rsidRPr="00F51E09">
        <w:tab/>
      </w:r>
      <w:r w:rsidRPr="00F51E09">
        <w:tab/>
        <w:t>Chapter 1.2</w:t>
      </w:r>
    </w:p>
    <w:p w14:paraId="36B4FAD0" w14:textId="3B36FC8A" w:rsidR="009A44B8" w:rsidRPr="00644BB5" w:rsidRDefault="009A44B8" w:rsidP="009A44B8">
      <w:pPr>
        <w:pStyle w:val="SingleTxtG"/>
        <w:rPr>
          <w:bCs/>
        </w:rPr>
      </w:pPr>
      <w:r w:rsidRPr="00644BB5">
        <w:rPr>
          <w:bCs/>
        </w:rPr>
        <w:t>1.2.1</w:t>
      </w:r>
      <w:r w:rsidRPr="00644BB5">
        <w:rPr>
          <w:bCs/>
        </w:rPr>
        <w:tab/>
      </w:r>
      <w:r w:rsidR="00B0247B" w:rsidRPr="00042C15">
        <w:rPr>
          <w:bCs/>
        </w:rPr>
        <w:t>Not applicable to English</w:t>
      </w:r>
      <w:r w:rsidR="00C5646D">
        <w:rPr>
          <w:bCs/>
        </w:rPr>
        <w:t>.</w:t>
      </w:r>
    </w:p>
    <w:p w14:paraId="5806DD05" w14:textId="10573E9D" w:rsidR="009A44B8" w:rsidRPr="00F51E09" w:rsidRDefault="009A44B8" w:rsidP="009A44B8">
      <w:pPr>
        <w:pStyle w:val="SingleTxtG"/>
      </w:pPr>
      <w:r w:rsidRPr="00644BB5">
        <w:rPr>
          <w:bCs/>
        </w:rPr>
        <w:t>1.2.2.1</w:t>
      </w:r>
      <w:r w:rsidR="00B0247B">
        <w:rPr>
          <w:b/>
        </w:rPr>
        <w:tab/>
      </w:r>
      <w:r w:rsidRPr="00F51E09">
        <w:tab/>
        <w:t>In the table, in the row for "Mass", in the third column, replace "t (ton)" by:</w:t>
      </w:r>
    </w:p>
    <w:p w14:paraId="1A59F265" w14:textId="77777777" w:rsidR="009A44B8" w:rsidRPr="00644BB5" w:rsidRDefault="009A44B8" w:rsidP="009A44B8">
      <w:pPr>
        <w:pStyle w:val="SingleTxtG"/>
      </w:pPr>
      <w:r w:rsidRPr="00644BB5">
        <w:t>"t (tonne)".</w:t>
      </w:r>
    </w:p>
    <w:p w14:paraId="07B4BD8C" w14:textId="0843846C" w:rsidR="009A44B8" w:rsidRPr="00644BB5" w:rsidRDefault="00AA5B40" w:rsidP="009A44B8">
      <w:pPr>
        <w:pStyle w:val="SingleTxtG"/>
        <w:rPr>
          <w:i/>
          <w:iCs/>
        </w:rPr>
      </w:pPr>
      <w:r>
        <w:rPr>
          <w:i/>
          <w:iCs/>
        </w:rPr>
        <w:t>(</w:t>
      </w:r>
      <w:r w:rsidR="009A44B8" w:rsidRPr="00644BB5">
        <w:rPr>
          <w:i/>
          <w:iCs/>
        </w:rPr>
        <w:t>Reference document: informal document INF.12</w:t>
      </w:r>
      <w:r w:rsidR="00B84E67">
        <w:rPr>
          <w:i/>
          <w:iCs/>
        </w:rPr>
        <w:t>)</w:t>
      </w:r>
    </w:p>
    <w:p w14:paraId="76FAC042" w14:textId="328D5215" w:rsidR="007700D0" w:rsidRPr="00644BB5" w:rsidRDefault="007700D0" w:rsidP="007700D0">
      <w:pPr>
        <w:pStyle w:val="H23G"/>
      </w:pPr>
      <w:r w:rsidRPr="00644BB5">
        <w:tab/>
      </w:r>
      <w:r w:rsidRPr="00644BB5">
        <w:tab/>
        <w:t>Chapter 1.4</w:t>
      </w:r>
    </w:p>
    <w:p w14:paraId="0CAE8B62" w14:textId="77777777" w:rsidR="007700D0" w:rsidRPr="00F51E09" w:rsidRDefault="007700D0" w:rsidP="007700D0">
      <w:pPr>
        <w:pStyle w:val="SingleTxtG"/>
      </w:pPr>
      <w:r w:rsidRPr="00644BB5">
        <w:rPr>
          <w:bCs/>
        </w:rPr>
        <w:t>1.4.2.1.1</w:t>
      </w:r>
      <w:r w:rsidRPr="00F51E09">
        <w:tab/>
        <w:t>At the end of sub-paragraph (e), replace the semicolon by a full stop.</w:t>
      </w:r>
    </w:p>
    <w:p w14:paraId="1F25D531" w14:textId="77777777" w:rsidR="007700D0" w:rsidRPr="00F51E09" w:rsidRDefault="007700D0" w:rsidP="007700D0">
      <w:pPr>
        <w:pStyle w:val="SingleTxtG"/>
      </w:pPr>
      <w:r w:rsidRPr="00F51E09">
        <w:t>Add the following new sub-paragraph (f):</w:t>
      </w:r>
    </w:p>
    <w:p w14:paraId="0970812F" w14:textId="77777777" w:rsidR="007700D0" w:rsidRPr="00F51E09" w:rsidRDefault="007700D0" w:rsidP="007700D0">
      <w:pPr>
        <w:pStyle w:val="SingleTxtG"/>
      </w:pPr>
      <w:r w:rsidRPr="00F51E09">
        <w:t>(RID:)</w:t>
      </w:r>
    </w:p>
    <w:p w14:paraId="3C18AD62" w14:textId="77777777" w:rsidR="007700D0" w:rsidRPr="00F51E09" w:rsidRDefault="007700D0" w:rsidP="007700D0">
      <w:pPr>
        <w:pStyle w:val="SingleTxtG"/>
      </w:pPr>
      <w:r w:rsidRPr="00F51E09">
        <w:t>"(f)</w:t>
      </w:r>
      <w:r w:rsidRPr="00F51E09">
        <w:tab/>
        <w:t>in the case of tanks carrying refrigerated liquefied gases ensure that the actual holding time is determined or, in the case of empty, uncleaned tanks, ensure that the pressure is sufficiently reduced."</w:t>
      </w:r>
    </w:p>
    <w:p w14:paraId="19C0631E" w14:textId="77777777" w:rsidR="007700D0" w:rsidRPr="00F51E09" w:rsidRDefault="007700D0" w:rsidP="007700D0">
      <w:pPr>
        <w:pStyle w:val="SingleTxtG"/>
      </w:pPr>
      <w:r w:rsidRPr="00F51E09">
        <w:t>(ADR:)</w:t>
      </w:r>
    </w:p>
    <w:p w14:paraId="04A73990" w14:textId="77777777" w:rsidR="007700D0" w:rsidRPr="00F51E09" w:rsidRDefault="007700D0" w:rsidP="007700D0">
      <w:pPr>
        <w:pStyle w:val="SingleTxtG"/>
      </w:pPr>
      <w:r w:rsidRPr="00F51E09">
        <w:t>"(f)</w:t>
      </w:r>
      <w:r w:rsidRPr="00F51E09">
        <w:tab/>
        <w:t>In the case of tank-containers and portable tanks carrying refrigerated liquefied gases ensure that the actual holding time is determined if applicable or, in the case of empty, uncleaned tank-containers and portable tanks, ensure that the pressure is sufficiently reduced."</w:t>
      </w:r>
    </w:p>
    <w:p w14:paraId="1E57FD9D" w14:textId="0DAC0CAF" w:rsidR="007700D0" w:rsidRPr="00644BB5" w:rsidRDefault="00B84E67" w:rsidP="007700D0">
      <w:pPr>
        <w:pStyle w:val="SingleTxtG"/>
        <w:rPr>
          <w:i/>
          <w:iCs/>
        </w:rPr>
      </w:pPr>
      <w:r w:rsidRPr="00644BB5">
        <w:rPr>
          <w:i/>
          <w:iCs/>
        </w:rPr>
        <w:t>(</w:t>
      </w:r>
      <w:r w:rsidR="007700D0" w:rsidRPr="00644BB5">
        <w:rPr>
          <w:i/>
          <w:iCs/>
        </w:rPr>
        <w:t>Reference document: ECE/TRANS/WP.15/AC.1/2024/26, as amended by informal document INF.18/Rev.1, proposal 6</w:t>
      </w:r>
      <w:r w:rsidRPr="00644BB5">
        <w:rPr>
          <w:i/>
          <w:iCs/>
        </w:rPr>
        <w:t>)</w:t>
      </w:r>
    </w:p>
    <w:p w14:paraId="30A941A2" w14:textId="77777777" w:rsidR="007700D0" w:rsidRPr="00644BB5" w:rsidRDefault="007700D0" w:rsidP="007700D0">
      <w:pPr>
        <w:pStyle w:val="H23G"/>
      </w:pPr>
      <w:r w:rsidRPr="00644BB5">
        <w:tab/>
      </w:r>
      <w:r w:rsidRPr="00644BB5">
        <w:tab/>
        <w:t>Chapter 1.6</w:t>
      </w:r>
    </w:p>
    <w:p w14:paraId="2912E39F" w14:textId="77777777" w:rsidR="00A74C91" w:rsidRPr="00644BB5" w:rsidRDefault="00A74C91" w:rsidP="00A74C91">
      <w:pPr>
        <w:pStyle w:val="SingleTxtG"/>
        <w:rPr>
          <w:bCs/>
        </w:rPr>
      </w:pPr>
      <w:r w:rsidRPr="00644BB5">
        <w:rPr>
          <w:bCs/>
        </w:rPr>
        <w:t>1.6.1.51</w:t>
      </w:r>
      <w:r w:rsidRPr="00644BB5">
        <w:rPr>
          <w:bCs/>
        </w:rPr>
        <w:tab/>
        <w:t>In the paragraph after the three indents, replace "30 June 2025" by:</w:t>
      </w:r>
    </w:p>
    <w:p w14:paraId="54B315B0" w14:textId="77777777" w:rsidR="00A74C91" w:rsidRPr="00644BB5" w:rsidRDefault="00A74C91" w:rsidP="00A74C91">
      <w:pPr>
        <w:pStyle w:val="SingleTxtG"/>
        <w:rPr>
          <w:bCs/>
        </w:rPr>
      </w:pPr>
      <w:r w:rsidRPr="00644BB5">
        <w:rPr>
          <w:bCs/>
        </w:rPr>
        <w:t>"30 June 2027".</w:t>
      </w:r>
    </w:p>
    <w:p w14:paraId="7553F35A" w14:textId="74552943" w:rsidR="00A74C91" w:rsidRPr="00644BB5" w:rsidRDefault="006E10A3" w:rsidP="00A74C91">
      <w:pPr>
        <w:pStyle w:val="SingleTxtG"/>
        <w:rPr>
          <w:bCs/>
          <w:i/>
          <w:iCs/>
        </w:rPr>
      </w:pPr>
      <w:r w:rsidRPr="00644BB5">
        <w:rPr>
          <w:bCs/>
          <w:i/>
          <w:iCs/>
        </w:rPr>
        <w:t>(</w:t>
      </w:r>
      <w:r w:rsidR="00A74C91" w:rsidRPr="00644BB5">
        <w:rPr>
          <w:bCs/>
          <w:i/>
          <w:iCs/>
        </w:rPr>
        <w:t>Reference document: ECE/TRANS/WP.15/AC.1/2024/7, as amended</w:t>
      </w:r>
      <w:r w:rsidRPr="00644BB5">
        <w:rPr>
          <w:bCs/>
          <w:i/>
          <w:iCs/>
        </w:rPr>
        <w:t>)</w:t>
      </w:r>
    </w:p>
    <w:p w14:paraId="6847B645" w14:textId="22741061" w:rsidR="007700D0" w:rsidRPr="00644BB5" w:rsidRDefault="007700D0" w:rsidP="007700D0">
      <w:pPr>
        <w:pStyle w:val="SingleTxtG"/>
        <w:rPr>
          <w:bCs/>
        </w:rPr>
      </w:pPr>
      <w:r w:rsidRPr="00644BB5">
        <w:rPr>
          <w:bCs/>
        </w:rPr>
        <w:t>1.6.4</w:t>
      </w:r>
      <w:r w:rsidRPr="00644BB5">
        <w:rPr>
          <w:bCs/>
        </w:rPr>
        <w:tab/>
        <w:t>Insert a new transitional measure to read:</w:t>
      </w:r>
    </w:p>
    <w:p w14:paraId="22286DC7" w14:textId="77777777" w:rsidR="007700D0" w:rsidRPr="00644BB5" w:rsidRDefault="007700D0" w:rsidP="007700D0">
      <w:pPr>
        <w:pStyle w:val="SingleTxtG"/>
      </w:pPr>
      <w:r w:rsidRPr="00644BB5">
        <w:rPr>
          <w:bCs/>
        </w:rPr>
        <w:t>"1.6.4.66</w:t>
      </w:r>
      <w:r w:rsidRPr="00644BB5">
        <w:tab/>
        <w:t>Portable tanks constructed before 1 January 2027 in accordance with the requirements in force up to 31 December 2024, but which do not, however, conform to the requirements of 6.7.4.15.1 (i) (iv) applicable as from 1 January 2025 may continue to be used."</w:t>
      </w:r>
    </w:p>
    <w:p w14:paraId="040836AD" w14:textId="2A6F2135" w:rsidR="007700D0" w:rsidRPr="00644BB5" w:rsidRDefault="00DB7890" w:rsidP="007700D0">
      <w:pPr>
        <w:pStyle w:val="SingleTxtG"/>
        <w:rPr>
          <w:i/>
          <w:iCs/>
        </w:rPr>
      </w:pPr>
      <w:r w:rsidRPr="00644BB5">
        <w:rPr>
          <w:i/>
          <w:iCs/>
        </w:rPr>
        <w:t>(</w:t>
      </w:r>
      <w:r w:rsidR="007700D0" w:rsidRPr="00644BB5">
        <w:rPr>
          <w:i/>
          <w:iCs/>
        </w:rPr>
        <w:t>Reference document: ECE/TRANS/WP.15/AC.1/2024/8, as amended by informal document INF.18/Rev.1, proposal 4</w:t>
      </w:r>
      <w:r w:rsidRPr="00644BB5">
        <w:rPr>
          <w:i/>
          <w:iCs/>
        </w:rPr>
        <w:t>)</w:t>
      </w:r>
    </w:p>
    <w:p w14:paraId="4A2633FC" w14:textId="77777777" w:rsidR="007700D0" w:rsidRPr="00644BB5" w:rsidRDefault="007700D0" w:rsidP="007700D0">
      <w:pPr>
        <w:pStyle w:val="H23G"/>
      </w:pPr>
      <w:r w:rsidRPr="00644BB5">
        <w:tab/>
      </w:r>
      <w:r w:rsidRPr="00644BB5">
        <w:tab/>
        <w:t>Chapter 4.1</w:t>
      </w:r>
    </w:p>
    <w:p w14:paraId="76D6AE21" w14:textId="32EC9360" w:rsidR="007700D0" w:rsidRPr="00644BB5" w:rsidRDefault="007700D0" w:rsidP="00FC5BD9">
      <w:pPr>
        <w:pStyle w:val="SingleTxtG"/>
      </w:pPr>
      <w:r w:rsidRPr="00644BB5">
        <w:t>4.1.4.1</w:t>
      </w:r>
      <w:r w:rsidR="00FC5BD9" w:rsidRPr="00644BB5">
        <w:t xml:space="preserve">, </w:t>
      </w:r>
      <w:r w:rsidRPr="00644BB5">
        <w:t>P</w:t>
      </w:r>
      <w:r w:rsidRPr="00644BB5">
        <w:rPr>
          <w:bCs/>
        </w:rPr>
        <w:t> 200</w:t>
      </w:r>
      <w:r w:rsidRPr="00644BB5">
        <w:tab/>
      </w:r>
      <w:r w:rsidR="00FC5BD9">
        <w:tab/>
      </w:r>
      <w:r w:rsidRPr="00644BB5">
        <w:t>In paragraph (11), at the end of the table, delete the row for standard "EN 14794:2005".</w:t>
      </w:r>
    </w:p>
    <w:p w14:paraId="24E30F3E" w14:textId="4BDD5E76" w:rsidR="007700D0" w:rsidRPr="00644BB5" w:rsidRDefault="00FC5BD9" w:rsidP="007700D0">
      <w:pPr>
        <w:pStyle w:val="SingleTxtG"/>
        <w:rPr>
          <w:i/>
          <w:iCs/>
        </w:rPr>
      </w:pPr>
      <w:r w:rsidRPr="00644BB5">
        <w:rPr>
          <w:i/>
          <w:iCs/>
        </w:rPr>
        <w:t>(</w:t>
      </w:r>
      <w:r w:rsidR="007700D0" w:rsidRPr="00644BB5">
        <w:rPr>
          <w:i/>
          <w:iCs/>
        </w:rPr>
        <w:t>Reference document: informal document INF.14, proposal 5 (a)</w:t>
      </w:r>
      <w:r w:rsidRPr="00644BB5">
        <w:rPr>
          <w:i/>
          <w:iCs/>
        </w:rPr>
        <w:t>)</w:t>
      </w:r>
    </w:p>
    <w:p w14:paraId="0CFA4F38" w14:textId="4F7E997B" w:rsidR="00C7610F" w:rsidRDefault="007700D0" w:rsidP="007700D0">
      <w:pPr>
        <w:pStyle w:val="SingleTxtG"/>
      </w:pPr>
      <w:r w:rsidRPr="00644BB5">
        <w:lastRenderedPageBreak/>
        <w:t>4.1.6.15</w:t>
      </w:r>
      <w:r w:rsidRPr="00644BB5">
        <w:tab/>
      </w:r>
      <w:r w:rsidRPr="00F51E09">
        <w:rPr>
          <w:rFonts w:eastAsia="Calibri"/>
          <w:bCs/>
          <w:lang w:eastAsia="en-US"/>
        </w:rPr>
        <w:t>In table 4.1.6.15.1,</w:t>
      </w:r>
      <w:r w:rsidRPr="00F51E09">
        <w:rPr>
          <w:rFonts w:eastAsia="Calibri"/>
          <w:bCs/>
        </w:rPr>
        <w:t xml:space="preserve"> in the first line </w:t>
      </w:r>
      <w:r w:rsidRPr="00F51E09">
        <w:t>for "4.1.6.8 Valves with inherent protection", in the second column, after</w:t>
      </w:r>
      <w:r w:rsidRPr="00F51E09">
        <w:rPr>
          <w:rFonts w:cs="Arial"/>
        </w:rPr>
        <w:t xml:space="preserve"> "EN ISO 10297:2014 + A1:2017" add </w:t>
      </w:r>
      <w:r w:rsidRPr="00644BB5">
        <w:t>"[or clause 5.4.2 of EN ISO 10297:[2024]]</w:t>
      </w:r>
      <w:r w:rsidRPr="00644BB5">
        <w:rPr>
          <w:rFonts w:cs="Arial"/>
        </w:rPr>
        <w:t>".</w:t>
      </w:r>
    </w:p>
    <w:p w14:paraId="569426E6" w14:textId="46D2D940" w:rsidR="007700D0" w:rsidRPr="00644BB5" w:rsidRDefault="00C7610F" w:rsidP="007700D0">
      <w:pPr>
        <w:pStyle w:val="SingleTxtG"/>
        <w:rPr>
          <w:i/>
          <w:iCs/>
        </w:rPr>
      </w:pPr>
      <w:r w:rsidRPr="00644BB5">
        <w:rPr>
          <w:i/>
          <w:iCs/>
        </w:rPr>
        <w:t>(</w:t>
      </w:r>
      <w:r w:rsidR="007700D0" w:rsidRPr="00644BB5">
        <w:rPr>
          <w:i/>
          <w:iCs/>
        </w:rPr>
        <w:t>Reference document: informal document INF.14, proposal 3.2</w:t>
      </w:r>
      <w:r w:rsidRPr="00644BB5">
        <w:rPr>
          <w:i/>
          <w:iCs/>
        </w:rPr>
        <w:t>)</w:t>
      </w:r>
    </w:p>
    <w:p w14:paraId="0CA5259E" w14:textId="77777777" w:rsidR="007700D0" w:rsidRPr="00644BB5" w:rsidRDefault="007700D0" w:rsidP="007700D0">
      <w:pPr>
        <w:pStyle w:val="H23G"/>
      </w:pPr>
      <w:r w:rsidRPr="00644BB5">
        <w:tab/>
      </w:r>
      <w:r w:rsidRPr="00644BB5">
        <w:tab/>
        <w:t>Chapter 4.2</w:t>
      </w:r>
    </w:p>
    <w:p w14:paraId="36A0CCA1" w14:textId="77777777" w:rsidR="007700D0" w:rsidRPr="00F51E09" w:rsidRDefault="007700D0" w:rsidP="007700D0">
      <w:pPr>
        <w:pStyle w:val="SingleTxtG"/>
      </w:pPr>
      <w:r w:rsidRPr="00F51E09">
        <w:t>After the heading of Chapter 4.2, in Note 2 after "which is not an RID Contracting State/Contracting Party to ADR", insert:</w:t>
      </w:r>
    </w:p>
    <w:p w14:paraId="51D71919" w14:textId="77777777" w:rsidR="007700D0" w:rsidRPr="00F51E09" w:rsidRDefault="007700D0" w:rsidP="007700D0">
      <w:pPr>
        <w:pStyle w:val="SingleTxtG"/>
        <w:rPr>
          <w:i/>
          <w:iCs/>
        </w:rPr>
      </w:pPr>
      <w:r w:rsidRPr="00F51E09">
        <w:rPr>
          <w:i/>
          <w:iCs/>
        </w:rPr>
        <w:t>"or approved in accordance with Chapter 6.7 of the IMDG Code".</w:t>
      </w:r>
    </w:p>
    <w:p w14:paraId="43EAC167" w14:textId="763CD550" w:rsidR="007700D0" w:rsidRPr="00644BB5" w:rsidRDefault="005F5C4E" w:rsidP="007700D0">
      <w:pPr>
        <w:pStyle w:val="SingleTxtG"/>
        <w:rPr>
          <w:i/>
          <w:iCs/>
        </w:rPr>
      </w:pPr>
      <w:r w:rsidRPr="00644BB5">
        <w:rPr>
          <w:i/>
          <w:iCs/>
        </w:rPr>
        <w:t>(</w:t>
      </w:r>
      <w:r w:rsidR="007700D0" w:rsidRPr="00644BB5">
        <w:rPr>
          <w:i/>
          <w:iCs/>
        </w:rPr>
        <w:t>Reference document: informal document INF.16, as amended by informal document INF.18/Rev.1, proposal 9</w:t>
      </w:r>
      <w:r w:rsidRPr="00644BB5">
        <w:rPr>
          <w:i/>
          <w:iCs/>
        </w:rPr>
        <w:t>)</w:t>
      </w:r>
    </w:p>
    <w:p w14:paraId="200A66C9" w14:textId="77777777" w:rsidR="007700D0" w:rsidRPr="00644BB5" w:rsidRDefault="007700D0" w:rsidP="007700D0">
      <w:pPr>
        <w:pStyle w:val="SingleTxtG"/>
      </w:pPr>
      <w:r w:rsidRPr="00644BB5">
        <w:t>(ADR:)</w:t>
      </w:r>
    </w:p>
    <w:p w14:paraId="4A15E2BE" w14:textId="16D063AA" w:rsidR="007700D0" w:rsidRPr="00F51E09" w:rsidRDefault="007700D0" w:rsidP="007700D0">
      <w:pPr>
        <w:pStyle w:val="SingleTxtG"/>
      </w:pPr>
      <w:r w:rsidRPr="00644BB5">
        <w:rPr>
          <w:bCs/>
        </w:rPr>
        <w:t>4.2.3.7.1</w:t>
      </w:r>
      <w:r w:rsidRPr="00F51E09">
        <w:tab/>
        <w:t>At the end, add a new paragraph to read:</w:t>
      </w:r>
    </w:p>
    <w:p w14:paraId="44A875EE" w14:textId="77777777" w:rsidR="007700D0" w:rsidRPr="00F51E09" w:rsidRDefault="007700D0" w:rsidP="007700D0">
      <w:pPr>
        <w:pStyle w:val="SingleTxtG"/>
      </w:pPr>
      <w:r w:rsidRPr="00F51E09">
        <w:t>"The calculation of the actual holding time may be waived when the whole journey takes place by road only, without trans-shipment onto another vehicle and without intermediate temporary storage. When the calculation of the actual holding time is waived the provisions of 4.2.3.7.2, 4.2.3.7.3 and 4.2.3.8 (e) and (f) shall not apply."</w:t>
      </w:r>
    </w:p>
    <w:p w14:paraId="0DC0FC50" w14:textId="41936C43" w:rsidR="007700D0" w:rsidRPr="00644BB5" w:rsidRDefault="005F5C4E" w:rsidP="007700D0">
      <w:pPr>
        <w:pStyle w:val="SingleTxtG"/>
        <w:rPr>
          <w:i/>
          <w:iCs/>
        </w:rPr>
      </w:pPr>
      <w:r w:rsidRPr="00644BB5">
        <w:rPr>
          <w:i/>
          <w:iCs/>
        </w:rPr>
        <w:t>(</w:t>
      </w:r>
      <w:r w:rsidR="007700D0" w:rsidRPr="00644BB5">
        <w:rPr>
          <w:i/>
          <w:iCs/>
        </w:rPr>
        <w:t>Reference document: ECE/TRANS/WP.15/AC.1/2024/18, as amended by informal document INF.18/Rev.1, proposal 5</w:t>
      </w:r>
      <w:r w:rsidRPr="00644BB5">
        <w:rPr>
          <w:i/>
          <w:iCs/>
        </w:rPr>
        <w:t>)</w:t>
      </w:r>
    </w:p>
    <w:p w14:paraId="3F9C3C2A" w14:textId="77777777" w:rsidR="007700D0" w:rsidRPr="00644BB5" w:rsidRDefault="007700D0" w:rsidP="007700D0">
      <w:pPr>
        <w:pStyle w:val="H23G"/>
      </w:pPr>
      <w:r w:rsidRPr="00644BB5">
        <w:tab/>
      </w:r>
      <w:r w:rsidRPr="00644BB5">
        <w:tab/>
        <w:t>Chapter 4.3</w:t>
      </w:r>
    </w:p>
    <w:p w14:paraId="67BCEC73" w14:textId="77777777" w:rsidR="007700D0" w:rsidRPr="00644BB5" w:rsidRDefault="007700D0" w:rsidP="007700D0">
      <w:pPr>
        <w:pStyle w:val="SingleTxtG"/>
      </w:pPr>
      <w:r w:rsidRPr="00644BB5">
        <w:t>(ADR:)</w:t>
      </w:r>
    </w:p>
    <w:p w14:paraId="55C7E5C5" w14:textId="4FAD2B6B" w:rsidR="007700D0" w:rsidRPr="00644BB5" w:rsidRDefault="007700D0" w:rsidP="007700D0">
      <w:pPr>
        <w:pStyle w:val="SingleTxtG"/>
        <w:ind w:left="2268" w:right="567" w:hanging="1134"/>
        <w:rPr>
          <w:lang w:eastAsia="zh-CN"/>
        </w:rPr>
      </w:pPr>
      <w:r w:rsidRPr="00644BB5">
        <w:rPr>
          <w:bCs/>
        </w:rPr>
        <w:t>4.3.3.5</w:t>
      </w:r>
      <w:r w:rsidRPr="00644BB5">
        <w:rPr>
          <w:bCs/>
        </w:rPr>
        <w:tab/>
      </w:r>
      <w:r w:rsidRPr="00644BB5">
        <w:rPr>
          <w:bCs/>
        </w:rPr>
        <w:tab/>
      </w:r>
      <w:r w:rsidRPr="00644BB5">
        <w:rPr>
          <w:lang w:eastAsia="zh-CN"/>
        </w:rPr>
        <w:t>In the right hand column, at the end</w:t>
      </w:r>
      <w:r w:rsidR="00587616" w:rsidRPr="00223BF0">
        <w:rPr>
          <w:lang w:eastAsia="zh-CN"/>
        </w:rPr>
        <w:t xml:space="preserve">, </w:t>
      </w:r>
      <w:r w:rsidR="00587616" w:rsidRPr="00644BB5">
        <w:rPr>
          <w:lang w:val="en-US" w:eastAsia="en-US"/>
        </w:rPr>
        <w:t>before the sentence to be added in accordance with document ECE/TRANS/WP.15/265</w:t>
      </w:r>
      <w:r w:rsidRPr="00644BB5">
        <w:rPr>
          <w:lang w:eastAsia="zh-CN"/>
        </w:rPr>
        <w:t>, add the following paragraph:</w:t>
      </w:r>
    </w:p>
    <w:p w14:paraId="70C6A947" w14:textId="77777777" w:rsidR="007700D0" w:rsidRPr="00F51E09" w:rsidRDefault="007700D0" w:rsidP="007700D0">
      <w:pPr>
        <w:pStyle w:val="SingleTxtG"/>
      </w:pPr>
      <w:r w:rsidRPr="00F51E09">
        <w:t>"The calculation of the actual holding time may be waived when the whole journey takes place by road only, without trans-shipment onto another vehicle and without intermediate temporary storage. When the calculation of the actual holding time is waived the provisions of 4.3.3.6 (e), (f) and (g) shall not apply."</w:t>
      </w:r>
    </w:p>
    <w:p w14:paraId="10590C85" w14:textId="3B18D297" w:rsidR="007700D0" w:rsidRPr="00644BB5" w:rsidRDefault="00587616" w:rsidP="007700D0">
      <w:pPr>
        <w:pStyle w:val="SingleTxtG"/>
        <w:rPr>
          <w:i/>
          <w:iCs/>
        </w:rPr>
      </w:pPr>
      <w:r w:rsidRPr="00644BB5">
        <w:rPr>
          <w:i/>
          <w:iCs/>
        </w:rPr>
        <w:t>(</w:t>
      </w:r>
      <w:r w:rsidR="007700D0" w:rsidRPr="00644BB5">
        <w:rPr>
          <w:i/>
          <w:iCs/>
        </w:rPr>
        <w:t>Reference document: ECE/TRANS/WP.15/AC.1/2024/18, as amended by informal document INF.18/Rev.1, proposal 5</w:t>
      </w:r>
      <w:r w:rsidRPr="00644BB5">
        <w:rPr>
          <w:i/>
          <w:iCs/>
        </w:rPr>
        <w:t>)</w:t>
      </w:r>
    </w:p>
    <w:p w14:paraId="57CA5BFE" w14:textId="77777777" w:rsidR="00CA15B8" w:rsidRPr="00F51E09" w:rsidRDefault="00CA15B8" w:rsidP="00CA15B8">
      <w:pPr>
        <w:pStyle w:val="H23G"/>
      </w:pPr>
      <w:r w:rsidRPr="00F51E09">
        <w:tab/>
      </w:r>
      <w:r w:rsidRPr="00F51E09">
        <w:tab/>
      </w:r>
      <w:r w:rsidRPr="00F51E09">
        <w:tab/>
        <w:t>Chapter 5.4</w:t>
      </w:r>
    </w:p>
    <w:p w14:paraId="0937F9A4" w14:textId="77777777" w:rsidR="00CA15B8" w:rsidRPr="00F51E09" w:rsidRDefault="00CA15B8" w:rsidP="00CA15B8">
      <w:pPr>
        <w:pStyle w:val="SingleTxtG"/>
      </w:pPr>
      <w:r w:rsidRPr="00644BB5">
        <w:rPr>
          <w:bCs/>
        </w:rPr>
        <w:t>5.4.1.1.3.1</w:t>
      </w:r>
      <w:r w:rsidRPr="00644BB5">
        <w:rPr>
          <w:bCs/>
        </w:rPr>
        <w:tab/>
      </w:r>
      <w:r w:rsidRPr="00F51E09">
        <w:t>Amend the last paragraph to read:</w:t>
      </w:r>
    </w:p>
    <w:p w14:paraId="4370BE4D" w14:textId="77777777" w:rsidR="00CA15B8" w:rsidRPr="00F51E09" w:rsidRDefault="00CA15B8" w:rsidP="00CA15B8">
      <w:pPr>
        <w:pStyle w:val="SingleTxtG"/>
      </w:pPr>
      <w:r w:rsidRPr="00F51E09">
        <w:t>"If the provision for waste as set out in 2.1.3.5.5 is applied, the technical name, as prescribed in Chapter 3.3, special provision 274, need not be added."</w:t>
      </w:r>
    </w:p>
    <w:p w14:paraId="574172E0" w14:textId="2E148B3B" w:rsidR="00CA15B8" w:rsidRPr="00644BB5" w:rsidRDefault="00B50CCF" w:rsidP="00CA15B8">
      <w:pPr>
        <w:pStyle w:val="SingleTxtG"/>
        <w:rPr>
          <w:i/>
          <w:iCs/>
        </w:rPr>
      </w:pPr>
      <w:r w:rsidRPr="00644BB5">
        <w:rPr>
          <w:i/>
          <w:iCs/>
        </w:rPr>
        <w:t>(</w:t>
      </w:r>
      <w:r w:rsidR="00CA15B8" w:rsidRPr="00644BB5">
        <w:rPr>
          <w:i/>
          <w:iCs/>
        </w:rPr>
        <w:t>Reference document: ECE/TRANS/WP.15/AC.1/2024/10</w:t>
      </w:r>
      <w:r w:rsidRPr="00644BB5">
        <w:rPr>
          <w:i/>
          <w:iCs/>
        </w:rPr>
        <w:t>)</w:t>
      </w:r>
    </w:p>
    <w:p w14:paraId="579510B1" w14:textId="77777777" w:rsidR="007700D0" w:rsidRPr="00644BB5" w:rsidRDefault="007700D0" w:rsidP="007700D0">
      <w:pPr>
        <w:pStyle w:val="SingleTxtG"/>
      </w:pPr>
      <w:r w:rsidRPr="00644BB5">
        <w:t>(ADR:)</w:t>
      </w:r>
    </w:p>
    <w:p w14:paraId="0CAE2DE5" w14:textId="652E2A34" w:rsidR="007700D0" w:rsidRPr="00644BB5" w:rsidRDefault="007700D0" w:rsidP="007700D0">
      <w:pPr>
        <w:pStyle w:val="SingleTxtG"/>
      </w:pPr>
      <w:r w:rsidRPr="00644BB5">
        <w:rPr>
          <w:bCs/>
        </w:rPr>
        <w:t>5.4.1.2.2</w:t>
      </w:r>
      <w:r w:rsidRPr="00644BB5">
        <w:tab/>
        <w:t>In sub-paragraph (d), at the end, add the following paragraph:</w:t>
      </w:r>
    </w:p>
    <w:p w14:paraId="11236AA2" w14:textId="3715E994" w:rsidR="007700D0" w:rsidRPr="00F51E09" w:rsidRDefault="007700D0" w:rsidP="007700D0">
      <w:pPr>
        <w:pStyle w:val="SingleTxtG"/>
      </w:pPr>
      <w:r w:rsidRPr="00644BB5">
        <w:t>"</w:t>
      </w:r>
      <w:r w:rsidRPr="00F51E09">
        <w:t>When the calculation of the actual holding time is waived in accordance with 4.2.3.7.1 or 4.3.3.5 this provision shall not apply;"</w:t>
      </w:r>
    </w:p>
    <w:p w14:paraId="16BE846C" w14:textId="6C577C8A" w:rsidR="007700D0" w:rsidRPr="00644BB5" w:rsidRDefault="00B50CCF" w:rsidP="007700D0">
      <w:pPr>
        <w:pStyle w:val="SingleTxtG"/>
        <w:rPr>
          <w:i/>
          <w:iCs/>
        </w:rPr>
      </w:pPr>
      <w:r w:rsidRPr="00644BB5">
        <w:rPr>
          <w:i/>
          <w:iCs/>
        </w:rPr>
        <w:t>(</w:t>
      </w:r>
      <w:r w:rsidR="007700D0" w:rsidRPr="00644BB5">
        <w:rPr>
          <w:i/>
          <w:iCs/>
        </w:rPr>
        <w:t>Reference document: ECE/TRANS/WP.15/AC.1/2024/18, as amended by informal document INF.18/Rev.1, proposal 5</w:t>
      </w:r>
      <w:r w:rsidRPr="00644BB5">
        <w:rPr>
          <w:i/>
          <w:iCs/>
        </w:rPr>
        <w:t>)</w:t>
      </w:r>
    </w:p>
    <w:p w14:paraId="17F66F81" w14:textId="77777777" w:rsidR="00914400" w:rsidRPr="00F51E09" w:rsidRDefault="00914400" w:rsidP="00914400">
      <w:pPr>
        <w:pStyle w:val="H23G"/>
      </w:pPr>
      <w:r w:rsidRPr="00F51E09">
        <w:tab/>
      </w:r>
      <w:r w:rsidRPr="00F51E09">
        <w:tab/>
        <w:t>Chapter 5.5</w:t>
      </w:r>
    </w:p>
    <w:p w14:paraId="642063A7" w14:textId="7351BCF4" w:rsidR="00914400" w:rsidRPr="00F51E09" w:rsidRDefault="00914400" w:rsidP="00914400">
      <w:pPr>
        <w:pStyle w:val="SingleTxtG"/>
      </w:pPr>
      <w:r w:rsidRPr="00644BB5">
        <w:rPr>
          <w:bCs/>
        </w:rPr>
        <w:t>5.5.4</w:t>
      </w:r>
      <w:r w:rsidRPr="00F51E09">
        <w:tab/>
      </w:r>
      <w:r w:rsidR="005018AF">
        <w:rPr>
          <w:bCs/>
        </w:rPr>
        <w:t>Not applicable to English.</w:t>
      </w:r>
    </w:p>
    <w:p w14:paraId="499BFBEC" w14:textId="7F619262" w:rsidR="00914400" w:rsidRPr="00F51E09" w:rsidRDefault="00914400" w:rsidP="00914400">
      <w:pPr>
        <w:pStyle w:val="SingleTxtG"/>
      </w:pPr>
      <w:r w:rsidRPr="00644BB5">
        <w:rPr>
          <w:bCs/>
        </w:rPr>
        <w:t>5.5.4.1</w:t>
      </w:r>
      <w:r w:rsidR="005018AF" w:rsidRPr="00644BB5">
        <w:rPr>
          <w:bCs/>
        </w:rPr>
        <w:tab/>
      </w:r>
      <w:r w:rsidR="005018AF">
        <w:tab/>
      </w:r>
      <w:r w:rsidR="005018AF">
        <w:rPr>
          <w:bCs/>
        </w:rPr>
        <w:t>Not applicable to English.</w:t>
      </w:r>
    </w:p>
    <w:p w14:paraId="25EAE639" w14:textId="77777777" w:rsidR="007700D0" w:rsidRPr="00644BB5" w:rsidRDefault="007700D0" w:rsidP="007700D0">
      <w:pPr>
        <w:pStyle w:val="H23G"/>
      </w:pPr>
      <w:r w:rsidRPr="00644BB5">
        <w:lastRenderedPageBreak/>
        <w:tab/>
      </w:r>
      <w:r w:rsidRPr="00644BB5">
        <w:tab/>
        <w:t>Chapter 6.2</w:t>
      </w:r>
    </w:p>
    <w:p w14:paraId="3F8EDB05" w14:textId="77777777" w:rsidR="007700D0" w:rsidRPr="00644BB5" w:rsidRDefault="007700D0" w:rsidP="007700D0">
      <w:pPr>
        <w:pStyle w:val="SingleTxtG"/>
        <w:ind w:left="2268" w:right="567" w:hanging="1134"/>
      </w:pPr>
      <w:r w:rsidRPr="00644BB5">
        <w:t>6.2.4.1</w:t>
      </w:r>
      <w:r w:rsidRPr="00644BB5">
        <w:tab/>
      </w:r>
      <w:r w:rsidRPr="00644BB5">
        <w:tab/>
        <w:t xml:space="preserve">In the table, under </w:t>
      </w:r>
      <w:r w:rsidRPr="00644BB5">
        <w:rPr>
          <w:b/>
          <w:bCs/>
          <w:i/>
          <w:iCs/>
        </w:rPr>
        <w:t>"for design and construction of pressure receptacles or pressure receptacle shells", amend the following:</w:t>
      </w:r>
    </w:p>
    <w:p w14:paraId="66751F23" w14:textId="77777777" w:rsidR="007700D0" w:rsidRPr="00644BB5" w:rsidRDefault="007700D0" w:rsidP="007700D0">
      <w:pPr>
        <w:pStyle w:val="SingleTxtG"/>
      </w:pPr>
      <w:r w:rsidRPr="00644BB5">
        <w:t>–</w:t>
      </w:r>
      <w:r w:rsidRPr="00644BB5">
        <w:tab/>
        <w:t>In the row for "EN 1964-3:2000", in column (4), replace "Until further notice" by:</w:t>
      </w:r>
    </w:p>
    <w:p w14:paraId="36387721" w14:textId="77777777" w:rsidR="007700D0" w:rsidRPr="00644BB5" w:rsidRDefault="007700D0" w:rsidP="007700D0">
      <w:pPr>
        <w:pStyle w:val="SingleTxtG"/>
      </w:pPr>
      <w:r w:rsidRPr="00644BB5">
        <w:t>"Until 31 </w:t>
      </w:r>
      <w:r w:rsidRPr="00F51E09">
        <w:t>December</w:t>
      </w:r>
      <w:r w:rsidRPr="00644BB5">
        <w:t xml:space="preserve"> 2026".</w:t>
      </w:r>
    </w:p>
    <w:p w14:paraId="2F3EF8AB" w14:textId="36BE2ECE" w:rsidR="007700D0" w:rsidRPr="00644BB5" w:rsidRDefault="00211C23" w:rsidP="007700D0">
      <w:pPr>
        <w:pStyle w:val="SingleTxtG"/>
        <w:rPr>
          <w:i/>
          <w:iCs/>
        </w:rPr>
      </w:pPr>
      <w:r w:rsidRPr="00644BB5">
        <w:rPr>
          <w:i/>
          <w:iCs/>
        </w:rPr>
        <w:t>(</w:t>
      </w:r>
      <w:r w:rsidR="007700D0" w:rsidRPr="00644BB5">
        <w:rPr>
          <w:i/>
          <w:iCs/>
        </w:rPr>
        <w:t>Reference document: informal document INF.26</w:t>
      </w:r>
      <w:r w:rsidRPr="00644BB5">
        <w:rPr>
          <w:i/>
          <w:iCs/>
        </w:rPr>
        <w:t>)</w:t>
      </w:r>
    </w:p>
    <w:p w14:paraId="1DD67D22" w14:textId="77777777" w:rsidR="007700D0" w:rsidRPr="00F51E09" w:rsidRDefault="007700D0" w:rsidP="007700D0">
      <w:pPr>
        <w:pStyle w:val="SingleTxtG"/>
      </w:pPr>
      <w:r w:rsidRPr="00644BB5">
        <w:rPr>
          <w:rFonts w:cs="Arial"/>
          <w:szCs w:val="22"/>
        </w:rPr>
        <w:t>–</w:t>
      </w:r>
      <w:r w:rsidRPr="00644BB5">
        <w:rPr>
          <w:rFonts w:cs="Arial"/>
          <w:szCs w:val="22"/>
        </w:rPr>
        <w:tab/>
      </w:r>
      <w:r w:rsidRPr="00F51E09">
        <w:t xml:space="preserve">In the row for </w:t>
      </w:r>
      <w:r w:rsidRPr="00644BB5">
        <w:rPr>
          <w:rFonts w:cs="Arial"/>
          <w:szCs w:val="22"/>
        </w:rPr>
        <w:t>"</w:t>
      </w:r>
      <w:r w:rsidRPr="00644BB5">
        <w:t>EN 13322-1:2003 + A1:2006</w:t>
      </w:r>
      <w:r w:rsidRPr="00644BB5">
        <w:rPr>
          <w:rFonts w:cs="Arial"/>
          <w:szCs w:val="22"/>
        </w:rPr>
        <w:t>"</w:t>
      </w:r>
      <w:r w:rsidRPr="00F51E09">
        <w:t>, in column (4), replace "Until further notice" by:</w:t>
      </w:r>
    </w:p>
    <w:p w14:paraId="488B3FFE" w14:textId="77777777" w:rsidR="007700D0" w:rsidRPr="00F51E09" w:rsidRDefault="007700D0" w:rsidP="007700D0">
      <w:pPr>
        <w:pStyle w:val="SingleTxtG"/>
      </w:pPr>
      <w:r w:rsidRPr="00F51E09">
        <w:t>"Between 1 January 2007 and 31 December 2026".</w:t>
      </w:r>
    </w:p>
    <w:p w14:paraId="2122C76C" w14:textId="2AA4026A" w:rsidR="007700D0" w:rsidRPr="00644BB5" w:rsidRDefault="00211C23" w:rsidP="007700D0">
      <w:pPr>
        <w:pStyle w:val="SingleTxtG"/>
        <w:rPr>
          <w:i/>
          <w:iCs/>
        </w:rPr>
      </w:pPr>
      <w:r w:rsidRPr="00644BB5">
        <w:rPr>
          <w:i/>
          <w:iCs/>
        </w:rPr>
        <w:t>(</w:t>
      </w:r>
      <w:r w:rsidR="007700D0" w:rsidRPr="00644BB5">
        <w:rPr>
          <w:i/>
          <w:iCs/>
        </w:rPr>
        <w:t>Reference document: informal document INF.14, proposal 3.4</w:t>
      </w:r>
      <w:r w:rsidRPr="00644BB5">
        <w:rPr>
          <w:i/>
          <w:iCs/>
        </w:rPr>
        <w:t>)</w:t>
      </w:r>
    </w:p>
    <w:p w14:paraId="4E492D09" w14:textId="059B8B07" w:rsidR="007700D0" w:rsidRPr="00644BB5" w:rsidRDefault="007700D0" w:rsidP="007700D0">
      <w:pPr>
        <w:pStyle w:val="SingleTxtG"/>
      </w:pPr>
      <w:r w:rsidRPr="00644BB5">
        <w:t>–</w:t>
      </w:r>
      <w:r w:rsidRPr="00644BB5">
        <w:tab/>
      </w:r>
      <w:r w:rsidRPr="00644BB5">
        <w:rPr>
          <w:rFonts w:cs="Arial"/>
          <w:szCs w:val="22"/>
        </w:rPr>
        <w:t>After the row for standard</w:t>
      </w:r>
      <w:r w:rsidRPr="00644BB5">
        <w:t xml:space="preserve"> "EN 13322-1:2003 + A1:2006" </w:t>
      </w:r>
      <w:r w:rsidRPr="00644BB5">
        <w:rPr>
          <w:rFonts w:cs="Arial"/>
          <w:szCs w:val="22"/>
        </w:rPr>
        <w:t>, insert the following new row</w:t>
      </w:r>
      <w:r w:rsidRPr="00644BB5">
        <w:t>:</w:t>
      </w:r>
    </w:p>
    <w:p w14:paraId="685191F3" w14:textId="77777777" w:rsidR="007700D0" w:rsidRPr="00F51E09" w:rsidRDefault="007700D0" w:rsidP="007700D0">
      <w:pPr>
        <w:widowControl w:val="0"/>
        <w:ind w:left="1800" w:hanging="382"/>
        <w:rPr>
          <w:rFonts w:cs="Arial"/>
          <w:szCs w:val="22"/>
        </w:rPr>
      </w:pPr>
      <w:r w:rsidRPr="00F51E09">
        <w:rPr>
          <w:rFonts w:cs="Arial"/>
          <w:szCs w:val="22"/>
        </w:rPr>
        <w:t>"</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7700D0" w:rsidRPr="00F51E09" w14:paraId="387F0307" w14:textId="77777777" w:rsidTr="00365F82">
        <w:trPr>
          <w:trHeight w:val="115"/>
        </w:trPr>
        <w:tc>
          <w:tcPr>
            <w:tcW w:w="1991" w:type="dxa"/>
          </w:tcPr>
          <w:p w14:paraId="1C5915C2" w14:textId="77777777" w:rsidR="007700D0" w:rsidRPr="00F51E09" w:rsidRDefault="007700D0" w:rsidP="00365F82">
            <w:pPr>
              <w:widowControl w:val="0"/>
              <w:rPr>
                <w:rFonts w:cs="Arial"/>
                <w:szCs w:val="22"/>
              </w:rPr>
            </w:pPr>
            <w:r w:rsidRPr="00F51E09">
              <w:rPr>
                <w:rFonts w:cs="Arial"/>
                <w:szCs w:val="22"/>
              </w:rPr>
              <w:t>(1)</w:t>
            </w:r>
          </w:p>
        </w:tc>
        <w:tc>
          <w:tcPr>
            <w:tcW w:w="3261" w:type="dxa"/>
          </w:tcPr>
          <w:p w14:paraId="20A47E55" w14:textId="77777777" w:rsidR="007700D0" w:rsidRPr="00F51E09" w:rsidRDefault="007700D0" w:rsidP="00365F82">
            <w:pPr>
              <w:widowControl w:val="0"/>
              <w:rPr>
                <w:rFonts w:cs="Arial"/>
                <w:szCs w:val="22"/>
              </w:rPr>
            </w:pPr>
            <w:r w:rsidRPr="00F51E09">
              <w:rPr>
                <w:rFonts w:cs="Arial"/>
                <w:szCs w:val="22"/>
              </w:rPr>
              <w:t>(2)</w:t>
            </w:r>
          </w:p>
        </w:tc>
        <w:tc>
          <w:tcPr>
            <w:tcW w:w="1012" w:type="dxa"/>
          </w:tcPr>
          <w:p w14:paraId="618F47F6" w14:textId="77777777" w:rsidR="007700D0" w:rsidRPr="00F51E09" w:rsidRDefault="007700D0" w:rsidP="00365F82">
            <w:pPr>
              <w:widowControl w:val="0"/>
              <w:rPr>
                <w:rFonts w:cs="Arial"/>
                <w:szCs w:val="22"/>
              </w:rPr>
            </w:pPr>
            <w:r w:rsidRPr="00F51E09">
              <w:rPr>
                <w:rFonts w:cs="Arial"/>
                <w:szCs w:val="22"/>
              </w:rPr>
              <w:t>(3)</w:t>
            </w:r>
          </w:p>
        </w:tc>
        <w:tc>
          <w:tcPr>
            <w:tcW w:w="956" w:type="dxa"/>
          </w:tcPr>
          <w:p w14:paraId="50C89457" w14:textId="77777777" w:rsidR="007700D0" w:rsidRPr="00F51E09" w:rsidRDefault="007700D0" w:rsidP="00365F82">
            <w:pPr>
              <w:widowControl w:val="0"/>
              <w:rPr>
                <w:rFonts w:cs="Arial"/>
                <w:szCs w:val="22"/>
              </w:rPr>
            </w:pPr>
            <w:r w:rsidRPr="00F51E09">
              <w:rPr>
                <w:rFonts w:cs="Arial"/>
                <w:szCs w:val="22"/>
              </w:rPr>
              <w:t>(4)</w:t>
            </w:r>
          </w:p>
        </w:tc>
        <w:tc>
          <w:tcPr>
            <w:tcW w:w="664" w:type="dxa"/>
          </w:tcPr>
          <w:p w14:paraId="39EF9DA1" w14:textId="77777777" w:rsidR="007700D0" w:rsidRPr="00F51E09" w:rsidRDefault="007700D0" w:rsidP="00365F82">
            <w:pPr>
              <w:widowControl w:val="0"/>
              <w:rPr>
                <w:rFonts w:cs="Arial"/>
                <w:szCs w:val="22"/>
              </w:rPr>
            </w:pPr>
            <w:r w:rsidRPr="00F51E09">
              <w:rPr>
                <w:rFonts w:cs="Arial"/>
                <w:szCs w:val="22"/>
              </w:rPr>
              <w:t>(5)</w:t>
            </w:r>
          </w:p>
        </w:tc>
      </w:tr>
      <w:tr w:rsidR="007700D0" w:rsidRPr="00F51E09" w14:paraId="26C482FA" w14:textId="77777777" w:rsidTr="00365F82">
        <w:tc>
          <w:tcPr>
            <w:tcW w:w="1991" w:type="dxa"/>
            <w:vAlign w:val="center"/>
          </w:tcPr>
          <w:p w14:paraId="7BA3FFB4" w14:textId="77777777" w:rsidR="007700D0" w:rsidRPr="00F51E09" w:rsidRDefault="007700D0" w:rsidP="00365F82">
            <w:pPr>
              <w:widowControl w:val="0"/>
              <w:rPr>
                <w:szCs w:val="22"/>
              </w:rPr>
            </w:pPr>
            <w:r w:rsidRPr="00F51E09">
              <w:rPr>
                <w:szCs w:val="22"/>
              </w:rPr>
              <w:t xml:space="preserve">EN </w:t>
            </w:r>
          </w:p>
          <w:p w14:paraId="5D958643" w14:textId="77777777" w:rsidR="007700D0" w:rsidRPr="00F51E09" w:rsidRDefault="007700D0" w:rsidP="00365F82">
            <w:pPr>
              <w:widowControl w:val="0"/>
              <w:rPr>
                <w:rFonts w:cs="Arial"/>
                <w:szCs w:val="22"/>
              </w:rPr>
            </w:pPr>
            <w:r w:rsidRPr="00F51E09">
              <w:rPr>
                <w:szCs w:val="22"/>
              </w:rPr>
              <w:t>13322-1:</w:t>
            </w:r>
            <w:r w:rsidRPr="00F51E09">
              <w:rPr>
                <w:b/>
                <w:szCs w:val="22"/>
              </w:rPr>
              <w:t>[</w:t>
            </w:r>
            <w:r w:rsidRPr="00F51E09">
              <w:rPr>
                <w:szCs w:val="22"/>
              </w:rPr>
              <w:t>2024</w:t>
            </w:r>
            <w:r w:rsidRPr="00F51E09">
              <w:rPr>
                <w:b/>
                <w:szCs w:val="22"/>
              </w:rPr>
              <w:t>]</w:t>
            </w:r>
          </w:p>
        </w:tc>
        <w:tc>
          <w:tcPr>
            <w:tcW w:w="3261" w:type="dxa"/>
            <w:vAlign w:val="center"/>
          </w:tcPr>
          <w:p w14:paraId="4C4CAB81" w14:textId="77777777" w:rsidR="007700D0" w:rsidRPr="00644BB5" w:rsidRDefault="007700D0" w:rsidP="00365F82">
            <w:pPr>
              <w:widowControl w:val="0"/>
              <w:rPr>
                <w:rFonts w:cs="Arial"/>
                <w:szCs w:val="22"/>
              </w:rPr>
            </w:pPr>
            <w:r w:rsidRPr="00644BB5">
              <w:rPr>
                <w:rFonts w:cs="Arial"/>
                <w:bCs/>
                <w:szCs w:val="22"/>
              </w:rPr>
              <w:t>Transportable gas cylinders – Refillable welded steel gas cylinders – Design and construction – Part 1: Welded steel</w:t>
            </w:r>
          </w:p>
        </w:tc>
        <w:tc>
          <w:tcPr>
            <w:tcW w:w="1012" w:type="dxa"/>
            <w:vAlign w:val="center"/>
          </w:tcPr>
          <w:p w14:paraId="345C54AC" w14:textId="77777777" w:rsidR="007700D0" w:rsidRPr="00644BB5" w:rsidRDefault="007700D0" w:rsidP="00365F82">
            <w:pPr>
              <w:widowControl w:val="0"/>
              <w:rPr>
                <w:rFonts w:cs="Arial"/>
                <w:szCs w:val="22"/>
              </w:rPr>
            </w:pPr>
            <w:r w:rsidRPr="00644BB5">
              <w:rPr>
                <w:rFonts w:cs="Arial"/>
                <w:szCs w:val="22"/>
              </w:rPr>
              <w:t>6.2.3.1 and 6.2.3.4</w:t>
            </w:r>
          </w:p>
        </w:tc>
        <w:tc>
          <w:tcPr>
            <w:tcW w:w="956" w:type="dxa"/>
            <w:vAlign w:val="center"/>
          </w:tcPr>
          <w:p w14:paraId="55291809" w14:textId="77777777" w:rsidR="007700D0" w:rsidRPr="00644BB5" w:rsidRDefault="007700D0" w:rsidP="00365F82">
            <w:pPr>
              <w:widowControl w:val="0"/>
              <w:jc w:val="center"/>
              <w:rPr>
                <w:rFonts w:cs="Arial"/>
                <w:szCs w:val="22"/>
              </w:rPr>
            </w:pPr>
            <w:r w:rsidRPr="00644BB5">
              <w:rPr>
                <w:rFonts w:cs="Arial"/>
                <w:szCs w:val="22"/>
              </w:rPr>
              <w:t>Until further notice</w:t>
            </w:r>
          </w:p>
        </w:tc>
        <w:tc>
          <w:tcPr>
            <w:tcW w:w="664" w:type="dxa"/>
            <w:vAlign w:val="center"/>
          </w:tcPr>
          <w:p w14:paraId="248BEB09" w14:textId="77777777" w:rsidR="007700D0" w:rsidRPr="00644BB5" w:rsidRDefault="007700D0" w:rsidP="00365F82">
            <w:pPr>
              <w:widowControl w:val="0"/>
              <w:rPr>
                <w:rFonts w:cs="Arial"/>
                <w:szCs w:val="22"/>
              </w:rPr>
            </w:pPr>
          </w:p>
        </w:tc>
      </w:tr>
    </w:tbl>
    <w:p w14:paraId="5BE167F7" w14:textId="77777777" w:rsidR="007700D0" w:rsidRPr="00F51E09" w:rsidRDefault="007700D0" w:rsidP="007700D0">
      <w:pPr>
        <w:pStyle w:val="SingleTxtG"/>
        <w:ind w:left="1418"/>
      </w:pPr>
      <w:r w:rsidRPr="00F51E09">
        <w:t>"</w:t>
      </w:r>
    </w:p>
    <w:p w14:paraId="715E62F1" w14:textId="6AA79BDC" w:rsidR="007700D0" w:rsidRPr="00644BB5" w:rsidRDefault="00FF43D6" w:rsidP="007700D0">
      <w:pPr>
        <w:pStyle w:val="SingleTxtG"/>
        <w:rPr>
          <w:i/>
          <w:iCs/>
        </w:rPr>
      </w:pPr>
      <w:r w:rsidRPr="00644BB5">
        <w:rPr>
          <w:i/>
          <w:iCs/>
        </w:rPr>
        <w:t>(</w:t>
      </w:r>
      <w:r w:rsidR="007700D0" w:rsidRPr="00644BB5">
        <w:rPr>
          <w:i/>
          <w:iCs/>
        </w:rPr>
        <w:t>Reference document: informal document INF.14, proposal 3.4</w:t>
      </w:r>
      <w:r w:rsidR="008F5C32" w:rsidRPr="00644BB5">
        <w:rPr>
          <w:i/>
          <w:iCs/>
        </w:rPr>
        <w:t>)</w:t>
      </w:r>
    </w:p>
    <w:p w14:paraId="4D06AD30" w14:textId="77777777" w:rsidR="007700D0" w:rsidRPr="00F51E09" w:rsidRDefault="007700D0" w:rsidP="007700D0">
      <w:pPr>
        <w:pStyle w:val="SingleTxtG"/>
      </w:pPr>
      <w:r w:rsidRPr="00F51E09">
        <w:t>In the table, under "</w:t>
      </w:r>
      <w:r w:rsidRPr="00F51E09">
        <w:rPr>
          <w:b/>
          <w:i/>
        </w:rPr>
        <w:t>for design and construction of closures</w:t>
      </w:r>
      <w:r w:rsidRPr="00F51E09">
        <w:t>", amend the following:</w:t>
      </w:r>
    </w:p>
    <w:p w14:paraId="142EEB2C" w14:textId="77777777" w:rsidR="007700D0" w:rsidRPr="00F51E09" w:rsidRDefault="007700D0" w:rsidP="007700D0">
      <w:pPr>
        <w:pStyle w:val="SingleTxtG"/>
      </w:pPr>
      <w:r w:rsidRPr="00644BB5">
        <w:t>–</w:t>
      </w:r>
      <w:r w:rsidRPr="00644BB5">
        <w:tab/>
      </w:r>
      <w:r w:rsidRPr="00F51E09">
        <w:t xml:space="preserve">In the row for </w:t>
      </w:r>
      <w:r w:rsidRPr="00644BB5">
        <w:t>"EN ISO 10297:2014 + A1:2017"</w:t>
      </w:r>
      <w:r w:rsidRPr="00F51E09">
        <w:t>, in column (4), replace "Until further notice" by:</w:t>
      </w:r>
    </w:p>
    <w:p w14:paraId="6700BD91" w14:textId="77777777" w:rsidR="007700D0" w:rsidRPr="00F51E09" w:rsidRDefault="007700D0" w:rsidP="007700D0">
      <w:pPr>
        <w:pStyle w:val="SingleTxtG"/>
      </w:pPr>
      <w:r w:rsidRPr="00644BB5">
        <w:t>"Between 1 January 2019 and 31 December 2026".</w:t>
      </w:r>
    </w:p>
    <w:p w14:paraId="22754190" w14:textId="68808323" w:rsidR="007700D0" w:rsidRPr="00644BB5" w:rsidRDefault="008F5C32" w:rsidP="007700D0">
      <w:pPr>
        <w:pStyle w:val="SingleTxtG"/>
        <w:rPr>
          <w:i/>
          <w:iCs/>
        </w:rPr>
      </w:pPr>
      <w:r w:rsidRPr="00644BB5">
        <w:rPr>
          <w:i/>
          <w:iCs/>
        </w:rPr>
        <w:t>(</w:t>
      </w:r>
      <w:r w:rsidR="007700D0" w:rsidRPr="00644BB5">
        <w:rPr>
          <w:i/>
          <w:iCs/>
        </w:rPr>
        <w:t>Reference document: informal document INF.14, proposal 3.2</w:t>
      </w:r>
      <w:r w:rsidRPr="00644BB5">
        <w:rPr>
          <w:i/>
          <w:iCs/>
        </w:rPr>
        <w:t>)</w:t>
      </w:r>
    </w:p>
    <w:p w14:paraId="0760FBA5" w14:textId="77777777" w:rsidR="007700D0" w:rsidRPr="00F51E09" w:rsidRDefault="007700D0" w:rsidP="007700D0">
      <w:pPr>
        <w:pStyle w:val="SingleTxtG"/>
      </w:pPr>
      <w:r w:rsidRPr="00F51E09">
        <w:t>–</w:t>
      </w:r>
      <w:r w:rsidRPr="00F51E09">
        <w:tab/>
        <w:t xml:space="preserve">After the row for </w:t>
      </w:r>
      <w:r w:rsidRPr="00644BB5">
        <w:t>"EN ISO 10297:2014 +A1:2017"</w:t>
      </w:r>
      <w:r w:rsidRPr="00F51E09">
        <w:t>, insert the following new row:</w:t>
      </w:r>
    </w:p>
    <w:p w14:paraId="2EA2A39D" w14:textId="77777777" w:rsidR="007700D0" w:rsidRPr="00F51E09" w:rsidRDefault="007700D0" w:rsidP="007700D0">
      <w:pPr>
        <w:widowControl w:val="0"/>
        <w:ind w:left="1800" w:hanging="382"/>
        <w:rPr>
          <w:rFonts w:cs="Arial"/>
          <w:szCs w:val="22"/>
        </w:rPr>
      </w:pPr>
      <w:r w:rsidRPr="00F51E09">
        <w:rPr>
          <w:rFonts w:cs="Arial"/>
          <w:szCs w:val="22"/>
        </w:rPr>
        <w:t>"</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7700D0" w:rsidRPr="00F51E09" w14:paraId="082D2D66" w14:textId="77777777" w:rsidTr="00365F82">
        <w:tc>
          <w:tcPr>
            <w:tcW w:w="1991" w:type="dxa"/>
          </w:tcPr>
          <w:p w14:paraId="306B7A21" w14:textId="77777777" w:rsidR="007700D0" w:rsidRPr="00F51E09" w:rsidRDefault="007700D0" w:rsidP="00365F82">
            <w:pPr>
              <w:widowControl w:val="0"/>
              <w:rPr>
                <w:rFonts w:cs="Arial"/>
                <w:szCs w:val="22"/>
              </w:rPr>
            </w:pPr>
            <w:r w:rsidRPr="00F51E09">
              <w:rPr>
                <w:rFonts w:cs="Arial"/>
                <w:szCs w:val="22"/>
              </w:rPr>
              <w:t>(1)</w:t>
            </w:r>
          </w:p>
        </w:tc>
        <w:tc>
          <w:tcPr>
            <w:tcW w:w="3261" w:type="dxa"/>
          </w:tcPr>
          <w:p w14:paraId="26391164" w14:textId="77777777" w:rsidR="007700D0" w:rsidRPr="00F51E09" w:rsidRDefault="007700D0" w:rsidP="00365F82">
            <w:pPr>
              <w:widowControl w:val="0"/>
              <w:rPr>
                <w:rFonts w:cs="Arial"/>
                <w:szCs w:val="22"/>
              </w:rPr>
            </w:pPr>
            <w:r w:rsidRPr="00F51E09">
              <w:rPr>
                <w:rFonts w:cs="Arial"/>
                <w:szCs w:val="22"/>
              </w:rPr>
              <w:t>(2)</w:t>
            </w:r>
          </w:p>
        </w:tc>
        <w:tc>
          <w:tcPr>
            <w:tcW w:w="1012" w:type="dxa"/>
          </w:tcPr>
          <w:p w14:paraId="765CF527" w14:textId="77777777" w:rsidR="007700D0" w:rsidRPr="00F51E09" w:rsidRDefault="007700D0" w:rsidP="00365F82">
            <w:pPr>
              <w:widowControl w:val="0"/>
              <w:rPr>
                <w:rFonts w:cs="Arial"/>
                <w:szCs w:val="22"/>
              </w:rPr>
            </w:pPr>
            <w:r w:rsidRPr="00F51E09">
              <w:rPr>
                <w:rFonts w:cs="Arial"/>
                <w:szCs w:val="22"/>
              </w:rPr>
              <w:t>(3)</w:t>
            </w:r>
          </w:p>
        </w:tc>
        <w:tc>
          <w:tcPr>
            <w:tcW w:w="956" w:type="dxa"/>
          </w:tcPr>
          <w:p w14:paraId="6735D27A" w14:textId="77777777" w:rsidR="007700D0" w:rsidRPr="00F51E09" w:rsidRDefault="007700D0" w:rsidP="00365F82">
            <w:pPr>
              <w:widowControl w:val="0"/>
              <w:rPr>
                <w:rFonts w:cs="Arial"/>
                <w:szCs w:val="22"/>
              </w:rPr>
            </w:pPr>
            <w:r w:rsidRPr="00F51E09">
              <w:rPr>
                <w:rFonts w:cs="Arial"/>
                <w:szCs w:val="22"/>
              </w:rPr>
              <w:t>(4)</w:t>
            </w:r>
          </w:p>
        </w:tc>
        <w:tc>
          <w:tcPr>
            <w:tcW w:w="664" w:type="dxa"/>
          </w:tcPr>
          <w:p w14:paraId="16D86F29" w14:textId="77777777" w:rsidR="007700D0" w:rsidRPr="00F51E09" w:rsidRDefault="007700D0" w:rsidP="00365F82">
            <w:pPr>
              <w:widowControl w:val="0"/>
              <w:rPr>
                <w:rFonts w:cs="Arial"/>
                <w:szCs w:val="22"/>
              </w:rPr>
            </w:pPr>
            <w:r w:rsidRPr="00F51E09">
              <w:rPr>
                <w:rFonts w:cs="Arial"/>
                <w:szCs w:val="22"/>
              </w:rPr>
              <w:t>(5)</w:t>
            </w:r>
          </w:p>
        </w:tc>
      </w:tr>
      <w:tr w:rsidR="007700D0" w:rsidRPr="00F51E09" w14:paraId="514B2295" w14:textId="77777777" w:rsidTr="00365F82">
        <w:tc>
          <w:tcPr>
            <w:tcW w:w="1991" w:type="dxa"/>
            <w:vAlign w:val="center"/>
          </w:tcPr>
          <w:p w14:paraId="483349B1" w14:textId="77777777" w:rsidR="007700D0" w:rsidRPr="00F51E09" w:rsidRDefault="007700D0" w:rsidP="00365F82">
            <w:pPr>
              <w:widowControl w:val="0"/>
              <w:rPr>
                <w:rFonts w:cs="Arial"/>
                <w:szCs w:val="22"/>
              </w:rPr>
            </w:pPr>
            <w:r w:rsidRPr="00F51E09">
              <w:rPr>
                <w:szCs w:val="22"/>
              </w:rPr>
              <w:t>EN ISO 10297:</w:t>
            </w:r>
            <w:r w:rsidRPr="00F51E09">
              <w:rPr>
                <w:b/>
                <w:szCs w:val="22"/>
              </w:rPr>
              <w:t>[</w:t>
            </w:r>
            <w:r w:rsidRPr="00F51E09">
              <w:rPr>
                <w:szCs w:val="22"/>
              </w:rPr>
              <w:t>2024</w:t>
            </w:r>
            <w:r w:rsidRPr="00F51E09">
              <w:rPr>
                <w:b/>
                <w:szCs w:val="22"/>
              </w:rPr>
              <w:t>]</w:t>
            </w:r>
          </w:p>
        </w:tc>
        <w:tc>
          <w:tcPr>
            <w:tcW w:w="3261" w:type="dxa"/>
            <w:vAlign w:val="center"/>
          </w:tcPr>
          <w:p w14:paraId="729EE882" w14:textId="77777777" w:rsidR="007700D0" w:rsidRPr="00644BB5" w:rsidRDefault="007700D0" w:rsidP="00365F82">
            <w:pPr>
              <w:widowControl w:val="0"/>
              <w:rPr>
                <w:rFonts w:cs="Arial"/>
                <w:bCs/>
                <w:szCs w:val="22"/>
              </w:rPr>
            </w:pPr>
            <w:bookmarkStart w:id="24" w:name="_Hlk158206034"/>
            <w:r w:rsidRPr="00F51E09">
              <w:rPr>
                <w:bCs/>
                <w:iCs/>
              </w:rPr>
              <w:t>Gas cylinders – Cylinder valves – Specification and type testing</w:t>
            </w:r>
            <w:bookmarkEnd w:id="24"/>
          </w:p>
        </w:tc>
        <w:tc>
          <w:tcPr>
            <w:tcW w:w="1012" w:type="dxa"/>
            <w:vAlign w:val="center"/>
          </w:tcPr>
          <w:p w14:paraId="554AC1EE" w14:textId="77777777" w:rsidR="007700D0" w:rsidRPr="00F51E09" w:rsidRDefault="007700D0" w:rsidP="00365F82">
            <w:pPr>
              <w:widowControl w:val="0"/>
              <w:rPr>
                <w:rFonts w:cs="Arial"/>
                <w:szCs w:val="22"/>
              </w:rPr>
            </w:pPr>
            <w:r w:rsidRPr="00F51E09">
              <w:rPr>
                <w:rFonts w:cs="Arial"/>
                <w:szCs w:val="22"/>
              </w:rPr>
              <w:t>6.2.3.1 and 6.2.3.3</w:t>
            </w:r>
          </w:p>
        </w:tc>
        <w:tc>
          <w:tcPr>
            <w:tcW w:w="956" w:type="dxa"/>
            <w:vAlign w:val="center"/>
          </w:tcPr>
          <w:p w14:paraId="2FFEA74C" w14:textId="77777777" w:rsidR="007700D0" w:rsidRPr="00F51E09" w:rsidRDefault="007700D0" w:rsidP="00365F82">
            <w:pPr>
              <w:widowControl w:val="0"/>
              <w:jc w:val="center"/>
              <w:rPr>
                <w:rFonts w:cs="Arial"/>
                <w:szCs w:val="22"/>
              </w:rPr>
            </w:pPr>
            <w:r w:rsidRPr="00F51E09">
              <w:rPr>
                <w:rFonts w:cs="Arial"/>
                <w:szCs w:val="22"/>
              </w:rPr>
              <w:t>Until further notice</w:t>
            </w:r>
          </w:p>
        </w:tc>
        <w:tc>
          <w:tcPr>
            <w:tcW w:w="664" w:type="dxa"/>
            <w:vAlign w:val="center"/>
          </w:tcPr>
          <w:p w14:paraId="5764CE4C" w14:textId="77777777" w:rsidR="007700D0" w:rsidRPr="00F51E09" w:rsidRDefault="007700D0" w:rsidP="00365F82">
            <w:pPr>
              <w:widowControl w:val="0"/>
              <w:rPr>
                <w:rFonts w:cs="Arial"/>
                <w:szCs w:val="22"/>
              </w:rPr>
            </w:pPr>
          </w:p>
        </w:tc>
      </w:tr>
    </w:tbl>
    <w:p w14:paraId="4A7A9A53" w14:textId="77777777" w:rsidR="007700D0" w:rsidRPr="00644BB5" w:rsidRDefault="007700D0" w:rsidP="007700D0">
      <w:pPr>
        <w:widowControl w:val="0"/>
        <w:ind w:left="1800" w:hanging="382"/>
        <w:rPr>
          <w:rFonts w:cs="Arial"/>
          <w:szCs w:val="22"/>
        </w:rPr>
      </w:pPr>
      <w:r w:rsidRPr="00644BB5">
        <w:rPr>
          <w:rFonts w:cs="Arial"/>
          <w:szCs w:val="22"/>
        </w:rPr>
        <w:t>"</w:t>
      </w:r>
    </w:p>
    <w:p w14:paraId="5C7F4714" w14:textId="4FDC12F7" w:rsidR="007700D0" w:rsidRPr="00644BB5" w:rsidRDefault="00663F8C" w:rsidP="007700D0">
      <w:pPr>
        <w:pStyle w:val="SingleTxtG"/>
        <w:rPr>
          <w:i/>
          <w:iCs/>
        </w:rPr>
      </w:pPr>
      <w:r w:rsidRPr="00644BB5">
        <w:rPr>
          <w:i/>
          <w:iCs/>
        </w:rPr>
        <w:t>(</w:t>
      </w:r>
      <w:r w:rsidR="007700D0" w:rsidRPr="00644BB5">
        <w:rPr>
          <w:i/>
          <w:iCs/>
        </w:rPr>
        <w:t>Reference document: informal document INF.14, proposal 3.2</w:t>
      </w:r>
      <w:r w:rsidRPr="00644BB5">
        <w:rPr>
          <w:i/>
          <w:iCs/>
        </w:rPr>
        <w:t>)</w:t>
      </w:r>
    </w:p>
    <w:p w14:paraId="19D6BDCF" w14:textId="77777777" w:rsidR="007700D0" w:rsidRPr="00F51E09" w:rsidRDefault="007700D0" w:rsidP="007700D0">
      <w:pPr>
        <w:pStyle w:val="SingleTxtG"/>
      </w:pPr>
      <w:r w:rsidRPr="00644BB5">
        <w:t>–</w:t>
      </w:r>
      <w:r w:rsidRPr="00644BB5">
        <w:tab/>
      </w:r>
      <w:r w:rsidRPr="00F51E09">
        <w:t xml:space="preserve">In the row for </w:t>
      </w:r>
      <w:r w:rsidRPr="00644BB5">
        <w:t>"EN ISO 17871:2020"</w:t>
      </w:r>
      <w:r w:rsidRPr="00F51E09">
        <w:t>, in column (4), replace "Until further notice" by:</w:t>
      </w:r>
    </w:p>
    <w:p w14:paraId="5E3C651F" w14:textId="77777777" w:rsidR="007700D0" w:rsidRPr="00F51E09" w:rsidRDefault="007700D0" w:rsidP="007700D0">
      <w:pPr>
        <w:pStyle w:val="SingleTxtG"/>
      </w:pPr>
      <w:r w:rsidRPr="00644BB5">
        <w:t>"Between 1 </w:t>
      </w:r>
      <w:r w:rsidRPr="00F51E09">
        <w:t>January</w:t>
      </w:r>
      <w:r w:rsidRPr="00644BB5">
        <w:t xml:space="preserve"> 2023 and 31 December 2026".</w:t>
      </w:r>
    </w:p>
    <w:p w14:paraId="4E003592" w14:textId="006F6334" w:rsidR="007700D0" w:rsidRPr="00644BB5" w:rsidRDefault="00663F8C" w:rsidP="007700D0">
      <w:pPr>
        <w:pStyle w:val="SingleTxtG"/>
        <w:rPr>
          <w:i/>
          <w:iCs/>
        </w:rPr>
      </w:pPr>
      <w:r w:rsidRPr="00644BB5">
        <w:rPr>
          <w:i/>
          <w:iCs/>
        </w:rPr>
        <w:t>(</w:t>
      </w:r>
      <w:r w:rsidR="007700D0" w:rsidRPr="00644BB5">
        <w:rPr>
          <w:i/>
          <w:iCs/>
        </w:rPr>
        <w:t>Reference document: informal document INF.14, proposal 3.1</w:t>
      </w:r>
      <w:r w:rsidRPr="00644BB5">
        <w:rPr>
          <w:i/>
          <w:iCs/>
        </w:rPr>
        <w:t>)</w:t>
      </w:r>
    </w:p>
    <w:p w14:paraId="7913FDAC" w14:textId="77777777" w:rsidR="007700D0" w:rsidRPr="00644BB5" w:rsidRDefault="007700D0" w:rsidP="007700D0">
      <w:pPr>
        <w:pStyle w:val="SingleTxtG"/>
        <w:rPr>
          <w:rFonts w:cs="Arial"/>
          <w:szCs w:val="22"/>
        </w:rPr>
      </w:pPr>
      <w:r w:rsidRPr="00644BB5">
        <w:rPr>
          <w:rFonts w:cs="Arial"/>
          <w:szCs w:val="22"/>
        </w:rPr>
        <w:t>–</w:t>
      </w:r>
      <w:r w:rsidRPr="00644BB5">
        <w:rPr>
          <w:rFonts w:cs="Arial"/>
          <w:szCs w:val="22"/>
        </w:rPr>
        <w:tab/>
      </w:r>
      <w:r w:rsidRPr="00F51E09">
        <w:t xml:space="preserve">After the row for </w:t>
      </w:r>
      <w:r w:rsidRPr="00644BB5">
        <w:t>"EN ISO 17871:2020"</w:t>
      </w:r>
      <w:r w:rsidRPr="00F51E09">
        <w:t>, insert the following new row:</w:t>
      </w:r>
    </w:p>
    <w:p w14:paraId="0EF7B54F" w14:textId="77777777" w:rsidR="007700D0" w:rsidRPr="00F51E09" w:rsidRDefault="007700D0" w:rsidP="007700D0">
      <w:pPr>
        <w:widowControl w:val="0"/>
        <w:ind w:left="1800" w:hanging="382"/>
        <w:rPr>
          <w:rFonts w:cs="Arial"/>
          <w:szCs w:val="22"/>
        </w:rPr>
      </w:pPr>
      <w:r w:rsidRPr="00F51E09">
        <w:rPr>
          <w:rFonts w:cs="Arial"/>
          <w:szCs w:val="22"/>
        </w:rPr>
        <w:t>"</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7700D0" w:rsidRPr="00F51E09" w14:paraId="071301D6" w14:textId="77777777" w:rsidTr="00365F82">
        <w:tc>
          <w:tcPr>
            <w:tcW w:w="1991" w:type="dxa"/>
          </w:tcPr>
          <w:p w14:paraId="4FF35B0F" w14:textId="77777777" w:rsidR="007700D0" w:rsidRPr="00F51E09" w:rsidRDefault="007700D0" w:rsidP="00365F82">
            <w:pPr>
              <w:widowControl w:val="0"/>
              <w:rPr>
                <w:rFonts w:cs="Arial"/>
                <w:szCs w:val="22"/>
              </w:rPr>
            </w:pPr>
            <w:r w:rsidRPr="00F51E09">
              <w:rPr>
                <w:rFonts w:cs="Arial"/>
                <w:szCs w:val="22"/>
              </w:rPr>
              <w:t>(1)</w:t>
            </w:r>
          </w:p>
        </w:tc>
        <w:tc>
          <w:tcPr>
            <w:tcW w:w="3261" w:type="dxa"/>
          </w:tcPr>
          <w:p w14:paraId="45F9339A" w14:textId="77777777" w:rsidR="007700D0" w:rsidRPr="00F51E09" w:rsidRDefault="007700D0" w:rsidP="00365F82">
            <w:pPr>
              <w:widowControl w:val="0"/>
              <w:rPr>
                <w:rFonts w:cs="Arial"/>
                <w:szCs w:val="22"/>
              </w:rPr>
            </w:pPr>
            <w:r w:rsidRPr="00F51E09">
              <w:rPr>
                <w:rFonts w:cs="Arial"/>
                <w:szCs w:val="22"/>
              </w:rPr>
              <w:t>(2)</w:t>
            </w:r>
          </w:p>
        </w:tc>
        <w:tc>
          <w:tcPr>
            <w:tcW w:w="1012" w:type="dxa"/>
          </w:tcPr>
          <w:p w14:paraId="043D7D08" w14:textId="77777777" w:rsidR="007700D0" w:rsidRPr="00F51E09" w:rsidRDefault="007700D0" w:rsidP="00365F82">
            <w:pPr>
              <w:widowControl w:val="0"/>
              <w:rPr>
                <w:rFonts w:cs="Arial"/>
                <w:szCs w:val="22"/>
              </w:rPr>
            </w:pPr>
            <w:r w:rsidRPr="00F51E09">
              <w:rPr>
                <w:rFonts w:cs="Arial"/>
                <w:szCs w:val="22"/>
              </w:rPr>
              <w:t>(3)</w:t>
            </w:r>
          </w:p>
        </w:tc>
        <w:tc>
          <w:tcPr>
            <w:tcW w:w="956" w:type="dxa"/>
          </w:tcPr>
          <w:p w14:paraId="45F24677" w14:textId="77777777" w:rsidR="007700D0" w:rsidRPr="00F51E09" w:rsidRDefault="007700D0" w:rsidP="00365F82">
            <w:pPr>
              <w:widowControl w:val="0"/>
              <w:rPr>
                <w:rFonts w:cs="Arial"/>
                <w:szCs w:val="22"/>
              </w:rPr>
            </w:pPr>
            <w:r w:rsidRPr="00F51E09">
              <w:rPr>
                <w:rFonts w:cs="Arial"/>
                <w:szCs w:val="22"/>
              </w:rPr>
              <w:t>(4)</w:t>
            </w:r>
          </w:p>
        </w:tc>
        <w:tc>
          <w:tcPr>
            <w:tcW w:w="664" w:type="dxa"/>
          </w:tcPr>
          <w:p w14:paraId="7A8623A9" w14:textId="77777777" w:rsidR="007700D0" w:rsidRPr="00F51E09" w:rsidRDefault="007700D0" w:rsidP="00365F82">
            <w:pPr>
              <w:widowControl w:val="0"/>
              <w:rPr>
                <w:rFonts w:cs="Arial"/>
                <w:szCs w:val="22"/>
              </w:rPr>
            </w:pPr>
            <w:r w:rsidRPr="00F51E09">
              <w:rPr>
                <w:rFonts w:cs="Arial"/>
                <w:szCs w:val="22"/>
              </w:rPr>
              <w:t>(5)</w:t>
            </w:r>
          </w:p>
        </w:tc>
      </w:tr>
      <w:tr w:rsidR="007700D0" w:rsidRPr="00F51E09" w14:paraId="07F81F3A" w14:textId="77777777" w:rsidTr="00365F82">
        <w:tc>
          <w:tcPr>
            <w:tcW w:w="1991" w:type="dxa"/>
            <w:vAlign w:val="center"/>
          </w:tcPr>
          <w:p w14:paraId="7F3A1088" w14:textId="77777777" w:rsidR="007700D0" w:rsidRPr="00F51E09" w:rsidRDefault="007700D0" w:rsidP="00365F82">
            <w:pPr>
              <w:widowControl w:val="0"/>
              <w:rPr>
                <w:rFonts w:cs="Arial"/>
                <w:szCs w:val="22"/>
              </w:rPr>
            </w:pPr>
            <w:r w:rsidRPr="00F51E09">
              <w:rPr>
                <w:szCs w:val="22"/>
              </w:rPr>
              <w:t>EN ISO 17871:2020 + A1:</w:t>
            </w:r>
            <w:r w:rsidRPr="00F51E09">
              <w:rPr>
                <w:b/>
                <w:szCs w:val="22"/>
              </w:rPr>
              <w:t>[</w:t>
            </w:r>
            <w:r w:rsidRPr="00F51E09">
              <w:rPr>
                <w:szCs w:val="22"/>
              </w:rPr>
              <w:t>2024</w:t>
            </w:r>
            <w:r w:rsidRPr="00F51E09">
              <w:rPr>
                <w:b/>
                <w:szCs w:val="22"/>
              </w:rPr>
              <w:t>]</w:t>
            </w:r>
          </w:p>
        </w:tc>
        <w:tc>
          <w:tcPr>
            <w:tcW w:w="3261" w:type="dxa"/>
            <w:vAlign w:val="center"/>
          </w:tcPr>
          <w:p w14:paraId="71992E89" w14:textId="77777777" w:rsidR="007700D0" w:rsidRPr="00644BB5" w:rsidRDefault="007700D0" w:rsidP="00365F82">
            <w:pPr>
              <w:widowControl w:val="0"/>
              <w:rPr>
                <w:rFonts w:cs="Arial"/>
                <w:bCs/>
                <w:szCs w:val="22"/>
              </w:rPr>
            </w:pPr>
            <w:r w:rsidRPr="00644BB5">
              <w:t>Gas cylinders – Quick-release cylinder valves – Specification and type testing</w:t>
            </w:r>
          </w:p>
        </w:tc>
        <w:tc>
          <w:tcPr>
            <w:tcW w:w="1012" w:type="dxa"/>
            <w:vAlign w:val="center"/>
          </w:tcPr>
          <w:p w14:paraId="1C9B24CC" w14:textId="77777777" w:rsidR="007700D0" w:rsidRPr="00F51E09" w:rsidRDefault="007700D0" w:rsidP="00365F82">
            <w:pPr>
              <w:widowControl w:val="0"/>
              <w:rPr>
                <w:rFonts w:cs="Arial"/>
                <w:szCs w:val="22"/>
              </w:rPr>
            </w:pPr>
            <w:r w:rsidRPr="00F51E09">
              <w:rPr>
                <w:rFonts w:cs="Arial"/>
                <w:szCs w:val="22"/>
              </w:rPr>
              <w:t>6.2.3.1, 6.2.3.3 and 6.2.3.4</w:t>
            </w:r>
          </w:p>
        </w:tc>
        <w:tc>
          <w:tcPr>
            <w:tcW w:w="956" w:type="dxa"/>
            <w:vAlign w:val="center"/>
          </w:tcPr>
          <w:p w14:paraId="06DF76A9" w14:textId="77777777" w:rsidR="007700D0" w:rsidRPr="00F51E09" w:rsidRDefault="007700D0" w:rsidP="00365F82">
            <w:pPr>
              <w:widowControl w:val="0"/>
              <w:jc w:val="center"/>
              <w:rPr>
                <w:rFonts w:cs="Arial"/>
                <w:szCs w:val="22"/>
              </w:rPr>
            </w:pPr>
            <w:r w:rsidRPr="00F51E09">
              <w:rPr>
                <w:rFonts w:cs="Arial"/>
                <w:szCs w:val="22"/>
              </w:rPr>
              <w:t>Until further notice</w:t>
            </w:r>
          </w:p>
        </w:tc>
        <w:tc>
          <w:tcPr>
            <w:tcW w:w="664" w:type="dxa"/>
            <w:vAlign w:val="center"/>
          </w:tcPr>
          <w:p w14:paraId="45D7EEFC" w14:textId="77777777" w:rsidR="007700D0" w:rsidRPr="00F51E09" w:rsidRDefault="007700D0" w:rsidP="00365F82">
            <w:pPr>
              <w:widowControl w:val="0"/>
              <w:rPr>
                <w:rFonts w:cs="Arial"/>
                <w:szCs w:val="22"/>
              </w:rPr>
            </w:pPr>
          </w:p>
        </w:tc>
      </w:tr>
    </w:tbl>
    <w:p w14:paraId="54D2BA34" w14:textId="77777777" w:rsidR="007700D0" w:rsidRPr="00F51E09" w:rsidRDefault="007700D0" w:rsidP="007700D0">
      <w:pPr>
        <w:widowControl w:val="0"/>
        <w:ind w:left="1800" w:hanging="382"/>
        <w:rPr>
          <w:rFonts w:cs="Arial"/>
          <w:szCs w:val="22"/>
        </w:rPr>
      </w:pPr>
      <w:r w:rsidRPr="00F51E09">
        <w:rPr>
          <w:rFonts w:cs="Arial"/>
          <w:szCs w:val="22"/>
        </w:rPr>
        <w:t>"</w:t>
      </w:r>
    </w:p>
    <w:p w14:paraId="333E3755" w14:textId="6C9B8B05" w:rsidR="007700D0" w:rsidRPr="00644BB5" w:rsidRDefault="00663F8C" w:rsidP="007700D0">
      <w:pPr>
        <w:pStyle w:val="SingleTxtG"/>
        <w:rPr>
          <w:i/>
          <w:iCs/>
        </w:rPr>
      </w:pPr>
      <w:r w:rsidRPr="00644BB5">
        <w:rPr>
          <w:i/>
          <w:iCs/>
        </w:rPr>
        <w:t>(</w:t>
      </w:r>
      <w:r w:rsidR="007700D0" w:rsidRPr="00644BB5">
        <w:rPr>
          <w:i/>
          <w:iCs/>
        </w:rPr>
        <w:t>Reference document: informal document INF.14, proposal 3.1</w:t>
      </w:r>
      <w:r w:rsidRPr="00644BB5">
        <w:rPr>
          <w:i/>
          <w:iCs/>
        </w:rPr>
        <w:t>)</w:t>
      </w:r>
    </w:p>
    <w:p w14:paraId="74DD7491" w14:textId="77777777" w:rsidR="007700D0" w:rsidRPr="00644BB5" w:rsidRDefault="007700D0" w:rsidP="007700D0">
      <w:pPr>
        <w:pStyle w:val="H23G"/>
      </w:pPr>
      <w:r w:rsidRPr="00644BB5">
        <w:tab/>
      </w:r>
      <w:r w:rsidRPr="00644BB5">
        <w:tab/>
        <w:t>Chapter 6.8</w:t>
      </w:r>
    </w:p>
    <w:p w14:paraId="6ECDE3D2" w14:textId="77777777" w:rsidR="007700D0" w:rsidRPr="00644BB5" w:rsidRDefault="007700D0" w:rsidP="007700D0">
      <w:pPr>
        <w:pStyle w:val="SingleTxtG"/>
      </w:pPr>
      <w:r w:rsidRPr="00644BB5">
        <w:rPr>
          <w:bCs/>
        </w:rPr>
        <w:t>6.8.2.3.2</w:t>
      </w:r>
      <w:r w:rsidRPr="00644BB5">
        <w:rPr>
          <w:bCs/>
        </w:rPr>
        <w:tab/>
      </w:r>
      <w:r w:rsidRPr="00644BB5">
        <w:t>In the Note, replace "Annex B of EN 12972:2018" by:</w:t>
      </w:r>
    </w:p>
    <w:p w14:paraId="6BA9E6F2" w14:textId="77777777" w:rsidR="007700D0" w:rsidRPr="00644BB5" w:rsidRDefault="007700D0" w:rsidP="007700D0">
      <w:pPr>
        <w:pStyle w:val="SingleTxtG"/>
      </w:pPr>
      <w:r w:rsidRPr="00644BB5">
        <w:lastRenderedPageBreak/>
        <w:t>"</w:t>
      </w:r>
      <w:r w:rsidRPr="00F51E09">
        <w:t>Annex</w:t>
      </w:r>
      <w:r w:rsidRPr="00644BB5">
        <w:t xml:space="preserve"> B of EN 12972:2018 + A1:</w:t>
      </w:r>
      <w:r w:rsidRPr="00644BB5">
        <w:rPr>
          <w:b/>
        </w:rPr>
        <w:t>[</w:t>
      </w:r>
      <w:r w:rsidRPr="00644BB5">
        <w:t>2024</w:t>
      </w:r>
      <w:r w:rsidRPr="00644BB5">
        <w:rPr>
          <w:b/>
        </w:rPr>
        <w:t>]</w:t>
      </w:r>
      <w:r w:rsidRPr="00644BB5">
        <w:t>.</w:t>
      </w:r>
    </w:p>
    <w:p w14:paraId="700DD543" w14:textId="45326F47" w:rsidR="007700D0" w:rsidRPr="00644BB5" w:rsidRDefault="00663F8C" w:rsidP="007700D0">
      <w:pPr>
        <w:pStyle w:val="SingleTxtG"/>
        <w:rPr>
          <w:i/>
          <w:iCs/>
        </w:rPr>
      </w:pPr>
      <w:r w:rsidRPr="00644BB5">
        <w:rPr>
          <w:i/>
          <w:iCs/>
        </w:rPr>
        <w:t>(</w:t>
      </w:r>
      <w:r w:rsidR="007700D0" w:rsidRPr="00644BB5">
        <w:rPr>
          <w:i/>
          <w:iCs/>
        </w:rPr>
        <w:t>Reference document: informal document INF.14, proposal 3.3</w:t>
      </w:r>
      <w:r w:rsidRPr="00644BB5">
        <w:rPr>
          <w:i/>
          <w:iCs/>
        </w:rPr>
        <w:t>)</w:t>
      </w:r>
    </w:p>
    <w:p w14:paraId="5DBB5536" w14:textId="3AE3CE4F" w:rsidR="007700D0" w:rsidRPr="00644BB5" w:rsidRDefault="007700D0" w:rsidP="007700D0">
      <w:pPr>
        <w:pStyle w:val="SingleTxtG"/>
        <w:ind w:left="2268" w:right="567" w:hanging="1134"/>
      </w:pPr>
      <w:r w:rsidRPr="00644BB5">
        <w:rPr>
          <w:bCs/>
        </w:rPr>
        <w:t>6.8.2.6.1</w:t>
      </w:r>
      <w:r w:rsidRPr="00644BB5">
        <w:rPr>
          <w:bCs/>
        </w:rPr>
        <w:tab/>
      </w:r>
      <w:r w:rsidRPr="00644BB5">
        <w:t>In the table, under "</w:t>
      </w:r>
      <w:r w:rsidRPr="00644BB5">
        <w:rPr>
          <w:b/>
          <w:i/>
        </w:rPr>
        <w:t>For equipment</w:t>
      </w:r>
      <w:r w:rsidRPr="00644BB5">
        <w:t>", for standards "EN 14432:2014" and "EN 14433:2014", in column (3), replace "6.8.2.3.2" by:</w:t>
      </w:r>
    </w:p>
    <w:p w14:paraId="76C0EBC7" w14:textId="77777777" w:rsidR="007700D0" w:rsidRPr="00644BB5" w:rsidRDefault="007700D0" w:rsidP="007700D0">
      <w:pPr>
        <w:pStyle w:val="SingleTxtG"/>
      </w:pPr>
      <w:r w:rsidRPr="00644BB5">
        <w:t>"6.8.2.3.1".</w:t>
      </w:r>
    </w:p>
    <w:p w14:paraId="62223876" w14:textId="3C122376" w:rsidR="007700D0" w:rsidRPr="00644BB5" w:rsidRDefault="00663F8C" w:rsidP="007700D0">
      <w:pPr>
        <w:pStyle w:val="SingleTxtG"/>
        <w:rPr>
          <w:i/>
          <w:iCs/>
        </w:rPr>
      </w:pPr>
      <w:r w:rsidRPr="00644BB5">
        <w:rPr>
          <w:i/>
          <w:iCs/>
        </w:rPr>
        <w:t>(</w:t>
      </w:r>
      <w:r w:rsidR="007700D0" w:rsidRPr="00644BB5">
        <w:rPr>
          <w:i/>
          <w:iCs/>
        </w:rPr>
        <w:t>Reference document: informal document INF.14, proposal 4</w:t>
      </w:r>
      <w:r w:rsidRPr="00644BB5">
        <w:rPr>
          <w:i/>
          <w:iCs/>
        </w:rPr>
        <w:t>)</w:t>
      </w:r>
    </w:p>
    <w:p w14:paraId="55DCFAC8" w14:textId="77777777" w:rsidR="007700D0" w:rsidRPr="00F51E09" w:rsidRDefault="007700D0" w:rsidP="007700D0">
      <w:pPr>
        <w:pStyle w:val="SingleTxtG"/>
      </w:pPr>
      <w:r w:rsidRPr="00644BB5">
        <w:rPr>
          <w:bCs/>
        </w:rPr>
        <w:t>6.8.2.6.2</w:t>
      </w:r>
      <w:r w:rsidRPr="00644BB5">
        <w:rPr>
          <w:bCs/>
        </w:rPr>
        <w:tab/>
      </w:r>
      <w:r w:rsidRPr="00F51E09">
        <w:t>In the table, amend the following:</w:t>
      </w:r>
    </w:p>
    <w:p w14:paraId="198DA46C" w14:textId="77777777" w:rsidR="007700D0" w:rsidRPr="00F51E09" w:rsidRDefault="007700D0" w:rsidP="007700D0">
      <w:pPr>
        <w:pStyle w:val="SingleTxtG"/>
      </w:pPr>
      <w:r w:rsidRPr="00644BB5">
        <w:t>–</w:t>
      </w:r>
      <w:r w:rsidRPr="00644BB5">
        <w:tab/>
        <w:t xml:space="preserve">In </w:t>
      </w:r>
      <w:r w:rsidRPr="00F51E09">
        <w:t>the</w:t>
      </w:r>
      <w:r w:rsidRPr="00644BB5">
        <w:t xml:space="preserve"> row for </w:t>
      </w:r>
      <w:r w:rsidRPr="00644BB5">
        <w:rPr>
          <w:snapToGrid w:val="0"/>
        </w:rPr>
        <w:t>"EN </w:t>
      </w:r>
      <w:r w:rsidRPr="00644BB5">
        <w:t>12972:2018</w:t>
      </w:r>
      <w:r w:rsidRPr="00644BB5">
        <w:rPr>
          <w:snapToGrid w:val="0"/>
        </w:rPr>
        <w:t>"</w:t>
      </w:r>
      <w:r w:rsidRPr="00644BB5">
        <w:t xml:space="preserve">, in column (4), </w:t>
      </w:r>
      <w:r w:rsidRPr="00F51E09">
        <w:t>replace "Until further notice" by:</w:t>
      </w:r>
    </w:p>
    <w:p w14:paraId="69E98DF0" w14:textId="77777777" w:rsidR="007700D0" w:rsidRPr="00644BB5" w:rsidRDefault="007700D0" w:rsidP="007700D0">
      <w:pPr>
        <w:pStyle w:val="SingleTxtG"/>
      </w:pPr>
      <w:r w:rsidRPr="00F51E09">
        <w:t>"Until 31 December 2026".</w:t>
      </w:r>
    </w:p>
    <w:p w14:paraId="3FF70DB3" w14:textId="2508BC85" w:rsidR="007700D0" w:rsidRPr="00644BB5" w:rsidRDefault="00A571DA" w:rsidP="007700D0">
      <w:pPr>
        <w:pStyle w:val="SingleTxtG"/>
        <w:rPr>
          <w:i/>
          <w:iCs/>
        </w:rPr>
      </w:pPr>
      <w:r w:rsidRPr="00644BB5">
        <w:rPr>
          <w:i/>
          <w:iCs/>
        </w:rPr>
        <w:t>(</w:t>
      </w:r>
      <w:r w:rsidR="007700D0" w:rsidRPr="00644BB5">
        <w:rPr>
          <w:i/>
          <w:iCs/>
        </w:rPr>
        <w:t>Reference document: informal document INF.14, proposal 3.3</w:t>
      </w:r>
      <w:r w:rsidRPr="00644BB5">
        <w:rPr>
          <w:i/>
          <w:iCs/>
        </w:rPr>
        <w:t>)</w:t>
      </w:r>
    </w:p>
    <w:p w14:paraId="03D559E2" w14:textId="77777777" w:rsidR="007700D0" w:rsidRPr="00644BB5" w:rsidRDefault="007700D0" w:rsidP="007700D0">
      <w:pPr>
        <w:pStyle w:val="SingleTxtG"/>
        <w:rPr>
          <w:rFonts w:cs="Arial"/>
          <w:szCs w:val="22"/>
        </w:rPr>
      </w:pPr>
      <w:r w:rsidRPr="00644BB5">
        <w:rPr>
          <w:rFonts w:cs="Arial"/>
          <w:szCs w:val="22"/>
        </w:rPr>
        <w:t>–</w:t>
      </w:r>
      <w:r w:rsidRPr="00644BB5">
        <w:rPr>
          <w:rFonts w:cs="Arial"/>
          <w:szCs w:val="22"/>
        </w:rPr>
        <w:tab/>
      </w:r>
      <w:r w:rsidRPr="00F51E09">
        <w:t xml:space="preserve">After the row for </w:t>
      </w:r>
      <w:r w:rsidRPr="00644BB5">
        <w:rPr>
          <w:snapToGrid w:val="0"/>
        </w:rPr>
        <w:t>"EN </w:t>
      </w:r>
      <w:r w:rsidRPr="00644BB5">
        <w:t>12972:2018</w:t>
      </w:r>
      <w:r w:rsidRPr="00644BB5">
        <w:rPr>
          <w:snapToGrid w:val="0"/>
        </w:rPr>
        <w:t>"</w:t>
      </w:r>
      <w:r w:rsidRPr="00F51E09">
        <w:rPr>
          <w:bCs/>
        </w:rPr>
        <w:t xml:space="preserve">, </w:t>
      </w:r>
      <w:r w:rsidRPr="00F51E09">
        <w:t>insert the following new row:</w:t>
      </w:r>
    </w:p>
    <w:p w14:paraId="2AE5DC04" w14:textId="77777777" w:rsidR="007700D0" w:rsidRPr="00F51E09" w:rsidRDefault="007700D0" w:rsidP="007700D0">
      <w:pPr>
        <w:widowControl w:val="0"/>
        <w:ind w:left="1800" w:hanging="382"/>
        <w:rPr>
          <w:rFonts w:cs="Arial"/>
          <w:szCs w:val="22"/>
        </w:rPr>
      </w:pPr>
      <w:r w:rsidRPr="00F51E09">
        <w:rPr>
          <w:rFonts w:cs="Arial"/>
          <w:szCs w:val="22"/>
        </w:rPr>
        <w:t>"</w:t>
      </w:r>
    </w:p>
    <w:tbl>
      <w:tblPr>
        <w:tblW w:w="794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3119"/>
        <w:gridCol w:w="1276"/>
        <w:gridCol w:w="992"/>
        <w:gridCol w:w="709"/>
      </w:tblGrid>
      <w:tr w:rsidR="007700D0" w:rsidRPr="00F51E09" w14:paraId="065E40C3" w14:textId="77777777" w:rsidTr="00365F82">
        <w:tc>
          <w:tcPr>
            <w:tcW w:w="1849" w:type="dxa"/>
          </w:tcPr>
          <w:p w14:paraId="4F363FAC" w14:textId="77777777" w:rsidR="007700D0" w:rsidRPr="00F51E09" w:rsidRDefault="007700D0" w:rsidP="00365F82">
            <w:pPr>
              <w:widowControl w:val="0"/>
              <w:rPr>
                <w:rFonts w:cs="Arial"/>
                <w:sz w:val="18"/>
                <w:szCs w:val="18"/>
              </w:rPr>
            </w:pPr>
            <w:r w:rsidRPr="00F51E09">
              <w:rPr>
                <w:rFonts w:cs="Arial"/>
                <w:sz w:val="18"/>
                <w:szCs w:val="18"/>
              </w:rPr>
              <w:t>(1)</w:t>
            </w:r>
          </w:p>
        </w:tc>
        <w:tc>
          <w:tcPr>
            <w:tcW w:w="3119" w:type="dxa"/>
          </w:tcPr>
          <w:p w14:paraId="6F35887E" w14:textId="77777777" w:rsidR="007700D0" w:rsidRPr="00F51E09" w:rsidRDefault="007700D0" w:rsidP="00365F82">
            <w:pPr>
              <w:widowControl w:val="0"/>
              <w:rPr>
                <w:rFonts w:cs="Arial"/>
                <w:sz w:val="18"/>
                <w:szCs w:val="18"/>
              </w:rPr>
            </w:pPr>
            <w:r w:rsidRPr="00F51E09">
              <w:rPr>
                <w:rFonts w:cs="Arial"/>
                <w:sz w:val="18"/>
                <w:szCs w:val="18"/>
              </w:rPr>
              <w:t>(2)</w:t>
            </w:r>
          </w:p>
        </w:tc>
        <w:tc>
          <w:tcPr>
            <w:tcW w:w="1276" w:type="dxa"/>
          </w:tcPr>
          <w:p w14:paraId="73C22FE6" w14:textId="77777777" w:rsidR="007700D0" w:rsidRPr="00F51E09" w:rsidRDefault="007700D0" w:rsidP="00365F82">
            <w:pPr>
              <w:widowControl w:val="0"/>
              <w:rPr>
                <w:rFonts w:cs="Arial"/>
                <w:sz w:val="18"/>
                <w:szCs w:val="18"/>
              </w:rPr>
            </w:pPr>
            <w:r w:rsidRPr="00F51E09">
              <w:rPr>
                <w:rFonts w:cs="Arial"/>
                <w:sz w:val="18"/>
                <w:szCs w:val="18"/>
              </w:rPr>
              <w:t>(3)</w:t>
            </w:r>
          </w:p>
        </w:tc>
        <w:tc>
          <w:tcPr>
            <w:tcW w:w="992" w:type="dxa"/>
          </w:tcPr>
          <w:p w14:paraId="7BB47A92" w14:textId="77777777" w:rsidR="007700D0" w:rsidRPr="00F51E09" w:rsidRDefault="007700D0" w:rsidP="00365F82">
            <w:pPr>
              <w:widowControl w:val="0"/>
              <w:rPr>
                <w:rFonts w:cs="Arial"/>
                <w:sz w:val="18"/>
                <w:szCs w:val="18"/>
              </w:rPr>
            </w:pPr>
            <w:r w:rsidRPr="00F51E09">
              <w:rPr>
                <w:rFonts w:cs="Arial"/>
                <w:sz w:val="18"/>
                <w:szCs w:val="18"/>
              </w:rPr>
              <w:t>(4)</w:t>
            </w:r>
          </w:p>
        </w:tc>
        <w:tc>
          <w:tcPr>
            <w:tcW w:w="709" w:type="dxa"/>
          </w:tcPr>
          <w:p w14:paraId="55CF2228" w14:textId="77777777" w:rsidR="007700D0" w:rsidRPr="00F51E09" w:rsidRDefault="007700D0" w:rsidP="00365F82">
            <w:pPr>
              <w:widowControl w:val="0"/>
              <w:rPr>
                <w:rFonts w:cs="Arial"/>
                <w:sz w:val="18"/>
                <w:szCs w:val="18"/>
              </w:rPr>
            </w:pPr>
            <w:r w:rsidRPr="00F51E09">
              <w:rPr>
                <w:rFonts w:cs="Arial"/>
                <w:sz w:val="18"/>
                <w:szCs w:val="18"/>
              </w:rPr>
              <w:t>(5)</w:t>
            </w:r>
          </w:p>
        </w:tc>
      </w:tr>
      <w:tr w:rsidR="007700D0" w:rsidRPr="00F51E09" w14:paraId="02E1210E" w14:textId="77777777" w:rsidTr="00365F82">
        <w:tc>
          <w:tcPr>
            <w:tcW w:w="1849" w:type="dxa"/>
            <w:vAlign w:val="center"/>
          </w:tcPr>
          <w:p w14:paraId="68E71F5A" w14:textId="77777777" w:rsidR="007700D0" w:rsidRPr="00F51E09" w:rsidRDefault="007700D0" w:rsidP="00365F82">
            <w:pPr>
              <w:widowControl w:val="0"/>
              <w:rPr>
                <w:rFonts w:cs="Arial"/>
                <w:szCs w:val="22"/>
              </w:rPr>
            </w:pPr>
            <w:r w:rsidRPr="00F51E09">
              <w:rPr>
                <w:bCs/>
                <w:iCs/>
              </w:rPr>
              <w:t>EN 12972:2018 + A1:</w:t>
            </w:r>
            <w:r w:rsidRPr="00F51E09">
              <w:rPr>
                <w:b/>
                <w:bCs/>
                <w:iCs/>
              </w:rPr>
              <w:t>[</w:t>
            </w:r>
            <w:r w:rsidRPr="00F51E09">
              <w:rPr>
                <w:bCs/>
                <w:iCs/>
              </w:rPr>
              <w:t>2024</w:t>
            </w:r>
            <w:r w:rsidRPr="00F51E09">
              <w:rPr>
                <w:b/>
                <w:bCs/>
                <w:iCs/>
              </w:rPr>
              <w:t>]</w:t>
            </w:r>
          </w:p>
        </w:tc>
        <w:tc>
          <w:tcPr>
            <w:tcW w:w="3119" w:type="dxa"/>
            <w:vAlign w:val="center"/>
          </w:tcPr>
          <w:p w14:paraId="05AAA77A" w14:textId="77777777" w:rsidR="007700D0" w:rsidRPr="00644BB5" w:rsidRDefault="007700D0" w:rsidP="00365F82">
            <w:pPr>
              <w:autoSpaceDE w:val="0"/>
              <w:autoSpaceDN w:val="0"/>
              <w:adjustRightInd w:val="0"/>
              <w:rPr>
                <w:rFonts w:cs="Arial"/>
                <w:bCs/>
                <w:szCs w:val="22"/>
              </w:rPr>
            </w:pPr>
            <w:r w:rsidRPr="00644BB5">
              <w:rPr>
                <w:rFonts w:cs="Arial"/>
                <w:bCs/>
                <w:szCs w:val="22"/>
              </w:rPr>
              <w:t>Tanks for transport of dangerous goods – Testing, inspection and marking of metallic tanks</w:t>
            </w:r>
          </w:p>
        </w:tc>
        <w:tc>
          <w:tcPr>
            <w:tcW w:w="1276" w:type="dxa"/>
            <w:vAlign w:val="center"/>
          </w:tcPr>
          <w:p w14:paraId="7EE79662" w14:textId="77777777" w:rsidR="007700D0" w:rsidRPr="00F51E09" w:rsidRDefault="007700D0" w:rsidP="00365F82">
            <w:pPr>
              <w:widowControl w:val="0"/>
              <w:rPr>
                <w:rFonts w:cs="Arial"/>
                <w:szCs w:val="22"/>
              </w:rPr>
            </w:pPr>
            <w:r w:rsidRPr="00F51E09">
              <w:t>6.8.2.1.23, 6.8.2.4 and 6.8.3.4</w:t>
            </w:r>
          </w:p>
        </w:tc>
        <w:tc>
          <w:tcPr>
            <w:tcW w:w="992" w:type="dxa"/>
            <w:vAlign w:val="center"/>
          </w:tcPr>
          <w:p w14:paraId="15812E1B" w14:textId="77777777" w:rsidR="007700D0" w:rsidRPr="00F51E09" w:rsidRDefault="007700D0" w:rsidP="00365F82">
            <w:pPr>
              <w:widowControl w:val="0"/>
              <w:jc w:val="center"/>
              <w:rPr>
                <w:rFonts w:cs="Arial"/>
                <w:szCs w:val="22"/>
              </w:rPr>
            </w:pPr>
            <w:r w:rsidRPr="00F51E09">
              <w:rPr>
                <w:rFonts w:cs="Arial"/>
                <w:szCs w:val="22"/>
              </w:rPr>
              <w:t>Until further notice</w:t>
            </w:r>
          </w:p>
        </w:tc>
        <w:tc>
          <w:tcPr>
            <w:tcW w:w="709" w:type="dxa"/>
            <w:vAlign w:val="center"/>
          </w:tcPr>
          <w:p w14:paraId="17D28911" w14:textId="77777777" w:rsidR="007700D0" w:rsidRPr="00F51E09" w:rsidRDefault="007700D0" w:rsidP="00365F82">
            <w:pPr>
              <w:widowControl w:val="0"/>
              <w:rPr>
                <w:rFonts w:cs="Arial"/>
                <w:szCs w:val="22"/>
              </w:rPr>
            </w:pPr>
          </w:p>
        </w:tc>
      </w:tr>
    </w:tbl>
    <w:p w14:paraId="11BDBB54" w14:textId="77777777" w:rsidR="007700D0" w:rsidRPr="00644BB5" w:rsidRDefault="007700D0" w:rsidP="007700D0">
      <w:pPr>
        <w:widowControl w:val="0"/>
        <w:tabs>
          <w:tab w:val="left" w:pos="1418"/>
        </w:tabs>
        <w:ind w:left="1843" w:hanging="425"/>
      </w:pPr>
      <w:r w:rsidRPr="00644BB5">
        <w:rPr>
          <w:rFonts w:cs="Arial"/>
          <w:szCs w:val="22"/>
        </w:rPr>
        <w:t>"</w:t>
      </w:r>
    </w:p>
    <w:p w14:paraId="36C8438F" w14:textId="1A3CC348" w:rsidR="007700D0" w:rsidRPr="00644BB5" w:rsidRDefault="00A571DA" w:rsidP="007700D0">
      <w:pPr>
        <w:pStyle w:val="SingleTxtG"/>
        <w:rPr>
          <w:i/>
          <w:iCs/>
        </w:rPr>
      </w:pPr>
      <w:r w:rsidRPr="00644BB5">
        <w:rPr>
          <w:i/>
          <w:iCs/>
        </w:rPr>
        <w:t>(</w:t>
      </w:r>
      <w:r w:rsidR="007700D0" w:rsidRPr="00644BB5">
        <w:rPr>
          <w:i/>
          <w:iCs/>
        </w:rPr>
        <w:t>Reference document: informal document INF.14, proposal 3.3</w:t>
      </w:r>
      <w:r w:rsidRPr="00644BB5">
        <w:rPr>
          <w:i/>
          <w:iCs/>
        </w:rPr>
        <w:t>)</w:t>
      </w:r>
    </w:p>
    <w:p w14:paraId="3BD49EB7" w14:textId="77777777" w:rsidR="007700D0" w:rsidRPr="00644BB5" w:rsidRDefault="007700D0" w:rsidP="007700D0">
      <w:pPr>
        <w:pStyle w:val="SingleTxtG"/>
      </w:pPr>
      <w:r w:rsidRPr="00644BB5">
        <w:rPr>
          <w:bCs/>
        </w:rPr>
        <w:t>6.8.3.2.9.4</w:t>
      </w:r>
      <w:r w:rsidRPr="00644BB5">
        <w:rPr>
          <w:bCs/>
        </w:rPr>
        <w:tab/>
      </w:r>
      <w:r w:rsidRPr="00644BB5">
        <w:t>Amend the first sentence to read:</w:t>
      </w:r>
    </w:p>
    <w:p w14:paraId="66D99D2F" w14:textId="77777777" w:rsidR="007700D0" w:rsidRPr="00644BB5" w:rsidRDefault="007700D0" w:rsidP="007700D0">
      <w:pPr>
        <w:pStyle w:val="SingleTxtG"/>
      </w:pPr>
      <w:r w:rsidRPr="00644BB5">
        <w:t>"</w:t>
      </w:r>
      <w:bookmarkStart w:id="25" w:name="_Hlk159919567"/>
      <w:r w:rsidRPr="00F51E09">
        <w:t>Each</w:t>
      </w:r>
      <w:r w:rsidRPr="00644BB5">
        <w:t xml:space="preserve"> safety valve inlet shall be situated on top of the shell as close as practicable to the top generating line."</w:t>
      </w:r>
    </w:p>
    <w:p w14:paraId="456FF196" w14:textId="626BD693" w:rsidR="007700D0" w:rsidRPr="00644BB5" w:rsidRDefault="00A571DA" w:rsidP="007700D0">
      <w:pPr>
        <w:pStyle w:val="SingleTxtG"/>
        <w:rPr>
          <w:i/>
          <w:iCs/>
        </w:rPr>
      </w:pPr>
      <w:r w:rsidRPr="00644BB5">
        <w:rPr>
          <w:i/>
          <w:iCs/>
        </w:rPr>
        <w:t>(</w:t>
      </w:r>
      <w:r w:rsidR="007700D0" w:rsidRPr="00644BB5">
        <w:rPr>
          <w:i/>
          <w:iCs/>
        </w:rPr>
        <w:t>Reference document: informal document INF.10, as amended by informal document INF.18/Rev.1, proposal 7</w:t>
      </w:r>
      <w:r w:rsidRPr="00644BB5">
        <w:rPr>
          <w:i/>
          <w:iCs/>
        </w:rPr>
        <w:t>)</w:t>
      </w:r>
    </w:p>
    <w:bookmarkEnd w:id="25"/>
    <w:p w14:paraId="2C6C603F" w14:textId="78394CAD" w:rsidR="007700D0" w:rsidRPr="00644BB5" w:rsidRDefault="007700D0" w:rsidP="00874277">
      <w:pPr>
        <w:pStyle w:val="SingleTxtG"/>
      </w:pPr>
      <w:r w:rsidRPr="00644BB5">
        <w:t>6.8.4 (d)</w:t>
      </w:r>
      <w:r w:rsidR="00874277" w:rsidRPr="00644BB5">
        <w:t>,</w:t>
      </w:r>
      <w:r w:rsidR="00061245">
        <w:t xml:space="preserve"> </w:t>
      </w:r>
      <w:r w:rsidRPr="00644BB5">
        <w:t>TT 8</w:t>
      </w:r>
      <w:r w:rsidRPr="00644BB5">
        <w:tab/>
        <w:t>Amend the last paragraph to read:</w:t>
      </w:r>
    </w:p>
    <w:p w14:paraId="54B50B41" w14:textId="77777777" w:rsidR="007700D0" w:rsidRPr="00644BB5" w:rsidRDefault="007700D0" w:rsidP="007700D0">
      <w:pPr>
        <w:pStyle w:val="SingleTxtG"/>
      </w:pPr>
      <w:r w:rsidRPr="00644BB5">
        <w:t xml:space="preserve">"Such magnetic particle inspections shall be </w:t>
      </w:r>
      <w:r w:rsidRPr="00644BB5">
        <w:rPr>
          <w:bCs/>
        </w:rPr>
        <w:t>performed in accordance with EN 12972:2018 + A1:[2024].</w:t>
      </w:r>
      <w:r w:rsidRPr="00644BB5">
        <w:t>”</w:t>
      </w:r>
    </w:p>
    <w:p w14:paraId="407DA98F" w14:textId="22322F3C" w:rsidR="007700D0" w:rsidRPr="00644BB5" w:rsidRDefault="00B50E85" w:rsidP="007700D0">
      <w:pPr>
        <w:pStyle w:val="SingleTxtG"/>
        <w:rPr>
          <w:i/>
          <w:iCs/>
        </w:rPr>
      </w:pPr>
      <w:r w:rsidRPr="00644BB5">
        <w:rPr>
          <w:i/>
          <w:iCs/>
        </w:rPr>
        <w:t>(</w:t>
      </w:r>
      <w:r w:rsidR="007700D0" w:rsidRPr="00644BB5">
        <w:rPr>
          <w:i/>
          <w:iCs/>
        </w:rPr>
        <w:t>Reference document: informal document INF.14, as amended by informal document INF.18/Rev.1, proposal 8</w:t>
      </w:r>
      <w:r w:rsidRPr="00644BB5">
        <w:rPr>
          <w:i/>
          <w:iCs/>
        </w:rPr>
        <w:t>)</w:t>
      </w:r>
    </w:p>
    <w:p w14:paraId="2FDEB0D6" w14:textId="77777777" w:rsidR="007700D0" w:rsidRPr="00644BB5" w:rsidRDefault="007700D0" w:rsidP="007700D0">
      <w:pPr>
        <w:pStyle w:val="SingleTxtG"/>
      </w:pPr>
      <w:r w:rsidRPr="00644BB5">
        <w:t>(ADR:)</w:t>
      </w:r>
    </w:p>
    <w:p w14:paraId="0D32CC13" w14:textId="77777777" w:rsidR="007700D0" w:rsidRPr="00644BB5" w:rsidRDefault="007700D0" w:rsidP="007700D0">
      <w:pPr>
        <w:pStyle w:val="SingleTxtG"/>
        <w:rPr>
          <w:rFonts w:eastAsia="Noto Serif CJK SC"/>
          <w:lang w:eastAsia="zh-CN" w:bidi="hi-IN"/>
        </w:rPr>
      </w:pPr>
      <w:r w:rsidRPr="00644BB5">
        <w:rPr>
          <w:bCs/>
        </w:rPr>
        <w:t>TT 11</w:t>
      </w:r>
      <w:r w:rsidRPr="00F51E09">
        <w:rPr>
          <w:b/>
        </w:rPr>
        <w:tab/>
      </w:r>
      <w:r w:rsidRPr="00644BB5">
        <w:rPr>
          <w:rFonts w:eastAsia="Noto Serif CJK SC"/>
          <w:lang w:eastAsia="zh-CN" w:bidi="hi-IN"/>
        </w:rPr>
        <w:t>Amend the reference to standard EN ISO 17638:2016 to read:</w:t>
      </w:r>
    </w:p>
    <w:p w14:paraId="70CBAF92" w14:textId="77777777" w:rsidR="007700D0" w:rsidRPr="00644BB5" w:rsidRDefault="007700D0" w:rsidP="007700D0">
      <w:pPr>
        <w:pStyle w:val="SingleTxtG"/>
      </w:pPr>
      <w:r w:rsidRPr="00644BB5">
        <w:t>"</w:t>
      </w:r>
      <w:r w:rsidRPr="00644BB5">
        <w:rPr>
          <w:rFonts w:eastAsia="Noto Serif CJK SC"/>
          <w:lang w:eastAsia="zh-CN" w:bidi="hi-IN"/>
        </w:rPr>
        <w:t>−</w:t>
      </w:r>
      <w:r w:rsidRPr="00644BB5">
        <w:rPr>
          <w:rFonts w:eastAsia="Noto Serif CJK SC"/>
          <w:lang w:eastAsia="zh-CN" w:bidi="hi-IN"/>
        </w:rPr>
        <w:tab/>
        <w:t>EN </w:t>
      </w:r>
      <w:r w:rsidRPr="00F51E09">
        <w:rPr>
          <w:rFonts w:eastAsia="Noto Serif CJK SC"/>
        </w:rPr>
        <w:t>ISO</w:t>
      </w:r>
      <w:r w:rsidRPr="00644BB5">
        <w:rPr>
          <w:rFonts w:eastAsia="Noto Serif CJK SC"/>
          <w:lang w:eastAsia="zh-CN" w:bidi="hi-IN"/>
        </w:rPr>
        <w:t> 17638:2016 − non-destructive testing of welds – Magnetic particle testing, with acceptance of indications in accordance with</w:t>
      </w:r>
      <w:r w:rsidRPr="00644BB5">
        <w:rPr>
          <w:rFonts w:eastAsia="Noto Serif CJK SC"/>
          <w:color w:val="0000FF"/>
          <w:lang w:eastAsia="zh-CN" w:bidi="hi-IN"/>
        </w:rPr>
        <w:t xml:space="preserve"> </w:t>
      </w:r>
      <w:r w:rsidRPr="00644BB5">
        <w:rPr>
          <w:rFonts w:eastAsia="Noto Serif CJK SC"/>
          <w:bCs/>
          <w:lang w:eastAsia="zh-CN" w:bidi="hi-IN"/>
        </w:rPr>
        <w:t>level 2X of</w:t>
      </w:r>
      <w:r w:rsidRPr="00644BB5">
        <w:rPr>
          <w:rFonts w:eastAsia="Noto Serif CJK SC"/>
          <w:lang w:eastAsia="zh-CN" w:bidi="hi-IN"/>
        </w:rPr>
        <w:t xml:space="preserve"> EN ISO 23278:2015 – Non-destructive testing of welds - Magnetic particle testing - Acceptance levels;</w:t>
      </w:r>
      <w:r w:rsidRPr="00644BB5">
        <w:t>".</w:t>
      </w:r>
    </w:p>
    <w:p w14:paraId="511B567E" w14:textId="246EFF8A" w:rsidR="007700D0" w:rsidRPr="00644BB5" w:rsidRDefault="002B35F0" w:rsidP="007700D0">
      <w:pPr>
        <w:pStyle w:val="SingleTxtG"/>
        <w:rPr>
          <w:i/>
          <w:iCs/>
        </w:rPr>
      </w:pPr>
      <w:r w:rsidRPr="00644BB5">
        <w:rPr>
          <w:i/>
          <w:iCs/>
        </w:rPr>
        <w:t>(</w:t>
      </w:r>
      <w:r w:rsidR="007700D0" w:rsidRPr="00644BB5">
        <w:rPr>
          <w:i/>
          <w:iCs/>
        </w:rPr>
        <w:t>Reference document: informal document INF.14, as amended by informal document INF.18/Rev.1, proposal 8</w:t>
      </w:r>
      <w:r w:rsidRPr="00644BB5">
        <w:rPr>
          <w:i/>
          <w:iCs/>
        </w:rPr>
        <w:t>)</w:t>
      </w:r>
    </w:p>
    <w:p w14:paraId="20D213B1" w14:textId="3BA8C899" w:rsidR="007700D0" w:rsidRPr="00F51E09" w:rsidRDefault="007700D0" w:rsidP="007700D0">
      <w:pPr>
        <w:pStyle w:val="SingleTxtG"/>
      </w:pPr>
      <w:r w:rsidRPr="00F51E09">
        <w:t>Amend the paragraph after the fourth indent, including the indent of this paragraph to read:</w:t>
      </w:r>
    </w:p>
    <w:p w14:paraId="364A20B4" w14:textId="77777777" w:rsidR="007700D0" w:rsidRPr="00644BB5" w:rsidRDefault="007700D0" w:rsidP="007700D0">
      <w:pPr>
        <w:pStyle w:val="SingleTxtG"/>
      </w:pPr>
      <w:r w:rsidRPr="00644BB5">
        <w:t>"Non-</w:t>
      </w:r>
      <w:r w:rsidRPr="00F51E09">
        <w:t>destructive</w:t>
      </w:r>
      <w:r w:rsidRPr="00644BB5">
        <w:t xml:space="preserve"> checks shall be performed by personnel in accordance with EN 12972:2018 + A1:[2024] or EN 14334:2014."</w:t>
      </w:r>
    </w:p>
    <w:p w14:paraId="54D56418" w14:textId="73714148" w:rsidR="007700D0" w:rsidRPr="00644BB5" w:rsidRDefault="002B35F0" w:rsidP="007700D0">
      <w:pPr>
        <w:pStyle w:val="SingleTxtG"/>
        <w:rPr>
          <w:i/>
          <w:iCs/>
        </w:rPr>
      </w:pPr>
      <w:r w:rsidRPr="00644BB5">
        <w:rPr>
          <w:i/>
          <w:iCs/>
        </w:rPr>
        <w:t>(</w:t>
      </w:r>
      <w:r w:rsidR="007700D0" w:rsidRPr="00644BB5">
        <w:rPr>
          <w:i/>
          <w:iCs/>
        </w:rPr>
        <w:t>Reference document: informal document INF.14, as amended by informal document INF.18/Rev.1, proposal 8</w:t>
      </w:r>
      <w:r w:rsidRPr="00644BB5">
        <w:rPr>
          <w:i/>
          <w:iCs/>
        </w:rPr>
        <w:t>)</w:t>
      </w:r>
    </w:p>
    <w:p w14:paraId="196DCA3B" w14:textId="77777777" w:rsidR="007700D0" w:rsidRPr="00644BB5" w:rsidRDefault="007700D0" w:rsidP="007700D0">
      <w:pPr>
        <w:pStyle w:val="H23G"/>
        <w:rPr>
          <w:lang w:eastAsia="en-US"/>
        </w:rPr>
      </w:pPr>
      <w:r w:rsidRPr="00644BB5">
        <w:rPr>
          <w:lang w:eastAsia="en-US"/>
        </w:rPr>
        <w:tab/>
      </w:r>
      <w:r w:rsidRPr="00644BB5">
        <w:rPr>
          <w:lang w:eastAsia="en-US"/>
        </w:rPr>
        <w:tab/>
        <w:t>Chapter 6.11</w:t>
      </w:r>
    </w:p>
    <w:p w14:paraId="154CBA91" w14:textId="087063F5" w:rsidR="00926934" w:rsidRPr="00F51E09" w:rsidRDefault="00336CED" w:rsidP="00926934">
      <w:pPr>
        <w:pStyle w:val="SingleTxtG"/>
      </w:pPr>
      <w:r>
        <w:rPr>
          <w:bCs/>
        </w:rPr>
        <w:t>6.11.4.1</w:t>
      </w:r>
      <w:r w:rsidR="00926934" w:rsidRPr="00F51E09">
        <w:tab/>
      </w:r>
      <w:r w:rsidR="00B151CD">
        <w:rPr>
          <w:bCs/>
        </w:rPr>
        <w:t>Not applicable to English.</w:t>
      </w:r>
    </w:p>
    <w:p w14:paraId="23F40749" w14:textId="041DD17F" w:rsidR="007700D0" w:rsidRPr="00644BB5" w:rsidRDefault="007700D0" w:rsidP="007700D0">
      <w:pPr>
        <w:pStyle w:val="SingleTxtG"/>
        <w:rPr>
          <w:lang w:eastAsia="en-US"/>
        </w:rPr>
      </w:pPr>
      <w:r w:rsidRPr="00644BB5">
        <w:rPr>
          <w:lang w:eastAsia="en-US"/>
        </w:rPr>
        <w:t>(ADR:)</w:t>
      </w:r>
    </w:p>
    <w:p w14:paraId="63C84ACB" w14:textId="77777777" w:rsidR="007700D0" w:rsidRPr="00644BB5" w:rsidRDefault="007700D0" w:rsidP="007700D0">
      <w:pPr>
        <w:pStyle w:val="SingleTxtG"/>
        <w:rPr>
          <w:rFonts w:cs="Arial"/>
          <w:szCs w:val="22"/>
        </w:rPr>
      </w:pPr>
      <w:r w:rsidRPr="00644BB5">
        <w:rPr>
          <w:bCs/>
        </w:rPr>
        <w:t>6.11.4.1</w:t>
      </w:r>
      <w:r w:rsidRPr="00644BB5">
        <w:tab/>
        <w:t>Amend footnote 2 to read:</w:t>
      </w:r>
    </w:p>
    <w:p w14:paraId="15EA2E55" w14:textId="77777777" w:rsidR="007700D0" w:rsidRPr="00644BB5" w:rsidRDefault="007700D0" w:rsidP="007700D0">
      <w:pPr>
        <w:pStyle w:val="SingleTxtG"/>
        <w:rPr>
          <w:rFonts w:cs="Arial"/>
          <w:szCs w:val="22"/>
        </w:rPr>
      </w:pPr>
      <w:r w:rsidRPr="00644BB5">
        <w:lastRenderedPageBreak/>
        <w:t>"</w:t>
      </w:r>
      <w:r w:rsidRPr="00644BB5">
        <w:rPr>
          <w:vertAlign w:val="superscript"/>
        </w:rPr>
        <w:t>2</w:t>
      </w:r>
      <w:r w:rsidRPr="00644BB5">
        <w:tab/>
      </w:r>
      <w:r w:rsidRPr="00F51E09">
        <w:t>Third</w:t>
      </w:r>
      <w:r w:rsidRPr="00644BB5">
        <w:t xml:space="preserve"> edition of IRS (International Railway Solution) applicable as from 1 December 2023."</w:t>
      </w:r>
    </w:p>
    <w:p w14:paraId="54002B86" w14:textId="49E3BEE0" w:rsidR="007700D0" w:rsidRPr="00644BB5" w:rsidRDefault="005844B5" w:rsidP="007700D0">
      <w:pPr>
        <w:pStyle w:val="SingleTxtG"/>
        <w:rPr>
          <w:i/>
          <w:iCs/>
          <w:lang w:eastAsia="en-US"/>
        </w:rPr>
      </w:pPr>
      <w:r w:rsidRPr="00644BB5">
        <w:rPr>
          <w:bCs/>
          <w:i/>
          <w:iCs/>
          <w:lang w:eastAsia="en-US"/>
        </w:rPr>
        <w:t>(</w:t>
      </w:r>
      <w:r w:rsidR="007700D0" w:rsidRPr="00644BB5">
        <w:rPr>
          <w:i/>
          <w:iCs/>
        </w:rPr>
        <w:t>Reference</w:t>
      </w:r>
      <w:r w:rsidR="007700D0" w:rsidRPr="00644BB5">
        <w:rPr>
          <w:bCs/>
          <w:i/>
          <w:iCs/>
          <w:lang w:eastAsia="en-US"/>
        </w:rPr>
        <w:t xml:space="preserve"> document: </w:t>
      </w:r>
      <w:r w:rsidR="007700D0" w:rsidRPr="00644BB5">
        <w:rPr>
          <w:i/>
          <w:iCs/>
          <w:lang w:eastAsia="en-US"/>
        </w:rPr>
        <w:t>informal document INF.24</w:t>
      </w:r>
      <w:r w:rsidRPr="00644BB5">
        <w:rPr>
          <w:i/>
          <w:iCs/>
          <w:lang w:eastAsia="en-US"/>
        </w:rPr>
        <w:t>)</w:t>
      </w:r>
    </w:p>
    <w:p w14:paraId="259299CF" w14:textId="133BB736" w:rsidR="007700D0" w:rsidRPr="00644BB5" w:rsidRDefault="007700D0" w:rsidP="007700D0">
      <w:pPr>
        <w:pStyle w:val="H23G"/>
        <w:rPr>
          <w:rFonts w:cs="Arial"/>
          <w:szCs w:val="22"/>
        </w:rPr>
      </w:pPr>
      <w:r w:rsidRPr="00644BB5">
        <w:tab/>
      </w:r>
      <w:r w:rsidRPr="00644BB5">
        <w:tab/>
        <w:t>Chapter 7.1</w:t>
      </w:r>
    </w:p>
    <w:p w14:paraId="042363C8" w14:textId="77777777" w:rsidR="007700D0" w:rsidRPr="00644BB5" w:rsidRDefault="007700D0" w:rsidP="007700D0">
      <w:pPr>
        <w:pStyle w:val="SingleTxtG"/>
        <w:rPr>
          <w:lang w:eastAsia="en-US"/>
        </w:rPr>
      </w:pPr>
      <w:r w:rsidRPr="00644BB5">
        <w:rPr>
          <w:lang w:eastAsia="en-US"/>
        </w:rPr>
        <w:t>(ADR:)</w:t>
      </w:r>
    </w:p>
    <w:p w14:paraId="5CB7B15E" w14:textId="77777777" w:rsidR="007700D0" w:rsidRPr="00644BB5" w:rsidRDefault="007700D0" w:rsidP="007700D0">
      <w:pPr>
        <w:pStyle w:val="SingleTxtG"/>
        <w:rPr>
          <w:rFonts w:cs="Arial"/>
          <w:szCs w:val="22"/>
        </w:rPr>
      </w:pPr>
      <w:r w:rsidRPr="00644BB5">
        <w:rPr>
          <w:bCs/>
        </w:rPr>
        <w:t>7.1.3</w:t>
      </w:r>
      <w:r w:rsidRPr="00644BB5">
        <w:tab/>
      </w:r>
      <w:r w:rsidRPr="00644BB5">
        <w:tab/>
        <w:t>Amend footnote 2 to read:</w:t>
      </w:r>
    </w:p>
    <w:p w14:paraId="0E1C4874" w14:textId="77777777" w:rsidR="007700D0" w:rsidRPr="00644BB5" w:rsidRDefault="007700D0" w:rsidP="007700D0">
      <w:pPr>
        <w:pStyle w:val="SingleTxtG"/>
        <w:rPr>
          <w:rFonts w:cs="Arial"/>
          <w:i/>
          <w:iCs/>
          <w:szCs w:val="22"/>
        </w:rPr>
      </w:pPr>
      <w:r w:rsidRPr="00644BB5">
        <w:rPr>
          <w:i/>
          <w:iCs/>
        </w:rPr>
        <w:t>"</w:t>
      </w:r>
      <w:r w:rsidRPr="00644BB5">
        <w:rPr>
          <w:i/>
          <w:iCs/>
          <w:vertAlign w:val="superscript"/>
        </w:rPr>
        <w:t>2</w:t>
      </w:r>
      <w:r w:rsidRPr="00644BB5">
        <w:rPr>
          <w:i/>
          <w:iCs/>
        </w:rPr>
        <w:tab/>
        <w:t>Third edition of IRS (International Railway Solution) applicable as from 1 December 2023."</w:t>
      </w:r>
    </w:p>
    <w:p w14:paraId="6E1453CB" w14:textId="706369D9" w:rsidR="007700D0" w:rsidRPr="00644BB5" w:rsidRDefault="003A10A8" w:rsidP="007700D0">
      <w:pPr>
        <w:pStyle w:val="SingleTxtG"/>
        <w:rPr>
          <w:i/>
          <w:iCs/>
        </w:rPr>
      </w:pPr>
      <w:r w:rsidRPr="00644BB5">
        <w:rPr>
          <w:i/>
          <w:iCs/>
        </w:rPr>
        <w:t>(</w:t>
      </w:r>
      <w:r w:rsidR="007700D0" w:rsidRPr="00644BB5">
        <w:rPr>
          <w:i/>
          <w:iCs/>
        </w:rPr>
        <w:t>Reference document: informal document INF.24</w:t>
      </w:r>
      <w:r w:rsidRPr="00644BB5">
        <w:rPr>
          <w:i/>
          <w:iCs/>
        </w:rPr>
        <w:t>)</w:t>
      </w:r>
    </w:p>
    <w:p w14:paraId="1A4995BF" w14:textId="77777777" w:rsidR="001A6222" w:rsidRPr="00F51E09" w:rsidRDefault="001A6222" w:rsidP="001A6222">
      <w:pPr>
        <w:pStyle w:val="H23G"/>
      </w:pPr>
      <w:r w:rsidRPr="00F51E09">
        <w:tab/>
      </w:r>
      <w:r w:rsidRPr="00F51E09">
        <w:tab/>
        <w:t>Chapter 7.3</w:t>
      </w:r>
    </w:p>
    <w:p w14:paraId="14026F4B" w14:textId="77777777" w:rsidR="001A6222" w:rsidRPr="00F51E09" w:rsidRDefault="001A6222" w:rsidP="001A6222">
      <w:pPr>
        <w:pStyle w:val="SingleTxtG"/>
      </w:pPr>
      <w:r w:rsidRPr="00F51E09">
        <w:t>(RID/ADR:)</w:t>
      </w:r>
    </w:p>
    <w:p w14:paraId="3C745ED9" w14:textId="366F0704" w:rsidR="001A6222" w:rsidRPr="00F51E09" w:rsidRDefault="001A6222" w:rsidP="001A6222">
      <w:pPr>
        <w:pStyle w:val="SingleTxtG"/>
      </w:pPr>
      <w:r w:rsidRPr="00644BB5">
        <w:rPr>
          <w:bCs/>
        </w:rPr>
        <w:t>7.3.3.2.6</w:t>
      </w:r>
      <w:r w:rsidRPr="00F51E09">
        <w:tab/>
      </w:r>
      <w:r w:rsidR="003A10A8">
        <w:rPr>
          <w:bCs/>
        </w:rPr>
        <w:t>Not applicable to English.</w:t>
      </w:r>
    </w:p>
    <w:p w14:paraId="369A260C" w14:textId="77777777" w:rsidR="00675D7D" w:rsidRDefault="00675D7D">
      <w:pPr>
        <w:rPr>
          <w:b/>
          <w:sz w:val="28"/>
        </w:rPr>
      </w:pPr>
      <w:r>
        <w:br w:type="page"/>
      </w:r>
    </w:p>
    <w:p w14:paraId="0490C104" w14:textId="77777777" w:rsidR="00C25339" w:rsidRDefault="00675D7D" w:rsidP="00424122">
      <w:pPr>
        <w:pStyle w:val="HChG"/>
        <w:tabs>
          <w:tab w:val="left" w:pos="4536"/>
        </w:tabs>
      </w:pPr>
      <w:bookmarkStart w:id="26" w:name="_Toc164258739"/>
      <w:r w:rsidRPr="008D05AD">
        <w:lastRenderedPageBreak/>
        <w:t>Annex II</w:t>
      </w:r>
      <w:r>
        <w:t>I</w:t>
      </w:r>
      <w:bookmarkEnd w:id="26"/>
    </w:p>
    <w:p w14:paraId="3D11CEC8" w14:textId="0DA4C11A" w:rsidR="00675D7D" w:rsidRPr="00C25339" w:rsidRDefault="00FB6E67" w:rsidP="00C25339">
      <w:pPr>
        <w:pStyle w:val="HChG"/>
        <w:tabs>
          <w:tab w:val="left" w:pos="4536"/>
        </w:tabs>
        <w:jc w:val="right"/>
        <w:rPr>
          <w:sz w:val="20"/>
        </w:rPr>
      </w:pPr>
      <w:r>
        <w:tab/>
      </w:r>
      <w:r w:rsidRPr="00C25339">
        <w:rPr>
          <w:rStyle w:val="ui-provider"/>
          <w:b w:val="0"/>
          <w:bCs/>
          <w:sz w:val="20"/>
        </w:rPr>
        <w:t>[Original: English and French]</w:t>
      </w:r>
    </w:p>
    <w:p w14:paraId="6F36B5FB" w14:textId="77777777" w:rsidR="00675D7D" w:rsidRDefault="00675D7D" w:rsidP="00675D7D">
      <w:pPr>
        <w:pStyle w:val="HChG"/>
        <w:tabs>
          <w:tab w:val="clear" w:pos="851"/>
        </w:tabs>
        <w:ind w:firstLine="0"/>
      </w:pPr>
      <w:bookmarkStart w:id="27" w:name="_Toc164258740"/>
      <w:r w:rsidRPr="006C19BA">
        <w:t xml:space="preserve">Corrections and modifications to the draft amendments </w:t>
      </w:r>
      <w:r>
        <w:t>adopted at previous sessions</w:t>
      </w:r>
      <w:bookmarkEnd w:id="27"/>
    </w:p>
    <w:p w14:paraId="5DDEA5AD" w14:textId="0E41A7C7" w:rsidR="001A6222" w:rsidRPr="00644BB5" w:rsidRDefault="00967BD6" w:rsidP="00D06AB4">
      <w:pPr>
        <w:pStyle w:val="H1G"/>
      </w:pPr>
      <w:r>
        <w:tab/>
        <w:t>A.</w:t>
      </w:r>
      <w:r>
        <w:tab/>
      </w:r>
      <w:r w:rsidR="00922C1B" w:rsidRPr="00644BB5">
        <w:t>Amendments to report ECE/TRANS/WP.15/AC.1/170 – OTIF/RID/RC/2023-B</w:t>
      </w:r>
    </w:p>
    <w:p w14:paraId="458303B7" w14:textId="77777777" w:rsidR="007700D0" w:rsidRPr="00644BB5" w:rsidRDefault="007700D0" w:rsidP="007700D0">
      <w:pPr>
        <w:pStyle w:val="H23G"/>
      </w:pPr>
      <w:r w:rsidRPr="00644BB5">
        <w:tab/>
      </w:r>
      <w:r w:rsidRPr="00644BB5">
        <w:tab/>
        <w:t>Chapter 1.8</w:t>
      </w:r>
    </w:p>
    <w:p w14:paraId="4E325B72" w14:textId="77777777" w:rsidR="007700D0" w:rsidRPr="00644BB5" w:rsidRDefault="007700D0" w:rsidP="007700D0">
      <w:pPr>
        <w:pStyle w:val="SingleTxtG"/>
        <w:rPr>
          <w:bCs/>
        </w:rPr>
      </w:pPr>
      <w:r w:rsidRPr="00644BB5">
        <w:rPr>
          <w:bCs/>
        </w:rPr>
        <w:t>1.8.6.2.1</w:t>
      </w:r>
      <w:r w:rsidRPr="00644BB5">
        <w:rPr>
          <w:bCs/>
        </w:rPr>
        <w:tab/>
        <w:t>The amendment reads as follows:</w:t>
      </w:r>
    </w:p>
    <w:p w14:paraId="7CEB07B1" w14:textId="07CE32CC" w:rsidR="007700D0" w:rsidRPr="00644BB5" w:rsidRDefault="007700D0" w:rsidP="007700D0">
      <w:pPr>
        <w:pStyle w:val="SingleTxtG"/>
      </w:pPr>
      <w:r w:rsidRPr="00644BB5">
        <w:rPr>
          <w:bCs/>
        </w:rPr>
        <w:t>"1.8.6.2.1</w:t>
      </w:r>
      <w:r w:rsidRPr="00644BB5">
        <w:rPr>
          <w:bCs/>
        </w:rPr>
        <w:tab/>
      </w:r>
      <w:r w:rsidRPr="00644BB5">
        <w:t>Amend the last paragraph to read:</w:t>
      </w:r>
    </w:p>
    <w:p w14:paraId="5F9304FD" w14:textId="77777777" w:rsidR="007700D0" w:rsidRPr="00644BB5" w:rsidRDefault="007700D0" w:rsidP="007700D0">
      <w:pPr>
        <w:pStyle w:val="SingleTxtG"/>
      </w:pPr>
      <w:r w:rsidRPr="00644BB5">
        <w:t>"</w:t>
      </w:r>
      <w:r w:rsidRPr="00F51E09">
        <w:t>When</w:t>
      </w:r>
      <w:r w:rsidRPr="00644BB5">
        <w:t xml:space="preserve"> the competent authority performs the tasks of the inspection body itself, the competent authority shall comply with the provisions of 1.8.6.3. However, when a competent authority designates an inspection body to act as the competent authority the designated body shall be accredited according to the standard EN ISO/IEC 17020:2012 (except clause 8.1.3) type A.""</w:t>
      </w:r>
    </w:p>
    <w:p w14:paraId="26334922" w14:textId="0FDBAFC0" w:rsidR="007700D0" w:rsidRPr="00644BB5" w:rsidRDefault="00757479" w:rsidP="007700D0">
      <w:pPr>
        <w:pStyle w:val="SingleTxtG"/>
        <w:rPr>
          <w:i/>
          <w:iCs/>
        </w:rPr>
      </w:pPr>
      <w:r w:rsidRPr="00644BB5">
        <w:rPr>
          <w:i/>
          <w:iCs/>
        </w:rPr>
        <w:t>(</w:t>
      </w:r>
      <w:r w:rsidR="007700D0" w:rsidRPr="00644BB5">
        <w:rPr>
          <w:i/>
          <w:iCs/>
        </w:rPr>
        <w:t>Reference document: ECE/TRANS/WP.15/AC.1/2023/28, as amended by informal document INF.18/Rev.1, proposal 1</w:t>
      </w:r>
      <w:r w:rsidR="00FB799E" w:rsidRPr="00644BB5">
        <w:rPr>
          <w:i/>
          <w:iCs/>
        </w:rPr>
        <w:t>)</w:t>
      </w:r>
    </w:p>
    <w:p w14:paraId="1889746C" w14:textId="77777777" w:rsidR="007700D0" w:rsidRPr="00644BB5" w:rsidRDefault="007700D0" w:rsidP="007700D0">
      <w:pPr>
        <w:pStyle w:val="SingleTxtG"/>
      </w:pPr>
      <w:r w:rsidRPr="00644BB5">
        <w:rPr>
          <w:bCs/>
        </w:rPr>
        <w:t>1.8.6.3.1</w:t>
      </w:r>
      <w:r w:rsidRPr="00644BB5">
        <w:tab/>
        <w:t>Delete the square brackets.</w:t>
      </w:r>
    </w:p>
    <w:p w14:paraId="09240165" w14:textId="79ADB79A" w:rsidR="007700D0" w:rsidRPr="00644BB5" w:rsidRDefault="00452305" w:rsidP="00D06AB4">
      <w:pPr>
        <w:pStyle w:val="H1G"/>
      </w:pPr>
      <w:r>
        <w:tab/>
        <w:t>B.</w:t>
      </w:r>
      <w:r>
        <w:tab/>
      </w:r>
      <w:r w:rsidR="007700D0" w:rsidRPr="00644BB5">
        <w:t>Amendments to report OTIF/RID/CE/GTP/2023-A</w:t>
      </w:r>
    </w:p>
    <w:p w14:paraId="4556400E" w14:textId="77777777" w:rsidR="007700D0" w:rsidRPr="00644BB5" w:rsidRDefault="007700D0" w:rsidP="007700D0">
      <w:pPr>
        <w:pStyle w:val="H23G"/>
      </w:pPr>
      <w:r w:rsidRPr="00644BB5">
        <w:tab/>
      </w:r>
      <w:r w:rsidRPr="00644BB5">
        <w:tab/>
        <w:t>Chapter 6.11</w:t>
      </w:r>
    </w:p>
    <w:p w14:paraId="18E4340D" w14:textId="77777777" w:rsidR="007700D0" w:rsidRPr="00644BB5" w:rsidRDefault="007700D0" w:rsidP="007700D0">
      <w:pPr>
        <w:pStyle w:val="SingleTxtG"/>
      </w:pPr>
      <w:r w:rsidRPr="00644BB5">
        <w:rPr>
          <w:bCs/>
        </w:rPr>
        <w:t>6.11.4.1</w:t>
      </w:r>
      <w:r w:rsidRPr="00644BB5">
        <w:tab/>
        <w:t>Delete the square brackets.</w:t>
      </w:r>
    </w:p>
    <w:p w14:paraId="05AD9DD5" w14:textId="55A2309E" w:rsidR="007700D0" w:rsidRPr="00644BB5" w:rsidRDefault="00BC2619" w:rsidP="007700D0">
      <w:pPr>
        <w:pStyle w:val="SingleTxtG"/>
        <w:rPr>
          <w:i/>
          <w:iCs/>
          <w:lang w:eastAsia="en-US"/>
        </w:rPr>
      </w:pPr>
      <w:r w:rsidRPr="00644BB5">
        <w:rPr>
          <w:i/>
          <w:iCs/>
          <w:lang w:eastAsia="en-US"/>
        </w:rPr>
        <w:t>(</w:t>
      </w:r>
      <w:r w:rsidR="007700D0" w:rsidRPr="00644BB5">
        <w:rPr>
          <w:i/>
          <w:iCs/>
        </w:rPr>
        <w:t>Reference</w:t>
      </w:r>
      <w:r w:rsidR="007700D0" w:rsidRPr="00644BB5">
        <w:rPr>
          <w:i/>
          <w:iCs/>
          <w:lang w:eastAsia="en-US"/>
        </w:rPr>
        <w:t xml:space="preserve"> document: informal document INF.24</w:t>
      </w:r>
      <w:r w:rsidRPr="00644BB5">
        <w:rPr>
          <w:i/>
          <w:iCs/>
          <w:lang w:eastAsia="en-US"/>
        </w:rPr>
        <w:t>)</w:t>
      </w:r>
    </w:p>
    <w:p w14:paraId="708CB650" w14:textId="77777777" w:rsidR="007700D0" w:rsidRPr="00644BB5" w:rsidRDefault="007700D0" w:rsidP="007700D0">
      <w:pPr>
        <w:pStyle w:val="H23G"/>
      </w:pPr>
      <w:r w:rsidRPr="00644BB5">
        <w:tab/>
      </w:r>
      <w:r w:rsidRPr="00644BB5">
        <w:tab/>
        <w:t>Chapter 7.1</w:t>
      </w:r>
    </w:p>
    <w:p w14:paraId="613B1545" w14:textId="77777777" w:rsidR="007700D0" w:rsidRPr="00644BB5" w:rsidRDefault="007700D0" w:rsidP="007700D0">
      <w:pPr>
        <w:pStyle w:val="SingleTxtG"/>
      </w:pPr>
      <w:r w:rsidRPr="00644BB5">
        <w:rPr>
          <w:bCs/>
        </w:rPr>
        <w:t>7.1.3</w:t>
      </w:r>
      <w:r w:rsidRPr="00644BB5">
        <w:rPr>
          <w:bCs/>
        </w:rPr>
        <w:tab/>
      </w:r>
      <w:r w:rsidRPr="00644BB5">
        <w:t>Delete the square brackets.</w:t>
      </w:r>
    </w:p>
    <w:p w14:paraId="32ABDBCC" w14:textId="2D71ADBB" w:rsidR="007700D0" w:rsidRPr="00644BB5" w:rsidRDefault="00A44F67" w:rsidP="007700D0">
      <w:pPr>
        <w:pStyle w:val="SingleTxtG"/>
        <w:rPr>
          <w:i/>
          <w:iCs/>
          <w:lang w:eastAsia="en-US"/>
        </w:rPr>
      </w:pPr>
      <w:r w:rsidRPr="00644BB5">
        <w:rPr>
          <w:i/>
          <w:iCs/>
          <w:lang w:eastAsia="en-US"/>
        </w:rPr>
        <w:t>(</w:t>
      </w:r>
      <w:r w:rsidR="007700D0" w:rsidRPr="00644BB5">
        <w:rPr>
          <w:i/>
          <w:iCs/>
          <w:lang w:eastAsia="en-US"/>
        </w:rPr>
        <w:t>Reference document: informal document INF.24</w:t>
      </w:r>
      <w:r w:rsidRPr="00644BB5">
        <w:rPr>
          <w:i/>
          <w:iCs/>
          <w:lang w:eastAsia="en-US"/>
        </w:rPr>
        <w:t>)</w:t>
      </w:r>
    </w:p>
    <w:p w14:paraId="0D9A17B5" w14:textId="458CF3B1" w:rsidR="007B2B0C" w:rsidRPr="00644BB5" w:rsidRDefault="00E27B73" w:rsidP="00D06AB4">
      <w:pPr>
        <w:pStyle w:val="H1G"/>
      </w:pPr>
      <w:r>
        <w:tab/>
        <w:t>C.</w:t>
      </w:r>
      <w:r>
        <w:tab/>
      </w:r>
      <w:r w:rsidR="007B2B0C" w:rsidRPr="00644BB5">
        <w:t>Amendments</w:t>
      </w:r>
      <w:r w:rsidR="00884E6C" w:rsidRPr="00644BB5">
        <w:t xml:space="preserve"> adopted</w:t>
      </w:r>
      <w:r w:rsidR="007B2B0C" w:rsidRPr="00644BB5">
        <w:t xml:space="preserve"> </w:t>
      </w:r>
      <w:r w:rsidR="00884E6C" w:rsidRPr="00644BB5">
        <w:t>to</w:t>
      </w:r>
      <w:r w:rsidR="007B2B0C" w:rsidRPr="00644BB5">
        <w:t xml:space="preserve"> document OTIF/RID/CE/GTP/2023/10 – ECE/TRANS/WP.15/265</w:t>
      </w:r>
    </w:p>
    <w:p w14:paraId="2839727F" w14:textId="77777777" w:rsidR="00884E6C" w:rsidRPr="00F51E09" w:rsidRDefault="00884E6C" w:rsidP="00884E6C">
      <w:pPr>
        <w:pStyle w:val="H23G"/>
      </w:pPr>
      <w:r w:rsidRPr="00F51E09">
        <w:tab/>
      </w:r>
      <w:r w:rsidRPr="00F51E09">
        <w:tab/>
        <w:t>Chapter 2.1</w:t>
      </w:r>
    </w:p>
    <w:p w14:paraId="3EEA4C5A" w14:textId="6B875BCE" w:rsidR="00884E6C" w:rsidRPr="00F51E09" w:rsidRDefault="00884E6C" w:rsidP="00884E6C">
      <w:pPr>
        <w:pStyle w:val="SingleTxtG"/>
      </w:pPr>
      <w:r w:rsidRPr="00644BB5">
        <w:rPr>
          <w:bCs/>
        </w:rPr>
        <w:t>2.1.5.2</w:t>
      </w:r>
      <w:r w:rsidR="00F81A12" w:rsidRPr="00644BB5">
        <w:rPr>
          <w:bCs/>
        </w:rPr>
        <w:tab/>
      </w:r>
      <w:r w:rsidRPr="00F51E09">
        <w:tab/>
        <w:t>Replace the amendment by:</w:t>
      </w:r>
    </w:p>
    <w:p w14:paraId="3D7FE6D9" w14:textId="4D1055DA" w:rsidR="00884E6C" w:rsidRPr="00D04890" w:rsidRDefault="00550DCF" w:rsidP="00884E6C">
      <w:pPr>
        <w:pStyle w:val="SingleTxtG"/>
      </w:pPr>
      <w:r w:rsidRPr="00D04890">
        <w:t>“</w:t>
      </w:r>
      <w:r w:rsidR="00884E6C" w:rsidRPr="00644BB5">
        <w:t>2.1.5.2</w:t>
      </w:r>
      <w:r w:rsidR="00884E6C" w:rsidRPr="00D04890">
        <w:tab/>
        <w:t>Amend to read as follows:</w:t>
      </w:r>
    </w:p>
    <w:p w14:paraId="6EC7D79D" w14:textId="06BA71A7" w:rsidR="00884E6C" w:rsidRPr="00F51E09" w:rsidRDefault="00884E6C" w:rsidP="00884E6C">
      <w:pPr>
        <w:pStyle w:val="SingleTxtG"/>
      </w:pPr>
      <w:r w:rsidRPr="00D04890">
        <w:rPr>
          <w:rFonts w:eastAsia="SimSun"/>
          <w:lang w:eastAsia="zh-CN"/>
        </w:rPr>
        <w:t>"</w:t>
      </w:r>
      <w:r w:rsidRPr="00644BB5">
        <w:rPr>
          <w:rFonts w:eastAsia="SimSun"/>
          <w:lang w:eastAsia="zh-CN"/>
        </w:rPr>
        <w:t>2.1.5.2</w:t>
      </w:r>
      <w:r w:rsidRPr="00F51E09">
        <w:rPr>
          <w:rFonts w:eastAsia="SimSun"/>
          <w:lang w:eastAsia="zh-CN"/>
        </w:rPr>
        <w:tab/>
        <w:t xml:space="preserve">Such articles may in addition contain cells or batteries. Lithium </w:t>
      </w:r>
      <w:r w:rsidRPr="00F51E09">
        <w:rPr>
          <w:rFonts w:eastAsia="SimSun"/>
          <w:bCs/>
          <w:lang w:eastAsia="zh-CN"/>
        </w:rPr>
        <w:t>metal, lithium ion and sodium ion</w:t>
      </w:r>
      <w:r w:rsidRPr="00F51E09">
        <w:rPr>
          <w:rFonts w:eastAsia="SimSun"/>
          <w:lang w:eastAsia="zh-CN"/>
        </w:rPr>
        <w:t xml:space="preserve"> cells and batteries that are integral to the article shall be of a type proven to meet the testing requirements of the Manual of Tests and Criteria, Part III, sub-section 38.3. For articles containing pre-production prototype lithium </w:t>
      </w:r>
      <w:r w:rsidRPr="00F51E09">
        <w:rPr>
          <w:rFonts w:eastAsia="SimSun"/>
          <w:bCs/>
          <w:lang w:eastAsia="zh-CN"/>
        </w:rPr>
        <w:t>metal, lithium ion or sodium ion</w:t>
      </w:r>
      <w:r w:rsidRPr="00F51E09">
        <w:rPr>
          <w:rFonts w:eastAsia="SimSun"/>
          <w:lang w:eastAsia="zh-CN"/>
        </w:rPr>
        <w:t xml:space="preserve"> cells or batteries carried for testing, or for articles containing lithium </w:t>
      </w:r>
      <w:r w:rsidRPr="00F51E09">
        <w:rPr>
          <w:rFonts w:eastAsia="SimSun"/>
          <w:bCs/>
          <w:lang w:eastAsia="zh-CN"/>
        </w:rPr>
        <w:t xml:space="preserve">metal, lithium ion or sodium ion </w:t>
      </w:r>
      <w:r w:rsidRPr="00F51E09">
        <w:rPr>
          <w:rFonts w:eastAsia="SimSun"/>
          <w:lang w:eastAsia="zh-CN"/>
        </w:rPr>
        <w:t>cells or batteries manufactured in production runs of not more than 100 cells or batteries, the requirements of special provision 310 of Chapter 3.3 shall apply."</w:t>
      </w:r>
      <w:r w:rsidR="00550DCF">
        <w:rPr>
          <w:rFonts w:eastAsia="SimSun"/>
          <w:lang w:eastAsia="zh-CN"/>
        </w:rPr>
        <w:t>”</w:t>
      </w:r>
    </w:p>
    <w:p w14:paraId="03A79880" w14:textId="4DDC6BFE" w:rsidR="00884E6C" w:rsidRPr="00644BB5" w:rsidRDefault="005A1E5A" w:rsidP="00884E6C">
      <w:pPr>
        <w:pStyle w:val="SingleTxtG"/>
        <w:rPr>
          <w:i/>
          <w:iCs/>
        </w:rPr>
      </w:pPr>
      <w:r w:rsidRPr="00644BB5">
        <w:rPr>
          <w:i/>
          <w:iCs/>
        </w:rPr>
        <w:t>(</w:t>
      </w:r>
      <w:r w:rsidR="00884E6C" w:rsidRPr="00644BB5">
        <w:rPr>
          <w:i/>
          <w:iCs/>
        </w:rPr>
        <w:t>Reference document: ECE/TRANS/WP.15/AC.1/2024/25</w:t>
      </w:r>
      <w:r w:rsidRPr="00644BB5">
        <w:rPr>
          <w:i/>
          <w:iCs/>
        </w:rPr>
        <w:t>)</w:t>
      </w:r>
    </w:p>
    <w:p w14:paraId="4F9220B8" w14:textId="77777777" w:rsidR="00884E6C" w:rsidRPr="00F51E09" w:rsidRDefault="00884E6C" w:rsidP="00884E6C">
      <w:pPr>
        <w:pStyle w:val="H23G"/>
      </w:pPr>
      <w:r w:rsidRPr="00F51E09">
        <w:lastRenderedPageBreak/>
        <w:tab/>
      </w:r>
      <w:r w:rsidRPr="00F51E09">
        <w:tab/>
        <w:t>Chapter 3.3</w:t>
      </w:r>
    </w:p>
    <w:p w14:paraId="33FE11DB" w14:textId="77777777" w:rsidR="00884E6C" w:rsidRPr="00F51E09" w:rsidRDefault="00884E6C" w:rsidP="00884E6C">
      <w:pPr>
        <w:pStyle w:val="SingleTxtG"/>
      </w:pPr>
      <w:r w:rsidRPr="00644BB5">
        <w:rPr>
          <w:bCs/>
        </w:rPr>
        <w:t>SP 188</w:t>
      </w:r>
      <w:r w:rsidRPr="00F51E09">
        <w:rPr>
          <w:b/>
        </w:rPr>
        <w:tab/>
      </w:r>
      <w:r w:rsidRPr="00F51E09">
        <w:t>Replace the amendments to sub-paragraph (f) by:</w:t>
      </w:r>
    </w:p>
    <w:p w14:paraId="34FFBE53" w14:textId="77777777" w:rsidR="00884E6C" w:rsidRPr="00F51E09" w:rsidRDefault="00884E6C" w:rsidP="00884E6C">
      <w:pPr>
        <w:pStyle w:val="SingleTxtG"/>
      </w:pPr>
      <w:r w:rsidRPr="00F51E09">
        <w:t>"In sub-paragraph (f):</w:t>
      </w:r>
    </w:p>
    <w:p w14:paraId="52353FBB" w14:textId="77777777" w:rsidR="00884E6C" w:rsidRPr="00F51E09" w:rsidRDefault="00884E6C" w:rsidP="00884E6C">
      <w:pPr>
        <w:pStyle w:val="SingleTxtG"/>
      </w:pPr>
      <w:r w:rsidRPr="00F51E09">
        <w:t>–</w:t>
      </w:r>
      <w:r w:rsidRPr="00F51E09">
        <w:tab/>
        <w:t>In the first sentence, replace "lithium battery mark" by "battery mark".</w:t>
      </w:r>
    </w:p>
    <w:p w14:paraId="5FDAD102" w14:textId="77777777" w:rsidR="00884E6C" w:rsidRPr="00F51E09" w:rsidRDefault="00884E6C" w:rsidP="00884E6C">
      <w:pPr>
        <w:pStyle w:val="SingleTxtG"/>
      </w:pPr>
      <w:r w:rsidRPr="00F51E09">
        <w:t>–</w:t>
      </w:r>
      <w:r w:rsidRPr="00F51E09">
        <w:tab/>
        <w:t>In the last paragraph, first sentence, replace "lithium battery mark" by "battery mark".</w:t>
      </w:r>
    </w:p>
    <w:p w14:paraId="68911F07" w14:textId="77777777" w:rsidR="00884E6C" w:rsidRPr="00F51E09" w:rsidRDefault="00884E6C" w:rsidP="00884E6C">
      <w:pPr>
        <w:pStyle w:val="SingleTxtG"/>
      </w:pPr>
      <w:r w:rsidRPr="00F51E09">
        <w:t>–</w:t>
      </w:r>
      <w:r w:rsidRPr="00F51E09">
        <w:tab/>
        <w:t>In the Note, replace "(lithium battery mark)" by "(battery mark)"."</w:t>
      </w:r>
    </w:p>
    <w:p w14:paraId="22603F90" w14:textId="3E91A13D" w:rsidR="00884E6C" w:rsidRPr="00644BB5" w:rsidRDefault="005A1E5A" w:rsidP="00884E6C">
      <w:pPr>
        <w:pStyle w:val="SingleTxtG"/>
        <w:rPr>
          <w:i/>
          <w:iCs/>
        </w:rPr>
      </w:pPr>
      <w:r w:rsidRPr="00644BB5">
        <w:rPr>
          <w:i/>
          <w:iCs/>
        </w:rPr>
        <w:t>(</w:t>
      </w:r>
      <w:r w:rsidR="00884E6C" w:rsidRPr="00644BB5">
        <w:rPr>
          <w:i/>
          <w:iCs/>
        </w:rPr>
        <w:t>Reference document: ECE/TRANS/WP.15/AC.1/2024/25</w:t>
      </w:r>
      <w:r w:rsidRPr="00644BB5">
        <w:rPr>
          <w:i/>
          <w:iCs/>
        </w:rPr>
        <w:t>)</w:t>
      </w:r>
    </w:p>
    <w:p w14:paraId="61733FFE" w14:textId="77777777" w:rsidR="00884E6C" w:rsidRPr="00F51E09" w:rsidRDefault="00884E6C" w:rsidP="00884E6C">
      <w:pPr>
        <w:pStyle w:val="H23G"/>
      </w:pPr>
      <w:r w:rsidRPr="00F51E09">
        <w:tab/>
      </w:r>
      <w:r w:rsidRPr="00F51E09">
        <w:tab/>
        <w:t>Chapter 4.1</w:t>
      </w:r>
    </w:p>
    <w:p w14:paraId="26655689" w14:textId="606D0A06" w:rsidR="00884E6C" w:rsidRPr="00F51E09" w:rsidRDefault="00884E6C" w:rsidP="0077101F">
      <w:pPr>
        <w:pStyle w:val="SingleTxtG"/>
      </w:pPr>
      <w:r w:rsidRPr="00644BB5">
        <w:t>4.1.4.1</w:t>
      </w:r>
      <w:r w:rsidR="0077101F" w:rsidRPr="00644BB5">
        <w:t xml:space="preserve">, </w:t>
      </w:r>
      <w:r w:rsidRPr="00644BB5">
        <w:t>P 006</w:t>
      </w:r>
      <w:r w:rsidR="0077101F" w:rsidRPr="00644BB5">
        <w:tab/>
      </w:r>
      <w:r w:rsidRPr="0077101F">
        <w:tab/>
      </w:r>
      <w:r w:rsidRPr="00F51E09">
        <w:t>In paragraph (5), in the introductory sentence, after "lithium cells or batteries", insert:</w:t>
      </w:r>
    </w:p>
    <w:p w14:paraId="18B58AEE" w14:textId="77777777" w:rsidR="00884E6C" w:rsidRPr="00F51E09" w:rsidRDefault="00884E6C" w:rsidP="00884E6C">
      <w:pPr>
        <w:pStyle w:val="SingleTxtG"/>
      </w:pPr>
      <w:r w:rsidRPr="00F51E09">
        <w:t>"</w:t>
      </w:r>
      <w:r w:rsidRPr="00F51E09">
        <w:rPr>
          <w:bCs/>
        </w:rPr>
        <w:t>or sodium ion cells or batteries</w:t>
      </w:r>
      <w:r w:rsidRPr="00F51E09">
        <w:t>" (twice).</w:t>
      </w:r>
    </w:p>
    <w:p w14:paraId="079F990B" w14:textId="2676E0E3" w:rsidR="00884E6C" w:rsidRPr="00644BB5" w:rsidRDefault="003B09EC" w:rsidP="00884E6C">
      <w:pPr>
        <w:pStyle w:val="SingleTxtG"/>
        <w:rPr>
          <w:i/>
          <w:iCs/>
        </w:rPr>
      </w:pPr>
      <w:r w:rsidRPr="00644BB5">
        <w:rPr>
          <w:i/>
          <w:iCs/>
        </w:rPr>
        <w:t>(</w:t>
      </w:r>
      <w:r w:rsidR="00884E6C" w:rsidRPr="00644BB5">
        <w:rPr>
          <w:i/>
          <w:iCs/>
        </w:rPr>
        <w:t>Reference document: ECE/TRANS/WP.15/AC.1/2024/25</w:t>
      </w:r>
      <w:r w:rsidRPr="00644BB5">
        <w:rPr>
          <w:i/>
          <w:iCs/>
        </w:rPr>
        <w:t>)</w:t>
      </w:r>
    </w:p>
    <w:p w14:paraId="661EF930" w14:textId="651BA337" w:rsidR="002A54B2" w:rsidRPr="008D05AD" w:rsidRDefault="002A54B2" w:rsidP="002A54B2">
      <w:pPr>
        <w:pStyle w:val="SingleTxtG"/>
      </w:pPr>
      <w:r w:rsidRPr="00633823">
        <w:t>4.1.4.1, P </w:t>
      </w:r>
      <w:r>
        <w:t>200</w:t>
      </w:r>
      <w:r>
        <w:tab/>
      </w:r>
      <w:r>
        <w:tab/>
      </w:r>
      <w:r w:rsidRPr="008D05AD">
        <w:t>In Table 2, in the footnote related to the filling ratio for UN No. 1965, after the graph, insert the following new note:</w:t>
      </w:r>
    </w:p>
    <w:p w14:paraId="4D4A9721" w14:textId="77777777" w:rsidR="002A54B2" w:rsidRPr="008D05AD" w:rsidRDefault="002A54B2" w:rsidP="002A54B2">
      <w:pPr>
        <w:pStyle w:val="SingleTxtG"/>
        <w:rPr>
          <w:i/>
          <w:iCs/>
        </w:rPr>
      </w:pPr>
      <w:r w:rsidRPr="008D05AD">
        <w:rPr>
          <w:i/>
          <w:iCs/>
        </w:rPr>
        <w:t>"</w:t>
      </w:r>
      <w:r w:rsidRPr="008D05AD">
        <w:rPr>
          <w:b/>
          <w:i/>
          <w:iCs/>
        </w:rPr>
        <w:t>Note:</w:t>
      </w:r>
      <w:r w:rsidRPr="008D05AD">
        <w:rPr>
          <w:i/>
          <w:iCs/>
        </w:rPr>
        <w:tab/>
        <w:t>The graph above can be used to determine the correct filling ratios for the mixtures listed in 2.2.2.3".</w:t>
      </w:r>
    </w:p>
    <w:p w14:paraId="721966CE" w14:textId="76C9958A" w:rsidR="0077101F" w:rsidRDefault="002A54B2" w:rsidP="002A54B2">
      <w:pPr>
        <w:pStyle w:val="SingleTxtG"/>
        <w:rPr>
          <w:bCs/>
        </w:rPr>
      </w:pPr>
      <w:r>
        <w:rPr>
          <w:i/>
          <w:iCs/>
        </w:rPr>
        <w:t>(</w:t>
      </w:r>
      <w:r w:rsidRPr="00633823">
        <w:rPr>
          <w:i/>
          <w:iCs/>
        </w:rPr>
        <w:t>Reference document: ECE/TRANS/WP.15/AC.1/2024/3, as amended</w:t>
      </w:r>
      <w:r>
        <w:rPr>
          <w:i/>
          <w:iCs/>
        </w:rPr>
        <w:t>)</w:t>
      </w:r>
    </w:p>
    <w:p w14:paraId="05B8C1B0" w14:textId="7DBF5409" w:rsidR="00884E6C" w:rsidRPr="00F51E09" w:rsidRDefault="00884E6C" w:rsidP="0077101F">
      <w:pPr>
        <w:pStyle w:val="SingleTxtG"/>
      </w:pPr>
      <w:r w:rsidRPr="00644BB5">
        <w:rPr>
          <w:bCs/>
        </w:rPr>
        <w:t>4.1.4.3</w:t>
      </w:r>
      <w:r w:rsidR="0077101F" w:rsidRPr="00644BB5">
        <w:rPr>
          <w:bCs/>
        </w:rPr>
        <w:t xml:space="preserve">, </w:t>
      </w:r>
      <w:r w:rsidRPr="00644BB5">
        <w:rPr>
          <w:bCs/>
        </w:rPr>
        <w:t>LP 03</w:t>
      </w:r>
      <w:r w:rsidR="0061070A">
        <w:rPr>
          <w:bCs/>
        </w:rPr>
        <w:tab/>
      </w:r>
      <w:r w:rsidRPr="00644BB5">
        <w:rPr>
          <w:bCs/>
        </w:rPr>
        <w:tab/>
      </w:r>
      <w:r w:rsidRPr="00F51E09">
        <w:t>In paragraph (4), in the introductory sentence, after "lithium cells or batteries", insert:</w:t>
      </w:r>
    </w:p>
    <w:p w14:paraId="1BEB2F38" w14:textId="77777777" w:rsidR="00884E6C" w:rsidRPr="00F51E09" w:rsidRDefault="00884E6C" w:rsidP="00884E6C">
      <w:pPr>
        <w:pStyle w:val="SingleTxtG"/>
      </w:pPr>
      <w:r w:rsidRPr="00F51E09">
        <w:t>"</w:t>
      </w:r>
      <w:r w:rsidRPr="00F51E09">
        <w:rPr>
          <w:bCs/>
        </w:rPr>
        <w:t>or sodium ion cells or batteries</w:t>
      </w:r>
      <w:r w:rsidRPr="00F51E09">
        <w:t>" (twice).</w:t>
      </w:r>
    </w:p>
    <w:p w14:paraId="287F2640" w14:textId="36754E7A" w:rsidR="00884E6C" w:rsidRPr="00644BB5" w:rsidRDefault="003B09EC" w:rsidP="00884E6C">
      <w:pPr>
        <w:pStyle w:val="SingleTxtG"/>
        <w:rPr>
          <w:i/>
          <w:iCs/>
        </w:rPr>
      </w:pPr>
      <w:r w:rsidRPr="00644BB5">
        <w:rPr>
          <w:i/>
          <w:iCs/>
        </w:rPr>
        <w:t>(</w:t>
      </w:r>
      <w:r w:rsidR="00884E6C" w:rsidRPr="00644BB5">
        <w:rPr>
          <w:i/>
          <w:iCs/>
        </w:rPr>
        <w:t>Reference document: ECE/TRANS/WP.15/AC.1/2024/25</w:t>
      </w:r>
      <w:r w:rsidRPr="00644BB5">
        <w:rPr>
          <w:i/>
          <w:iCs/>
        </w:rPr>
        <w:t>)</w:t>
      </w:r>
    </w:p>
    <w:p w14:paraId="30EB33DA" w14:textId="77777777" w:rsidR="00884E6C" w:rsidRPr="00F51E09" w:rsidRDefault="00884E6C" w:rsidP="00884E6C">
      <w:pPr>
        <w:pStyle w:val="H23G"/>
      </w:pPr>
      <w:r w:rsidRPr="00F51E09">
        <w:tab/>
      </w:r>
      <w:r w:rsidRPr="00F51E09">
        <w:tab/>
        <w:t>Chapter 5.2</w:t>
      </w:r>
    </w:p>
    <w:p w14:paraId="4A30FA6D" w14:textId="52F20F96" w:rsidR="00884E6C" w:rsidRPr="00644BB5" w:rsidRDefault="00884E6C" w:rsidP="00884E6C">
      <w:pPr>
        <w:pStyle w:val="SingleTxtG"/>
        <w:rPr>
          <w:bCs/>
        </w:rPr>
      </w:pPr>
      <w:r w:rsidRPr="00644BB5">
        <w:rPr>
          <w:bCs/>
        </w:rPr>
        <w:t>5.2.1.9</w:t>
      </w:r>
      <w:r w:rsidRPr="00644BB5">
        <w:rPr>
          <w:bCs/>
        </w:rPr>
        <w:tab/>
      </w:r>
      <w:r w:rsidR="002A54B2" w:rsidRPr="00644BB5">
        <w:rPr>
          <w:bCs/>
        </w:rPr>
        <w:tab/>
      </w:r>
      <w:r w:rsidRPr="00644BB5">
        <w:rPr>
          <w:bCs/>
        </w:rPr>
        <w:t>Replace the amendment by:</w:t>
      </w:r>
    </w:p>
    <w:p w14:paraId="54040555" w14:textId="77777777" w:rsidR="00884E6C" w:rsidRPr="00F51E09" w:rsidRDefault="00884E6C" w:rsidP="00884E6C">
      <w:pPr>
        <w:pStyle w:val="SingleTxtG"/>
      </w:pPr>
      <w:r w:rsidRPr="00644BB5">
        <w:rPr>
          <w:bCs/>
        </w:rPr>
        <w:t>"5.2.1.9</w:t>
      </w:r>
      <w:r w:rsidRPr="00F51E09">
        <w:tab/>
        <w:t>Amend the heading to read "</w:t>
      </w:r>
      <w:r w:rsidRPr="00F51E09">
        <w:rPr>
          <w:b/>
          <w:bCs/>
          <w:i/>
          <w:iCs/>
        </w:rPr>
        <w:t>Battery mark</w:t>
      </w:r>
      <w:r w:rsidRPr="00F51E09">
        <w:t>"."</w:t>
      </w:r>
    </w:p>
    <w:p w14:paraId="394D70A3" w14:textId="2418A351" w:rsidR="00884E6C" w:rsidRPr="00644BB5" w:rsidRDefault="00A252C8" w:rsidP="00884E6C">
      <w:pPr>
        <w:pStyle w:val="SingleTxtG"/>
        <w:rPr>
          <w:i/>
          <w:iCs/>
        </w:rPr>
      </w:pPr>
      <w:r w:rsidRPr="00644BB5">
        <w:rPr>
          <w:i/>
          <w:iCs/>
        </w:rPr>
        <w:t>(</w:t>
      </w:r>
      <w:r w:rsidR="00884E6C" w:rsidRPr="00644BB5">
        <w:rPr>
          <w:i/>
          <w:iCs/>
        </w:rPr>
        <w:t>Reference document: ECE/TRANS/WP.15/AC.1/2024/25</w:t>
      </w:r>
      <w:r w:rsidRPr="00644BB5">
        <w:rPr>
          <w:i/>
          <w:iCs/>
        </w:rPr>
        <w:t>)</w:t>
      </w:r>
    </w:p>
    <w:p w14:paraId="6AE6E020" w14:textId="77777777" w:rsidR="00884E6C" w:rsidRPr="00F51E09" w:rsidRDefault="00884E6C" w:rsidP="00884E6C">
      <w:pPr>
        <w:pStyle w:val="SingleTxtG"/>
      </w:pPr>
      <w:r w:rsidRPr="00644BB5">
        <w:rPr>
          <w:bCs/>
        </w:rPr>
        <w:t>5.2.1.9.2</w:t>
      </w:r>
      <w:r w:rsidRPr="00F51E09">
        <w:tab/>
        <w:t>Replace the second amendment by:</w:t>
      </w:r>
    </w:p>
    <w:p w14:paraId="36310D55" w14:textId="77777777" w:rsidR="00884E6C" w:rsidRPr="00F51E09" w:rsidRDefault="00884E6C" w:rsidP="00884E6C">
      <w:pPr>
        <w:pStyle w:val="SingleTxtG"/>
      </w:pPr>
      <w:r w:rsidRPr="00F51E09">
        <w:rPr>
          <w:rFonts w:eastAsia="SimSun"/>
          <w:lang w:eastAsia="zh-CN"/>
        </w:rPr>
        <w:t>"Amend the heading of figure 5.2.1.9.2 to read "</w:t>
      </w:r>
      <w:r w:rsidRPr="00F51E09">
        <w:rPr>
          <w:rFonts w:eastAsia="SimSun"/>
          <w:b/>
          <w:bCs/>
          <w:lang w:eastAsia="zh-CN"/>
        </w:rPr>
        <w:t>Battery mark</w:t>
      </w:r>
      <w:r w:rsidRPr="00F51E09">
        <w:rPr>
          <w:rFonts w:eastAsia="SimSun"/>
          <w:lang w:eastAsia="zh-CN"/>
        </w:rPr>
        <w:t>".</w:t>
      </w:r>
    </w:p>
    <w:p w14:paraId="12D94A54" w14:textId="4B59DE0B" w:rsidR="00884E6C" w:rsidRPr="00644BB5" w:rsidRDefault="00A252C8" w:rsidP="00884E6C">
      <w:pPr>
        <w:pStyle w:val="SingleTxtG"/>
        <w:rPr>
          <w:i/>
          <w:iCs/>
        </w:rPr>
      </w:pPr>
      <w:r w:rsidRPr="00644BB5">
        <w:rPr>
          <w:i/>
          <w:iCs/>
        </w:rPr>
        <w:t>(</w:t>
      </w:r>
      <w:r w:rsidR="00884E6C" w:rsidRPr="00644BB5">
        <w:rPr>
          <w:i/>
          <w:iCs/>
        </w:rPr>
        <w:t>Reference document: ECE/TRANS/WP.15/AC.1/2024/25</w:t>
      </w:r>
      <w:r w:rsidRPr="00644BB5">
        <w:rPr>
          <w:i/>
          <w:iCs/>
        </w:rPr>
        <w:t>)</w:t>
      </w:r>
    </w:p>
    <w:p w14:paraId="350520D4" w14:textId="77777777" w:rsidR="00884E6C" w:rsidRPr="00644BB5" w:rsidRDefault="00884E6C" w:rsidP="00884E6C">
      <w:pPr>
        <w:pStyle w:val="SingleTxtG"/>
        <w:rPr>
          <w:bCs/>
        </w:rPr>
      </w:pPr>
      <w:r w:rsidRPr="00644BB5">
        <w:rPr>
          <w:bCs/>
        </w:rPr>
        <w:t>5.2.2.1.12.1</w:t>
      </w:r>
      <w:r w:rsidRPr="00644BB5">
        <w:rPr>
          <w:bCs/>
        </w:rPr>
        <w:tab/>
        <w:t>Replace the amendment by:</w:t>
      </w:r>
    </w:p>
    <w:p w14:paraId="20C93438" w14:textId="77777777" w:rsidR="00884E6C" w:rsidRPr="00F51E09" w:rsidRDefault="00884E6C" w:rsidP="00884E6C">
      <w:pPr>
        <w:pStyle w:val="SingleTxtG"/>
      </w:pPr>
      <w:r w:rsidRPr="00644BB5">
        <w:rPr>
          <w:bCs/>
        </w:rPr>
        <w:t>"5.2.2.1.12.1</w:t>
      </w:r>
      <w:r w:rsidRPr="00F51E09">
        <w:tab/>
        <w:t>Replace "lithium batteries" by "lithium batteries or sodium ion batteries", and "lithium battery mark" by "battery mark"."</w:t>
      </w:r>
    </w:p>
    <w:p w14:paraId="61E4FB98" w14:textId="38B80BD3" w:rsidR="00884E6C" w:rsidRPr="00644BB5" w:rsidRDefault="00A252C8" w:rsidP="00884E6C">
      <w:pPr>
        <w:pStyle w:val="SingleTxtG"/>
        <w:rPr>
          <w:i/>
          <w:iCs/>
        </w:rPr>
      </w:pPr>
      <w:r w:rsidRPr="00644BB5">
        <w:rPr>
          <w:i/>
          <w:iCs/>
        </w:rPr>
        <w:t>(</w:t>
      </w:r>
      <w:r w:rsidR="00884E6C" w:rsidRPr="00644BB5">
        <w:rPr>
          <w:i/>
          <w:iCs/>
        </w:rPr>
        <w:t>Reference document: ECE/TRANS/WP.15/AC.1/2024/25</w:t>
      </w:r>
      <w:r w:rsidRPr="00644BB5">
        <w:rPr>
          <w:i/>
          <w:iCs/>
        </w:rPr>
        <w:t>)</w:t>
      </w:r>
    </w:p>
    <w:p w14:paraId="2894D95A" w14:textId="77777777" w:rsidR="00884E6C" w:rsidRPr="00F51E09" w:rsidRDefault="00884E6C" w:rsidP="00884E6C">
      <w:pPr>
        <w:pStyle w:val="H23G"/>
      </w:pPr>
      <w:r w:rsidRPr="00F51E09">
        <w:tab/>
      </w:r>
      <w:r w:rsidRPr="00F51E09">
        <w:tab/>
        <w:t>Chapter 7.3</w:t>
      </w:r>
    </w:p>
    <w:p w14:paraId="446D05E8" w14:textId="77DC069E" w:rsidR="00C247F3" w:rsidRDefault="00884E6C" w:rsidP="00CF3BDD">
      <w:pPr>
        <w:pStyle w:val="SingleTxtG"/>
        <w:rPr>
          <w:bCs/>
        </w:rPr>
      </w:pPr>
      <w:r w:rsidRPr="00644BB5">
        <w:rPr>
          <w:bCs/>
        </w:rPr>
        <w:t>7.3.3.2.7</w:t>
      </w:r>
      <w:r w:rsidR="00CF3BDD" w:rsidRPr="00644BB5">
        <w:rPr>
          <w:bCs/>
        </w:rPr>
        <w:t xml:space="preserve">, </w:t>
      </w:r>
      <w:r w:rsidRPr="00644BB5">
        <w:rPr>
          <w:bCs/>
        </w:rPr>
        <w:t>AP 12</w:t>
      </w:r>
      <w:r w:rsidR="00C247F3">
        <w:rPr>
          <w:bCs/>
        </w:rPr>
        <w:tab/>
        <w:t>Amend as follows:</w:t>
      </w:r>
    </w:p>
    <w:p w14:paraId="00934619" w14:textId="4EF6D60E" w:rsidR="00884E6C" w:rsidRPr="00F51E09" w:rsidRDefault="00884E6C" w:rsidP="00CF3BDD">
      <w:pPr>
        <w:pStyle w:val="SingleTxtG"/>
      </w:pPr>
      <w:r w:rsidRPr="00F51E09">
        <w:t>In the third paragraph, replace "two liners" by:</w:t>
      </w:r>
    </w:p>
    <w:p w14:paraId="2CF4DD1D" w14:textId="77777777" w:rsidR="00884E6C" w:rsidRPr="00F51E09" w:rsidRDefault="00884E6C" w:rsidP="00884E6C">
      <w:pPr>
        <w:pStyle w:val="SingleTxtG"/>
      </w:pPr>
      <w:r w:rsidRPr="00F51E09">
        <w:t>"two components".</w:t>
      </w:r>
    </w:p>
    <w:p w14:paraId="48D36592" w14:textId="77777777" w:rsidR="00884E6C" w:rsidRPr="00F51E09" w:rsidRDefault="00884E6C" w:rsidP="00884E6C">
      <w:pPr>
        <w:pStyle w:val="SingleTxtG"/>
      </w:pPr>
      <w:r w:rsidRPr="00F51E09">
        <w:t>In the fourth paragraph, replace "The inner lining" by:</w:t>
      </w:r>
    </w:p>
    <w:p w14:paraId="70EC74AE" w14:textId="77777777" w:rsidR="00884E6C" w:rsidRPr="00F51E09" w:rsidRDefault="00884E6C" w:rsidP="00884E6C">
      <w:pPr>
        <w:pStyle w:val="SingleTxtG"/>
      </w:pPr>
      <w:r w:rsidRPr="00F51E09">
        <w:t>"The inner component" (twice).</w:t>
      </w:r>
    </w:p>
    <w:p w14:paraId="3A452941" w14:textId="77777777" w:rsidR="00884E6C" w:rsidRPr="00F51E09" w:rsidRDefault="00884E6C" w:rsidP="00884E6C">
      <w:pPr>
        <w:pStyle w:val="SingleTxtG"/>
      </w:pPr>
      <w:r w:rsidRPr="00F51E09">
        <w:t>In the fifth paragraph, in the first sentence, replace "The outer lining" by:</w:t>
      </w:r>
    </w:p>
    <w:p w14:paraId="0A4C67C7" w14:textId="77777777" w:rsidR="00884E6C" w:rsidRPr="00F51E09" w:rsidRDefault="00884E6C" w:rsidP="00884E6C">
      <w:pPr>
        <w:pStyle w:val="SingleTxtG"/>
      </w:pPr>
      <w:r w:rsidRPr="00F51E09">
        <w:t>"The outer component".</w:t>
      </w:r>
    </w:p>
    <w:p w14:paraId="3035E382" w14:textId="0F55EEC1" w:rsidR="00884E6C" w:rsidRPr="00644BB5" w:rsidRDefault="00C247F3" w:rsidP="00884E6C">
      <w:pPr>
        <w:pStyle w:val="SingleTxtG"/>
        <w:rPr>
          <w:i/>
          <w:iCs/>
        </w:rPr>
      </w:pPr>
      <w:r w:rsidRPr="00644BB5">
        <w:rPr>
          <w:i/>
          <w:iCs/>
        </w:rPr>
        <w:lastRenderedPageBreak/>
        <w:t>(</w:t>
      </w:r>
      <w:r w:rsidR="00884E6C" w:rsidRPr="00644BB5">
        <w:rPr>
          <w:i/>
          <w:iCs/>
        </w:rPr>
        <w:t>Reference document: informal document INF.21, as amended</w:t>
      </w:r>
      <w:r w:rsidRPr="00644BB5">
        <w:rPr>
          <w:i/>
          <w:iCs/>
        </w:rPr>
        <w:t>)</w:t>
      </w:r>
    </w:p>
    <w:p w14:paraId="1E65BE22" w14:textId="77777777" w:rsidR="00884E6C" w:rsidRPr="00F51E09" w:rsidRDefault="00884E6C" w:rsidP="00451E04">
      <w:pPr>
        <w:pStyle w:val="H23G"/>
      </w:pPr>
      <w:r w:rsidRPr="00F51E09">
        <w:tab/>
      </w:r>
      <w:r w:rsidRPr="00F51E09">
        <w:tab/>
        <w:t>Chapter 7.5</w:t>
      </w:r>
    </w:p>
    <w:p w14:paraId="0E283A39" w14:textId="0441581A" w:rsidR="00884E6C" w:rsidRPr="00F51E09" w:rsidRDefault="00884E6C" w:rsidP="00451E04">
      <w:pPr>
        <w:pStyle w:val="SingleTxtG"/>
        <w:keepNext/>
        <w:keepLines/>
      </w:pPr>
      <w:r w:rsidRPr="00644BB5">
        <w:rPr>
          <w:bCs/>
        </w:rPr>
        <w:t>7.5.11</w:t>
      </w:r>
      <w:r w:rsidR="005F1436" w:rsidRPr="00644BB5">
        <w:rPr>
          <w:bCs/>
        </w:rPr>
        <w:t xml:space="preserve">, </w:t>
      </w:r>
      <w:r w:rsidRPr="00644BB5">
        <w:rPr>
          <w:bCs/>
        </w:rPr>
        <w:t>CW 38/CV 38</w:t>
      </w:r>
      <w:r w:rsidRPr="00644BB5">
        <w:rPr>
          <w:bCs/>
        </w:rPr>
        <w:tab/>
      </w:r>
      <w:r w:rsidRPr="00F51E09">
        <w:t>In the second paragraph, in the second sentence, replace "The outer lining" by:</w:t>
      </w:r>
    </w:p>
    <w:p w14:paraId="384E44F2" w14:textId="77777777" w:rsidR="00884E6C" w:rsidRPr="00F51E09" w:rsidRDefault="00884E6C" w:rsidP="00884E6C">
      <w:pPr>
        <w:pStyle w:val="SingleTxtG"/>
      </w:pPr>
      <w:r w:rsidRPr="00F51E09">
        <w:t>"The outer component".</w:t>
      </w:r>
    </w:p>
    <w:p w14:paraId="2DB7C025" w14:textId="236C86A7" w:rsidR="00884E6C" w:rsidRPr="00644BB5" w:rsidRDefault="005F1436" w:rsidP="00884E6C">
      <w:pPr>
        <w:pStyle w:val="SingleTxtG"/>
        <w:rPr>
          <w:i/>
          <w:iCs/>
        </w:rPr>
      </w:pPr>
      <w:r w:rsidRPr="00644BB5">
        <w:rPr>
          <w:i/>
          <w:iCs/>
        </w:rPr>
        <w:t>(</w:t>
      </w:r>
      <w:r w:rsidR="00884E6C" w:rsidRPr="00644BB5">
        <w:rPr>
          <w:i/>
          <w:iCs/>
        </w:rPr>
        <w:t>Reference document: informal document INF.21, as amended</w:t>
      </w:r>
      <w:r w:rsidRPr="00644BB5">
        <w:rPr>
          <w:i/>
          <w:iCs/>
        </w:rPr>
        <w:t>)</w:t>
      </w:r>
    </w:p>
    <w:p w14:paraId="02FC9156" w14:textId="77777777" w:rsidR="007B2B0C" w:rsidRPr="00644BB5" w:rsidRDefault="007B2B0C" w:rsidP="007700D0">
      <w:pPr>
        <w:pStyle w:val="SingleTxtG"/>
        <w:rPr>
          <w:lang w:eastAsia="en-US"/>
        </w:rPr>
      </w:pPr>
    </w:p>
    <w:p w14:paraId="7926919A" w14:textId="77777777" w:rsidR="005F1436" w:rsidRDefault="005F1436">
      <w:pPr>
        <w:rPr>
          <w:b/>
          <w:sz w:val="24"/>
        </w:rPr>
      </w:pPr>
      <w:r>
        <w:br w:type="page"/>
      </w:r>
    </w:p>
    <w:p w14:paraId="2D87E581" w14:textId="77777777" w:rsidR="00451E04" w:rsidRDefault="005F1436" w:rsidP="00424122">
      <w:pPr>
        <w:pStyle w:val="H1G"/>
        <w:tabs>
          <w:tab w:val="left" w:pos="4536"/>
        </w:tabs>
        <w:rPr>
          <w:sz w:val="28"/>
          <w:szCs w:val="28"/>
        </w:rPr>
      </w:pPr>
      <w:bookmarkStart w:id="28" w:name="_Toc164258741"/>
      <w:r w:rsidRPr="00424122">
        <w:rPr>
          <w:sz w:val="28"/>
          <w:szCs w:val="28"/>
        </w:rPr>
        <w:lastRenderedPageBreak/>
        <w:t>Annex IV</w:t>
      </w:r>
      <w:bookmarkEnd w:id="28"/>
    </w:p>
    <w:p w14:paraId="4FB7284C" w14:textId="27B03942" w:rsidR="005F1436" w:rsidRPr="000C08B9" w:rsidRDefault="00FB6E67" w:rsidP="000C08B9">
      <w:pPr>
        <w:pStyle w:val="H1G"/>
        <w:tabs>
          <w:tab w:val="left" w:pos="4536"/>
        </w:tabs>
        <w:jc w:val="right"/>
        <w:rPr>
          <w:sz w:val="20"/>
        </w:rPr>
      </w:pPr>
      <w:r w:rsidRPr="000C08B9">
        <w:rPr>
          <w:rStyle w:val="ui-provider"/>
          <w:b w:val="0"/>
          <w:bCs/>
          <w:sz w:val="20"/>
        </w:rPr>
        <w:t>[Original: English and French]</w:t>
      </w:r>
    </w:p>
    <w:p w14:paraId="061BF1E3" w14:textId="1576684C" w:rsidR="007700D0" w:rsidRPr="00F51E09" w:rsidRDefault="007700D0" w:rsidP="007700D0">
      <w:pPr>
        <w:pStyle w:val="H1G"/>
      </w:pPr>
      <w:r w:rsidRPr="00644BB5">
        <w:tab/>
      </w:r>
      <w:r w:rsidRPr="00644BB5">
        <w:tab/>
      </w:r>
      <w:bookmarkStart w:id="29" w:name="_Toc164258742"/>
      <w:r w:rsidRPr="00F51E09">
        <w:t>Draft amendments to RID, ADR and ADN for entry into force on 1 January 2027</w:t>
      </w:r>
      <w:bookmarkEnd w:id="29"/>
    </w:p>
    <w:p w14:paraId="791B3D98" w14:textId="77777777" w:rsidR="007700D0" w:rsidRPr="00644BB5" w:rsidRDefault="007700D0" w:rsidP="007700D0">
      <w:pPr>
        <w:pStyle w:val="H23G"/>
      </w:pPr>
      <w:r w:rsidRPr="00644BB5">
        <w:tab/>
      </w:r>
      <w:r w:rsidRPr="00644BB5">
        <w:tab/>
        <w:t>Chapter 1.1</w:t>
      </w:r>
    </w:p>
    <w:p w14:paraId="2516EFE6" w14:textId="77777777" w:rsidR="007700D0" w:rsidRPr="00644BB5" w:rsidRDefault="007700D0" w:rsidP="007700D0">
      <w:pPr>
        <w:pStyle w:val="SingleTxtG"/>
      </w:pPr>
      <w:r w:rsidRPr="00644BB5">
        <w:rPr>
          <w:bCs/>
        </w:rPr>
        <w:t>1.1.4.7.1</w:t>
      </w:r>
      <w:r w:rsidRPr="00644BB5">
        <w:tab/>
        <w:t>Amend the title to read:</w:t>
      </w:r>
    </w:p>
    <w:p w14:paraId="7BFE11CF" w14:textId="77777777" w:rsidR="007700D0" w:rsidRPr="00644BB5" w:rsidRDefault="007700D0" w:rsidP="007700D0">
      <w:pPr>
        <w:pStyle w:val="SingleTxtG"/>
        <w:rPr>
          <w:i/>
          <w:iCs/>
        </w:rPr>
      </w:pPr>
      <w:r w:rsidRPr="00644BB5">
        <w:rPr>
          <w:i/>
          <w:iCs/>
        </w:rPr>
        <w:t xml:space="preserve">"Import </w:t>
      </w:r>
      <w:r w:rsidRPr="00F51E09">
        <w:rPr>
          <w:i/>
          <w:iCs/>
        </w:rPr>
        <w:t>of</w:t>
      </w:r>
      <w:r w:rsidRPr="00644BB5">
        <w:rPr>
          <w:i/>
          <w:iCs/>
        </w:rPr>
        <w:t xml:space="preserve"> dangerous substances in pressure receptacles".</w:t>
      </w:r>
    </w:p>
    <w:p w14:paraId="5CFE286F" w14:textId="63D776B4" w:rsidR="007700D0" w:rsidRPr="00644BB5" w:rsidRDefault="00AC5B0B" w:rsidP="007700D0">
      <w:pPr>
        <w:pStyle w:val="SingleTxtG"/>
        <w:rPr>
          <w:i/>
          <w:iCs/>
        </w:rPr>
      </w:pPr>
      <w:r w:rsidRPr="00644BB5">
        <w:rPr>
          <w:i/>
          <w:iCs/>
        </w:rPr>
        <w:t>(</w:t>
      </w:r>
      <w:r w:rsidR="007700D0" w:rsidRPr="00644BB5">
        <w:rPr>
          <w:i/>
          <w:iCs/>
        </w:rPr>
        <w:t>Reference document: informal document INF.23, as amended</w:t>
      </w:r>
      <w:r w:rsidRPr="00644BB5">
        <w:rPr>
          <w:i/>
          <w:iCs/>
        </w:rPr>
        <w:t>)</w:t>
      </w:r>
    </w:p>
    <w:p w14:paraId="1D621C71" w14:textId="77777777" w:rsidR="007700D0" w:rsidRPr="00644BB5" w:rsidRDefault="007700D0" w:rsidP="007700D0">
      <w:pPr>
        <w:pStyle w:val="SingleTxtG"/>
      </w:pPr>
      <w:r w:rsidRPr="00644BB5">
        <w:rPr>
          <w:bCs/>
        </w:rPr>
        <w:t>1.1.4.7.2</w:t>
      </w:r>
      <w:r w:rsidRPr="00644BB5">
        <w:tab/>
        <w:t>Amend the title to read:</w:t>
      </w:r>
    </w:p>
    <w:p w14:paraId="57E9E707" w14:textId="77777777" w:rsidR="007700D0" w:rsidRPr="00644BB5" w:rsidRDefault="007700D0" w:rsidP="007700D0">
      <w:pPr>
        <w:pStyle w:val="SingleTxtG"/>
        <w:rPr>
          <w:i/>
          <w:iCs/>
        </w:rPr>
      </w:pPr>
      <w:r w:rsidRPr="00644BB5">
        <w:rPr>
          <w:i/>
          <w:iCs/>
        </w:rPr>
        <w:t>"Export of dangerous substances in pressure receptacles and of empty uncleaned pressure receptacles".</w:t>
      </w:r>
    </w:p>
    <w:p w14:paraId="4350D86D" w14:textId="664AC683" w:rsidR="007700D0" w:rsidRPr="00644BB5" w:rsidRDefault="00AC5B0B" w:rsidP="007700D0">
      <w:pPr>
        <w:pStyle w:val="SingleTxtG"/>
        <w:rPr>
          <w:i/>
          <w:iCs/>
        </w:rPr>
      </w:pPr>
      <w:r w:rsidRPr="00644BB5">
        <w:rPr>
          <w:i/>
          <w:iCs/>
        </w:rPr>
        <w:t>(</w:t>
      </w:r>
      <w:r w:rsidR="007700D0" w:rsidRPr="00644BB5">
        <w:rPr>
          <w:i/>
          <w:iCs/>
        </w:rPr>
        <w:t>Reference document: informal document INF.23, as amended</w:t>
      </w:r>
      <w:r w:rsidRPr="00644BB5">
        <w:rPr>
          <w:i/>
          <w:iCs/>
        </w:rPr>
        <w:t>)</w:t>
      </w:r>
    </w:p>
    <w:p w14:paraId="0C8EF761" w14:textId="77777777" w:rsidR="00E10F82" w:rsidRPr="00F51E09" w:rsidRDefault="00E10F82" w:rsidP="00E10F82">
      <w:pPr>
        <w:pStyle w:val="H23G"/>
      </w:pPr>
      <w:r w:rsidRPr="00F51E09">
        <w:tab/>
      </w:r>
      <w:r w:rsidRPr="00F51E09">
        <w:tab/>
        <w:t>Chapter 3.2</w:t>
      </w:r>
    </w:p>
    <w:p w14:paraId="63B50E7E" w14:textId="77777777" w:rsidR="00E10F82" w:rsidRPr="00F51E09" w:rsidRDefault="00E10F82" w:rsidP="00E10F82">
      <w:pPr>
        <w:pStyle w:val="SingleTxtG"/>
      </w:pPr>
      <w:r w:rsidRPr="00644BB5">
        <w:rPr>
          <w:bCs/>
        </w:rPr>
        <w:t>Table A</w:t>
      </w:r>
      <w:r w:rsidRPr="00F51E09">
        <w:rPr>
          <w:b/>
        </w:rPr>
        <w:tab/>
      </w:r>
      <w:bookmarkStart w:id="30" w:name="_Hlk153269911"/>
      <w:r w:rsidRPr="00F51E09">
        <w:t>For UN 3373 (second entry), in Column (17)</w:t>
      </w:r>
      <w:bookmarkEnd w:id="30"/>
      <w:r w:rsidRPr="00F51E09">
        <w:t>, insert:</w:t>
      </w:r>
    </w:p>
    <w:p w14:paraId="33F9D1D7" w14:textId="77777777" w:rsidR="00E10F82" w:rsidRPr="00F51E09" w:rsidRDefault="00E10F82" w:rsidP="00E10F82">
      <w:pPr>
        <w:ind w:left="4820" w:hanging="2551"/>
      </w:pPr>
      <w:r w:rsidRPr="00F51E09">
        <w:t>"VC3".</w:t>
      </w:r>
    </w:p>
    <w:p w14:paraId="11F3E552" w14:textId="09B01460" w:rsidR="00E10F82" w:rsidRPr="00644BB5" w:rsidRDefault="00A24CED" w:rsidP="00E10F82">
      <w:pPr>
        <w:pStyle w:val="SingleTxtG"/>
        <w:rPr>
          <w:i/>
          <w:iCs/>
        </w:rPr>
      </w:pPr>
      <w:r w:rsidRPr="00644BB5">
        <w:rPr>
          <w:i/>
          <w:iCs/>
        </w:rPr>
        <w:t>(</w:t>
      </w:r>
      <w:r w:rsidR="00E10F82" w:rsidRPr="00644BB5">
        <w:rPr>
          <w:i/>
          <w:iCs/>
        </w:rPr>
        <w:t>Reference document: ECE/TRANS/WP.15/AC.1/2024/22</w:t>
      </w:r>
      <w:r w:rsidRPr="00644BB5">
        <w:rPr>
          <w:i/>
          <w:iCs/>
        </w:rPr>
        <w:t>)</w:t>
      </w:r>
    </w:p>
    <w:p w14:paraId="0F8BA21F" w14:textId="77777777" w:rsidR="007700D0" w:rsidRPr="00644BB5" w:rsidRDefault="007700D0" w:rsidP="007700D0">
      <w:pPr>
        <w:pStyle w:val="H23G"/>
      </w:pPr>
      <w:r w:rsidRPr="00644BB5">
        <w:tab/>
      </w:r>
      <w:r w:rsidRPr="00644BB5">
        <w:tab/>
        <w:t>Chapter 4.1</w:t>
      </w:r>
    </w:p>
    <w:p w14:paraId="2C215593" w14:textId="0BE87FDA" w:rsidR="007700D0" w:rsidRPr="00644BB5" w:rsidRDefault="007700D0" w:rsidP="00A24CED">
      <w:pPr>
        <w:pStyle w:val="SingleTxtG"/>
      </w:pPr>
      <w:r w:rsidRPr="00644BB5">
        <w:t>4.1.4.1</w:t>
      </w:r>
      <w:r w:rsidR="00A24CED" w:rsidRPr="00644BB5">
        <w:t>,</w:t>
      </w:r>
      <w:r w:rsidR="00A24CED">
        <w:rPr>
          <w:bCs/>
        </w:rPr>
        <w:t xml:space="preserve"> </w:t>
      </w:r>
      <w:r w:rsidRPr="00644BB5">
        <w:rPr>
          <w:bCs/>
        </w:rPr>
        <w:t>P 200</w:t>
      </w:r>
      <w:r w:rsidRPr="00644BB5">
        <w:tab/>
      </w:r>
      <w:r w:rsidR="00A24CED">
        <w:tab/>
      </w:r>
      <w:r w:rsidRPr="00644BB5">
        <w:t>In paragraph (12) 1.3, insert the following new second indent:</w:t>
      </w:r>
    </w:p>
    <w:p w14:paraId="15DCC28B" w14:textId="77777777" w:rsidR="007700D0" w:rsidRPr="00644BB5" w:rsidRDefault="007700D0" w:rsidP="007700D0">
      <w:pPr>
        <w:pStyle w:val="SingleTxtG"/>
      </w:pPr>
      <w:r w:rsidRPr="00644BB5">
        <w:t>"–</w:t>
      </w:r>
      <w:r w:rsidRPr="00644BB5">
        <w:tab/>
        <w:t>EN </w:t>
      </w:r>
      <w:r w:rsidRPr="00F51E09">
        <w:t>14140</w:t>
      </w:r>
      <w:r w:rsidRPr="00644BB5">
        <w:t>; or".</w:t>
      </w:r>
    </w:p>
    <w:p w14:paraId="512015AD" w14:textId="76A53800" w:rsidR="007700D0" w:rsidRPr="00644BB5" w:rsidRDefault="00B07CCE" w:rsidP="007700D0">
      <w:pPr>
        <w:pStyle w:val="SingleTxtG"/>
        <w:rPr>
          <w:i/>
          <w:iCs/>
        </w:rPr>
      </w:pPr>
      <w:r w:rsidRPr="00644BB5">
        <w:rPr>
          <w:i/>
          <w:iCs/>
        </w:rPr>
        <w:t>(</w:t>
      </w:r>
      <w:r w:rsidR="007700D0" w:rsidRPr="00644BB5">
        <w:rPr>
          <w:i/>
          <w:iCs/>
        </w:rPr>
        <w:t>Reference document: ECE/TRANS/WP.15/AC.1/2024/17</w:t>
      </w:r>
      <w:r w:rsidRPr="00644BB5">
        <w:rPr>
          <w:i/>
          <w:iCs/>
        </w:rPr>
        <w:t>)</w:t>
      </w:r>
    </w:p>
    <w:p w14:paraId="56EC7D1D" w14:textId="77777777" w:rsidR="007700D0" w:rsidRPr="00644BB5" w:rsidRDefault="007700D0" w:rsidP="007700D0">
      <w:pPr>
        <w:pStyle w:val="H23G"/>
      </w:pPr>
      <w:r w:rsidRPr="00644BB5">
        <w:tab/>
      </w:r>
      <w:r w:rsidRPr="00644BB5">
        <w:tab/>
        <w:t>Chapter 4.3</w:t>
      </w:r>
    </w:p>
    <w:p w14:paraId="4988B79F" w14:textId="77777777" w:rsidR="007700D0" w:rsidRPr="00644BB5" w:rsidRDefault="007700D0" w:rsidP="007700D0">
      <w:pPr>
        <w:pStyle w:val="SingleTxtG"/>
        <w:ind w:left="2268" w:right="567" w:hanging="1134"/>
      </w:pPr>
      <w:r w:rsidRPr="00644BB5">
        <w:rPr>
          <w:bCs/>
        </w:rPr>
        <w:t>4.3.3.1.1</w:t>
      </w:r>
      <w:r w:rsidRPr="00644BB5">
        <w:tab/>
        <w:t>In the table, in row "2 Calculation pressure", in column "Tank Code", in the explanation of "X", replace "4.3.3.2.5" by:</w:t>
      </w:r>
    </w:p>
    <w:p w14:paraId="1CF932CB" w14:textId="77777777" w:rsidR="007700D0" w:rsidRPr="00644BB5" w:rsidRDefault="007700D0" w:rsidP="007700D0">
      <w:pPr>
        <w:pStyle w:val="SingleTxtG"/>
      </w:pPr>
      <w:r w:rsidRPr="00644BB5">
        <w:t>"4.3.3.2.6".</w:t>
      </w:r>
    </w:p>
    <w:p w14:paraId="1F1E5C08" w14:textId="43243F93" w:rsidR="007700D0" w:rsidRPr="00644BB5" w:rsidRDefault="00B07CCE" w:rsidP="007700D0">
      <w:pPr>
        <w:pStyle w:val="SingleTxtG"/>
        <w:rPr>
          <w:i/>
          <w:iCs/>
        </w:rPr>
      </w:pPr>
      <w:r w:rsidRPr="00644BB5">
        <w:rPr>
          <w:i/>
          <w:iCs/>
        </w:rPr>
        <w:t>(</w:t>
      </w:r>
      <w:r w:rsidR="007700D0" w:rsidRPr="00644BB5">
        <w:rPr>
          <w:i/>
          <w:iCs/>
        </w:rPr>
        <w:t>Reference document: ECE/TRANS/WP.15/AC.1/2024/2, as amended by informal document INF.18,/Rev.1 proposal 3</w:t>
      </w:r>
      <w:r w:rsidRPr="00644BB5">
        <w:rPr>
          <w:i/>
          <w:iCs/>
        </w:rPr>
        <w:t>)</w:t>
      </w:r>
    </w:p>
    <w:p w14:paraId="6ABD60EA" w14:textId="77777777" w:rsidR="007700D0" w:rsidRPr="00644BB5" w:rsidRDefault="007700D0" w:rsidP="007700D0">
      <w:pPr>
        <w:pStyle w:val="SingleTxtG"/>
      </w:pPr>
      <w:r w:rsidRPr="00644BB5">
        <w:rPr>
          <w:bCs/>
        </w:rPr>
        <w:t>4.3.3.2</w:t>
      </w:r>
      <w:r w:rsidRPr="00644BB5">
        <w:rPr>
          <w:bCs/>
        </w:rPr>
        <w:tab/>
      </w:r>
      <w:r w:rsidRPr="00644BB5">
        <w:tab/>
        <w:t xml:space="preserve">Insert a new </w:t>
      </w:r>
      <w:r w:rsidRPr="00644BB5">
        <w:rPr>
          <w:bCs/>
        </w:rPr>
        <w:t>4.3.3.2.5</w:t>
      </w:r>
      <w:r w:rsidRPr="00644BB5">
        <w:t xml:space="preserve"> to read:</w:t>
      </w:r>
    </w:p>
    <w:p w14:paraId="7E3BF22E" w14:textId="77777777" w:rsidR="007700D0" w:rsidRPr="00F51E09" w:rsidRDefault="007700D0" w:rsidP="007700D0">
      <w:pPr>
        <w:pStyle w:val="SingleTxtG"/>
      </w:pPr>
      <w:r w:rsidRPr="00644BB5">
        <w:t>"4.3.3.2.5</w:t>
      </w:r>
      <w:r w:rsidRPr="00C71FBE">
        <w:tab/>
      </w:r>
      <w:r w:rsidRPr="00F51E09">
        <w:t>Prior to filling, the battery-wagons/ battery-vehicles and MEGCs shall be inspected to ensure they are authorized for the gas to be carried and that the applicable provisions of RID/ADR have been met. The elements of battery-wagons/battery-vehicles or MEGCs that are pressure receptacles shall be filled according to the working pressures, filling ratios and filling provisions specified in packing instruction P 200 of 4.1.4.1 for the specific gas being filled into each element. When battery-wagons/battery-vehicles and MEGCs are filled as a whole or groups of their elements are filled simultaneously, the filling pressure or the load shall not exceed the lowest maximum filling pressure or the lowest maximum load of any single element. Battery-wagons/battery-vehicles and MEGCs shall not be filled above the applicable permissible masses."</w:t>
      </w:r>
    </w:p>
    <w:p w14:paraId="5CC6D49B" w14:textId="77777777" w:rsidR="007700D0" w:rsidRPr="00F51E09" w:rsidRDefault="007700D0" w:rsidP="007700D0">
      <w:pPr>
        <w:pStyle w:val="SingleTxtG"/>
      </w:pPr>
      <w:r w:rsidRPr="00F51E09">
        <w:t xml:space="preserve">Renumber existing </w:t>
      </w:r>
      <w:r w:rsidRPr="00644BB5">
        <w:rPr>
          <w:bCs/>
        </w:rPr>
        <w:t>4.3.3.2.5 as 4.3.3.2.6</w:t>
      </w:r>
      <w:r w:rsidRPr="00F51E09">
        <w:t>.</w:t>
      </w:r>
    </w:p>
    <w:p w14:paraId="52D72EED" w14:textId="1E2BFB31" w:rsidR="007700D0" w:rsidRPr="00644BB5" w:rsidRDefault="00C71FBE" w:rsidP="007700D0">
      <w:pPr>
        <w:pStyle w:val="SingleTxtG"/>
        <w:rPr>
          <w:i/>
          <w:iCs/>
        </w:rPr>
      </w:pPr>
      <w:r w:rsidRPr="00644BB5">
        <w:rPr>
          <w:i/>
          <w:iCs/>
        </w:rPr>
        <w:t>(</w:t>
      </w:r>
      <w:r w:rsidR="007700D0" w:rsidRPr="00644BB5">
        <w:rPr>
          <w:i/>
          <w:iCs/>
        </w:rPr>
        <w:t>Reference document: ECE/TRANS/WP.15/AC.1/2024/2, as amended by informal document INF.18/Rev.1, proposal 3</w:t>
      </w:r>
      <w:r w:rsidRPr="00644BB5">
        <w:rPr>
          <w:i/>
          <w:iCs/>
        </w:rPr>
        <w:t>)</w:t>
      </w:r>
    </w:p>
    <w:p w14:paraId="2430142A" w14:textId="77777777" w:rsidR="007700D0" w:rsidRPr="00F51E09" w:rsidRDefault="007700D0" w:rsidP="007700D0">
      <w:pPr>
        <w:pStyle w:val="H23G"/>
      </w:pPr>
      <w:r w:rsidRPr="00F51E09">
        <w:lastRenderedPageBreak/>
        <w:tab/>
      </w:r>
      <w:r w:rsidRPr="00F51E09">
        <w:tab/>
        <w:t>Chapter 6.8</w:t>
      </w:r>
    </w:p>
    <w:p w14:paraId="63824F78" w14:textId="77777777" w:rsidR="007700D0" w:rsidRPr="00F51E09" w:rsidRDefault="007700D0" w:rsidP="007700D0">
      <w:pPr>
        <w:pStyle w:val="SingleTxtG"/>
      </w:pPr>
      <w:r w:rsidRPr="00644BB5">
        <w:rPr>
          <w:bCs/>
        </w:rPr>
        <w:t>6.8.2.4.1</w:t>
      </w:r>
      <w:r w:rsidRPr="00644BB5">
        <w:rPr>
          <w:bCs/>
        </w:rPr>
        <w:tab/>
      </w:r>
      <w:r w:rsidRPr="00F51E09">
        <w:t>In the sentence after the table, replace "4.3.3.2.5" by:</w:t>
      </w:r>
    </w:p>
    <w:p w14:paraId="192FA1FC" w14:textId="77777777" w:rsidR="007700D0" w:rsidRPr="00F51E09" w:rsidRDefault="007700D0" w:rsidP="007700D0">
      <w:pPr>
        <w:pStyle w:val="SingleTxtG"/>
        <w:rPr>
          <w:b/>
          <w:bCs/>
        </w:rPr>
      </w:pPr>
      <w:r w:rsidRPr="00F51E09">
        <w:t>"4.3.3.2.6".</w:t>
      </w:r>
    </w:p>
    <w:p w14:paraId="53660FE5" w14:textId="5987DF93" w:rsidR="007700D0" w:rsidRPr="00644BB5" w:rsidRDefault="00307F7B" w:rsidP="007700D0">
      <w:pPr>
        <w:pStyle w:val="SingleTxtG"/>
        <w:rPr>
          <w:i/>
          <w:iCs/>
        </w:rPr>
      </w:pPr>
      <w:r w:rsidRPr="00644BB5">
        <w:rPr>
          <w:i/>
          <w:iCs/>
        </w:rPr>
        <w:t>(</w:t>
      </w:r>
      <w:r w:rsidR="007700D0" w:rsidRPr="00644BB5">
        <w:rPr>
          <w:i/>
          <w:iCs/>
        </w:rPr>
        <w:t>Reference document: ECE/TRANS/WP.15/AC.1/2024/2, as amended by informal document INF.18/Rev.1, proposal 3</w:t>
      </w:r>
      <w:r w:rsidRPr="00644BB5">
        <w:rPr>
          <w:i/>
          <w:iCs/>
        </w:rPr>
        <w:t>)</w:t>
      </w:r>
    </w:p>
    <w:p w14:paraId="0D7CABBF" w14:textId="4C98F4F3" w:rsidR="007700D0" w:rsidRPr="00F51E09" w:rsidRDefault="007700D0" w:rsidP="007700D0">
      <w:pPr>
        <w:pStyle w:val="SingleTxtG"/>
      </w:pPr>
      <w:r w:rsidRPr="00644BB5">
        <w:rPr>
          <w:bCs/>
        </w:rPr>
        <w:t>6.8.2.4.3</w:t>
      </w:r>
      <w:r w:rsidRPr="00644BB5">
        <w:rPr>
          <w:bCs/>
        </w:rPr>
        <w:tab/>
        <w:t>I</w:t>
      </w:r>
      <w:r w:rsidRPr="00F51E09">
        <w:t>ntroduce a new third paragraph to read:</w:t>
      </w:r>
    </w:p>
    <w:p w14:paraId="02D572EA" w14:textId="77777777" w:rsidR="007700D0" w:rsidRPr="00F51E09" w:rsidRDefault="007700D0" w:rsidP="007700D0">
      <w:pPr>
        <w:pStyle w:val="SingleTxtG"/>
      </w:pPr>
      <w:r w:rsidRPr="00F51E09">
        <w:t>"If the specified date of the intermediate inspection has passed, an intermediate inspection shall be performed or alternatively a periodic inspection may be performed in accordance with 6.8.2.4.2."</w:t>
      </w:r>
    </w:p>
    <w:p w14:paraId="51A63B25" w14:textId="69F9C52B" w:rsidR="007700D0" w:rsidRPr="00644BB5" w:rsidRDefault="00307F7B" w:rsidP="007700D0">
      <w:pPr>
        <w:pStyle w:val="SingleTxtG"/>
        <w:rPr>
          <w:i/>
          <w:iCs/>
        </w:rPr>
      </w:pPr>
      <w:r w:rsidRPr="00644BB5">
        <w:rPr>
          <w:i/>
          <w:iCs/>
        </w:rPr>
        <w:t>(</w:t>
      </w:r>
      <w:r w:rsidR="007700D0" w:rsidRPr="00644BB5">
        <w:rPr>
          <w:i/>
          <w:iCs/>
        </w:rPr>
        <w:t>Reference document: ECE/TRANS/WP.15/AC.1/2024/1, as amended by informal document INF.18/Rev.1, proposal 2</w:t>
      </w:r>
      <w:r w:rsidRPr="00644BB5">
        <w:rPr>
          <w:i/>
          <w:iCs/>
        </w:rPr>
        <w:t>)</w:t>
      </w:r>
    </w:p>
    <w:p w14:paraId="7137E6DD" w14:textId="77777777" w:rsidR="007700D0" w:rsidRPr="00F51E09" w:rsidRDefault="007700D0" w:rsidP="007700D0">
      <w:pPr>
        <w:pStyle w:val="SingleTxtG"/>
      </w:pPr>
      <w:r w:rsidRPr="00644BB5">
        <w:rPr>
          <w:bCs/>
        </w:rPr>
        <w:t>6.8.3.4.2</w:t>
      </w:r>
      <w:r w:rsidRPr="00644BB5">
        <w:rPr>
          <w:bCs/>
        </w:rPr>
        <w:tab/>
      </w:r>
      <w:r w:rsidRPr="00F51E09">
        <w:t>Replace "4.3.3.2.5" by:</w:t>
      </w:r>
    </w:p>
    <w:p w14:paraId="08A096C3" w14:textId="77777777" w:rsidR="007700D0" w:rsidRPr="00F51E09" w:rsidRDefault="007700D0" w:rsidP="007700D0">
      <w:pPr>
        <w:pStyle w:val="SingleTxtG"/>
      </w:pPr>
      <w:r w:rsidRPr="00F51E09">
        <w:t>"4.3.3.2.6".</w:t>
      </w:r>
    </w:p>
    <w:p w14:paraId="13C46EAA" w14:textId="69D73299" w:rsidR="007700D0" w:rsidRDefault="00307F7B" w:rsidP="007700D0">
      <w:pPr>
        <w:pStyle w:val="SingleTxtG"/>
        <w:rPr>
          <w:i/>
          <w:iCs/>
        </w:rPr>
      </w:pPr>
      <w:r w:rsidRPr="00644BB5">
        <w:rPr>
          <w:i/>
          <w:iCs/>
        </w:rPr>
        <w:t>(</w:t>
      </w:r>
      <w:r w:rsidR="007700D0" w:rsidRPr="00644BB5">
        <w:rPr>
          <w:i/>
          <w:iCs/>
        </w:rPr>
        <w:t>Reference document: ECE/TRANS/WP.15/AC.1/2024/2, as amended by informal document INF.18</w:t>
      </w:r>
      <w:r w:rsidR="003C5BEF" w:rsidRPr="00644BB5">
        <w:rPr>
          <w:i/>
          <w:iCs/>
        </w:rPr>
        <w:t>/Rev.1</w:t>
      </w:r>
      <w:r w:rsidR="007700D0" w:rsidRPr="00644BB5">
        <w:rPr>
          <w:i/>
          <w:iCs/>
        </w:rPr>
        <w:t>, proposal 3</w:t>
      </w:r>
      <w:r w:rsidRPr="00644BB5">
        <w:rPr>
          <w:i/>
          <w:iCs/>
        </w:rPr>
        <w:t>)</w:t>
      </w:r>
    </w:p>
    <w:p w14:paraId="4ED5E78B" w14:textId="04B6B1E4" w:rsidR="00134217" w:rsidRPr="00134217" w:rsidRDefault="00134217" w:rsidP="00134217">
      <w:pPr>
        <w:spacing w:before="240"/>
        <w:jc w:val="center"/>
        <w:rPr>
          <w:u w:val="single"/>
        </w:rPr>
      </w:pPr>
      <w:r>
        <w:rPr>
          <w:u w:val="single"/>
        </w:rPr>
        <w:tab/>
      </w:r>
      <w:r>
        <w:rPr>
          <w:u w:val="single"/>
        </w:rPr>
        <w:tab/>
      </w:r>
      <w:r>
        <w:rPr>
          <w:u w:val="single"/>
        </w:rPr>
        <w:tab/>
      </w:r>
    </w:p>
    <w:sectPr w:rsidR="00134217" w:rsidRPr="00134217" w:rsidSect="00C32646">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5ACA5" w14:textId="77777777" w:rsidR="003F557E" w:rsidRDefault="003F557E"/>
  </w:endnote>
  <w:endnote w:type="continuationSeparator" w:id="0">
    <w:p w14:paraId="0FC2FB31" w14:textId="77777777" w:rsidR="003F557E" w:rsidRDefault="003F557E"/>
  </w:endnote>
  <w:endnote w:type="continuationNotice" w:id="1">
    <w:p w14:paraId="04619C38" w14:textId="77777777" w:rsidR="003F557E" w:rsidRDefault="003F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CJK SC">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D9AA" w14:textId="2D782961" w:rsidR="00C32646" w:rsidRPr="00C32646" w:rsidRDefault="00C32646" w:rsidP="00C32646">
    <w:pPr>
      <w:pStyle w:val="Footer"/>
      <w:tabs>
        <w:tab w:val="right" w:pos="9638"/>
      </w:tabs>
      <w:rPr>
        <w:sz w:val="18"/>
      </w:rPr>
    </w:pPr>
    <w:r w:rsidRPr="00C32646">
      <w:rPr>
        <w:b/>
        <w:sz w:val="18"/>
      </w:rPr>
      <w:fldChar w:fldCharType="begin"/>
    </w:r>
    <w:r w:rsidRPr="00C32646">
      <w:rPr>
        <w:b/>
        <w:sz w:val="18"/>
      </w:rPr>
      <w:instrText xml:space="preserve"> PAGE  \* MERGEFORMAT </w:instrText>
    </w:r>
    <w:r w:rsidRPr="00C32646">
      <w:rPr>
        <w:b/>
        <w:sz w:val="18"/>
      </w:rPr>
      <w:fldChar w:fldCharType="separate"/>
    </w:r>
    <w:r w:rsidRPr="00C32646">
      <w:rPr>
        <w:b/>
        <w:noProof/>
        <w:sz w:val="18"/>
      </w:rPr>
      <w:t>2</w:t>
    </w:r>
    <w:r w:rsidRPr="00C326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DF48" w14:textId="5BD25699" w:rsidR="00C32646" w:rsidRPr="00C32646" w:rsidRDefault="00C32646" w:rsidP="00C32646">
    <w:pPr>
      <w:pStyle w:val="Footer"/>
      <w:tabs>
        <w:tab w:val="right" w:pos="9638"/>
      </w:tabs>
      <w:rPr>
        <w:b/>
        <w:sz w:val="18"/>
      </w:rPr>
    </w:pPr>
    <w:r>
      <w:tab/>
    </w:r>
    <w:r w:rsidRPr="00C32646">
      <w:rPr>
        <w:b/>
        <w:sz w:val="18"/>
      </w:rPr>
      <w:fldChar w:fldCharType="begin"/>
    </w:r>
    <w:r w:rsidRPr="00C32646">
      <w:rPr>
        <w:b/>
        <w:sz w:val="18"/>
      </w:rPr>
      <w:instrText xml:space="preserve"> PAGE  \* MERGEFORMAT </w:instrText>
    </w:r>
    <w:r w:rsidRPr="00C32646">
      <w:rPr>
        <w:b/>
        <w:sz w:val="18"/>
      </w:rPr>
      <w:fldChar w:fldCharType="separate"/>
    </w:r>
    <w:r w:rsidRPr="00C32646">
      <w:rPr>
        <w:b/>
        <w:noProof/>
        <w:sz w:val="18"/>
      </w:rPr>
      <w:t>3</w:t>
    </w:r>
    <w:r w:rsidRPr="00C326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13B9" w14:textId="77777777" w:rsidR="0035223F" w:rsidRPr="00C32646" w:rsidRDefault="00686A48">
    <w:pPr>
      <w:pStyle w:val="Footer"/>
      <w:rPr>
        <w:sz w:val="20"/>
      </w:rPr>
    </w:pPr>
    <w:r>
      <w:rPr>
        <w:noProof/>
        <w:lang w:val="fr-CH" w:eastAsia="fr-CH"/>
      </w:rPr>
      <w:drawing>
        <wp:anchor distT="0" distB="0" distL="114300" distR="114300" simplePos="0" relativeHeight="251658240" behindDoc="0" locked="1" layoutInCell="1" allowOverlap="1" wp14:anchorId="50A2FD0B" wp14:editId="17D281B7">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19EF" w14:textId="77777777" w:rsidR="003F557E" w:rsidRPr="000B175B" w:rsidRDefault="003F557E" w:rsidP="000B175B">
      <w:pPr>
        <w:tabs>
          <w:tab w:val="right" w:pos="2155"/>
        </w:tabs>
        <w:spacing w:after="80"/>
        <w:ind w:left="680"/>
        <w:rPr>
          <w:u w:val="single"/>
        </w:rPr>
      </w:pPr>
      <w:r>
        <w:rPr>
          <w:u w:val="single"/>
        </w:rPr>
        <w:tab/>
      </w:r>
    </w:p>
  </w:footnote>
  <w:footnote w:type="continuationSeparator" w:id="0">
    <w:p w14:paraId="08D3915A" w14:textId="77777777" w:rsidR="003F557E" w:rsidRPr="00FC68B7" w:rsidRDefault="003F557E" w:rsidP="00FC68B7">
      <w:pPr>
        <w:tabs>
          <w:tab w:val="left" w:pos="2155"/>
        </w:tabs>
        <w:spacing w:after="80"/>
        <w:ind w:left="680"/>
        <w:rPr>
          <w:u w:val="single"/>
        </w:rPr>
      </w:pPr>
      <w:r>
        <w:rPr>
          <w:u w:val="single"/>
        </w:rPr>
        <w:tab/>
      </w:r>
    </w:p>
  </w:footnote>
  <w:footnote w:type="continuationNotice" w:id="1">
    <w:p w14:paraId="25D5332D" w14:textId="77777777" w:rsidR="003F557E" w:rsidRDefault="003F557E"/>
  </w:footnote>
  <w:footnote w:id="2">
    <w:p w14:paraId="700E93BA" w14:textId="77777777" w:rsidR="005F5FC6" w:rsidRPr="004A104A" w:rsidRDefault="005F5FC6" w:rsidP="005F5FC6">
      <w:pPr>
        <w:pStyle w:val="FootnoteText"/>
      </w:pPr>
      <w:r>
        <w:tab/>
      </w:r>
      <w:r w:rsidRPr="004A104A">
        <w:rPr>
          <w:rStyle w:val="FootnoteReference"/>
        </w:rPr>
        <w:footnoteRef/>
      </w:r>
      <w:r w:rsidRPr="004A104A">
        <w:t xml:space="preserve"> </w:t>
      </w:r>
      <w:r w:rsidRPr="004A104A">
        <w:tab/>
      </w:r>
      <w:hyperlink r:id="rId1" w:anchor="accordion_8" w:history="1">
        <w:r w:rsidRPr="004A104A">
          <w:rPr>
            <w:rStyle w:val="Hyperlink"/>
            <w:color w:val="auto"/>
          </w:rPr>
          <w:t>https://unece.org/transport/dangerous-goods/ecosoc-bodies-dealing-chemicals-safety#accordion_8</w:t>
        </w:r>
      </w:hyperlink>
    </w:p>
    <w:p w14:paraId="7A46474B" w14:textId="77777777" w:rsidR="005F5FC6" w:rsidRPr="0043307B" w:rsidRDefault="005F5FC6" w:rsidP="005F5FC6">
      <w:pPr>
        <w:pStyle w:val="FootnoteText"/>
      </w:pPr>
      <w:r w:rsidRPr="004A104A">
        <w:tab/>
      </w:r>
      <w:r w:rsidRPr="004A104A">
        <w:tab/>
      </w:r>
      <w:hyperlink r:id="rId2" w:history="1">
        <w:r w:rsidRPr="004A104A">
          <w:rPr>
            <w:rStyle w:val="Hyperlink"/>
            <w:color w:val="auto"/>
          </w:rPr>
          <w:t>https://unece.org/transport/dangerous-goods/unece-bodies-dealing-transport-dangerous-goods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FD64" w14:textId="762827A1" w:rsidR="00C32646" w:rsidRPr="00C32646" w:rsidRDefault="00000000">
    <w:pPr>
      <w:pStyle w:val="Header"/>
    </w:pPr>
    <w:fldSimple w:instr=" TITLE  \* MERGEFORMAT ">
      <w:r w:rsidR="006A5F14">
        <w:t>ECE/TRANS/WP.15/AC.1/172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3BD8" w14:textId="7ED22A51" w:rsidR="00C32646" w:rsidRPr="00C32646" w:rsidRDefault="00000000" w:rsidP="00C32646">
    <w:pPr>
      <w:pStyle w:val="Header"/>
      <w:jc w:val="right"/>
    </w:pPr>
    <w:fldSimple w:instr=" TITLE  \* MERGEFORMAT ">
      <w:r w:rsidR="006A5F14">
        <w:t>ECE/TRANS/WP.15/AC.1/172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46238217">
    <w:abstractNumId w:val="1"/>
  </w:num>
  <w:num w:numId="2" w16cid:durableId="1546137650">
    <w:abstractNumId w:val="0"/>
  </w:num>
  <w:num w:numId="3" w16cid:durableId="1890605200">
    <w:abstractNumId w:val="2"/>
  </w:num>
  <w:num w:numId="4" w16cid:durableId="509871894">
    <w:abstractNumId w:val="3"/>
  </w:num>
  <w:num w:numId="5" w16cid:durableId="1265962317">
    <w:abstractNumId w:val="8"/>
  </w:num>
  <w:num w:numId="6" w16cid:durableId="597952437">
    <w:abstractNumId w:val="9"/>
  </w:num>
  <w:num w:numId="7" w16cid:durableId="527332020">
    <w:abstractNumId w:val="7"/>
  </w:num>
  <w:num w:numId="8" w16cid:durableId="1741322308">
    <w:abstractNumId w:val="6"/>
  </w:num>
  <w:num w:numId="9" w16cid:durableId="1634554563">
    <w:abstractNumId w:val="5"/>
  </w:num>
  <w:num w:numId="10" w16cid:durableId="2004968579">
    <w:abstractNumId w:val="4"/>
  </w:num>
  <w:num w:numId="11" w16cid:durableId="712464725">
    <w:abstractNumId w:val="15"/>
  </w:num>
  <w:num w:numId="12" w16cid:durableId="1050879281">
    <w:abstractNumId w:val="14"/>
  </w:num>
  <w:num w:numId="13" w16cid:durableId="2110928949">
    <w:abstractNumId w:val="10"/>
  </w:num>
  <w:num w:numId="14" w16cid:durableId="273679565">
    <w:abstractNumId w:val="12"/>
  </w:num>
  <w:num w:numId="15" w16cid:durableId="1045909427">
    <w:abstractNumId w:val="16"/>
  </w:num>
  <w:num w:numId="16" w16cid:durableId="2111314017">
    <w:abstractNumId w:val="13"/>
  </w:num>
  <w:num w:numId="17" w16cid:durableId="1024986437">
    <w:abstractNumId w:val="17"/>
  </w:num>
  <w:num w:numId="18" w16cid:durableId="470707630">
    <w:abstractNumId w:val="18"/>
  </w:num>
  <w:num w:numId="19" w16cid:durableId="156919059">
    <w:abstractNumId w:val="11"/>
  </w:num>
  <w:num w:numId="20" w16cid:durableId="20900342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46"/>
    <w:rsid w:val="00001399"/>
    <w:rsid w:val="00002A7D"/>
    <w:rsid w:val="000038A8"/>
    <w:rsid w:val="00004F0C"/>
    <w:rsid w:val="00006790"/>
    <w:rsid w:val="00013948"/>
    <w:rsid w:val="00014976"/>
    <w:rsid w:val="000256EC"/>
    <w:rsid w:val="00026B21"/>
    <w:rsid w:val="0002757E"/>
    <w:rsid w:val="00027624"/>
    <w:rsid w:val="00027CD3"/>
    <w:rsid w:val="000311DC"/>
    <w:rsid w:val="000324FB"/>
    <w:rsid w:val="000327A2"/>
    <w:rsid w:val="00032C43"/>
    <w:rsid w:val="00036A62"/>
    <w:rsid w:val="00036FC4"/>
    <w:rsid w:val="00037B49"/>
    <w:rsid w:val="000429A7"/>
    <w:rsid w:val="00042C15"/>
    <w:rsid w:val="0004495E"/>
    <w:rsid w:val="00050F6B"/>
    <w:rsid w:val="0005171C"/>
    <w:rsid w:val="00061245"/>
    <w:rsid w:val="0006758B"/>
    <w:rsid w:val="0006765B"/>
    <w:rsid w:val="000678CD"/>
    <w:rsid w:val="0007293D"/>
    <w:rsid w:val="00072C8C"/>
    <w:rsid w:val="00081CE0"/>
    <w:rsid w:val="00084CD6"/>
    <w:rsid w:val="00084D30"/>
    <w:rsid w:val="000875D8"/>
    <w:rsid w:val="00090320"/>
    <w:rsid w:val="000910D9"/>
    <w:rsid w:val="000931C0"/>
    <w:rsid w:val="0009671A"/>
    <w:rsid w:val="0009732C"/>
    <w:rsid w:val="000A01F9"/>
    <w:rsid w:val="000A2E09"/>
    <w:rsid w:val="000A4DA6"/>
    <w:rsid w:val="000B175B"/>
    <w:rsid w:val="000B3A0F"/>
    <w:rsid w:val="000B3BD0"/>
    <w:rsid w:val="000B7231"/>
    <w:rsid w:val="000C08B9"/>
    <w:rsid w:val="000C322C"/>
    <w:rsid w:val="000C7718"/>
    <w:rsid w:val="000D0471"/>
    <w:rsid w:val="000D0727"/>
    <w:rsid w:val="000D5FA0"/>
    <w:rsid w:val="000D7783"/>
    <w:rsid w:val="000E0415"/>
    <w:rsid w:val="000E0FB9"/>
    <w:rsid w:val="000F7715"/>
    <w:rsid w:val="00105D5D"/>
    <w:rsid w:val="00121DA7"/>
    <w:rsid w:val="00122E2A"/>
    <w:rsid w:val="00124A3C"/>
    <w:rsid w:val="00134217"/>
    <w:rsid w:val="001404BB"/>
    <w:rsid w:val="00145C3D"/>
    <w:rsid w:val="00146412"/>
    <w:rsid w:val="0014735B"/>
    <w:rsid w:val="00151892"/>
    <w:rsid w:val="00152C64"/>
    <w:rsid w:val="00156B99"/>
    <w:rsid w:val="00156EF6"/>
    <w:rsid w:val="00156F29"/>
    <w:rsid w:val="00157FD3"/>
    <w:rsid w:val="00161A38"/>
    <w:rsid w:val="00163A67"/>
    <w:rsid w:val="00166124"/>
    <w:rsid w:val="00172731"/>
    <w:rsid w:val="001743B5"/>
    <w:rsid w:val="00182E5F"/>
    <w:rsid w:val="001830E9"/>
    <w:rsid w:val="00184DDA"/>
    <w:rsid w:val="001900CD"/>
    <w:rsid w:val="0019167D"/>
    <w:rsid w:val="001918F7"/>
    <w:rsid w:val="00194763"/>
    <w:rsid w:val="00194862"/>
    <w:rsid w:val="001A0452"/>
    <w:rsid w:val="001A17B0"/>
    <w:rsid w:val="001A4880"/>
    <w:rsid w:val="001A6222"/>
    <w:rsid w:val="001A73FD"/>
    <w:rsid w:val="001A7D2A"/>
    <w:rsid w:val="001B3594"/>
    <w:rsid w:val="001B4B04"/>
    <w:rsid w:val="001B5875"/>
    <w:rsid w:val="001C4B9C"/>
    <w:rsid w:val="001C57E4"/>
    <w:rsid w:val="001C6663"/>
    <w:rsid w:val="001C7895"/>
    <w:rsid w:val="001D0D67"/>
    <w:rsid w:val="001D26DF"/>
    <w:rsid w:val="001D5623"/>
    <w:rsid w:val="001D6F1C"/>
    <w:rsid w:val="001D7F2E"/>
    <w:rsid w:val="001E555D"/>
    <w:rsid w:val="001F1599"/>
    <w:rsid w:val="001F19C4"/>
    <w:rsid w:val="001F48F9"/>
    <w:rsid w:val="001F6689"/>
    <w:rsid w:val="002033CA"/>
    <w:rsid w:val="002043F0"/>
    <w:rsid w:val="00210371"/>
    <w:rsid w:val="00211C23"/>
    <w:rsid w:val="00211E0B"/>
    <w:rsid w:val="00212918"/>
    <w:rsid w:val="00222735"/>
    <w:rsid w:val="0022296D"/>
    <w:rsid w:val="00223BF0"/>
    <w:rsid w:val="002277E6"/>
    <w:rsid w:val="00232575"/>
    <w:rsid w:val="0023525C"/>
    <w:rsid w:val="00237B15"/>
    <w:rsid w:val="002447B7"/>
    <w:rsid w:val="002458AE"/>
    <w:rsid w:val="00245F7E"/>
    <w:rsid w:val="00247258"/>
    <w:rsid w:val="00254AE3"/>
    <w:rsid w:val="00254FB8"/>
    <w:rsid w:val="002562B8"/>
    <w:rsid w:val="00257CAC"/>
    <w:rsid w:val="00264441"/>
    <w:rsid w:val="0027237A"/>
    <w:rsid w:val="0027484F"/>
    <w:rsid w:val="00285385"/>
    <w:rsid w:val="002974E9"/>
    <w:rsid w:val="002A3ED6"/>
    <w:rsid w:val="002A54B2"/>
    <w:rsid w:val="002A6BAF"/>
    <w:rsid w:val="002A7EF3"/>
    <w:rsid w:val="002A7F94"/>
    <w:rsid w:val="002B0852"/>
    <w:rsid w:val="002B1087"/>
    <w:rsid w:val="002B109A"/>
    <w:rsid w:val="002B190C"/>
    <w:rsid w:val="002B35F0"/>
    <w:rsid w:val="002B57D9"/>
    <w:rsid w:val="002B789A"/>
    <w:rsid w:val="002C0268"/>
    <w:rsid w:val="002C6D3F"/>
    <w:rsid w:val="002C6D45"/>
    <w:rsid w:val="002D4C28"/>
    <w:rsid w:val="002D5292"/>
    <w:rsid w:val="002D6E53"/>
    <w:rsid w:val="002D7059"/>
    <w:rsid w:val="002D7EBC"/>
    <w:rsid w:val="002F046D"/>
    <w:rsid w:val="002F3023"/>
    <w:rsid w:val="002F52C7"/>
    <w:rsid w:val="00301764"/>
    <w:rsid w:val="00303B4F"/>
    <w:rsid w:val="00304652"/>
    <w:rsid w:val="00307F7B"/>
    <w:rsid w:val="00311FD2"/>
    <w:rsid w:val="003160E2"/>
    <w:rsid w:val="00317103"/>
    <w:rsid w:val="00317129"/>
    <w:rsid w:val="003204F4"/>
    <w:rsid w:val="003229D8"/>
    <w:rsid w:val="00335B5C"/>
    <w:rsid w:val="00336C97"/>
    <w:rsid w:val="00336CED"/>
    <w:rsid w:val="00337779"/>
    <w:rsid w:val="00337F88"/>
    <w:rsid w:val="00341CF1"/>
    <w:rsid w:val="00342432"/>
    <w:rsid w:val="0035128C"/>
    <w:rsid w:val="0035223F"/>
    <w:rsid w:val="00352D4B"/>
    <w:rsid w:val="003555F8"/>
    <w:rsid w:val="0035638C"/>
    <w:rsid w:val="00367155"/>
    <w:rsid w:val="00367ABF"/>
    <w:rsid w:val="00377B84"/>
    <w:rsid w:val="00383CBC"/>
    <w:rsid w:val="00385035"/>
    <w:rsid w:val="00387156"/>
    <w:rsid w:val="003920B4"/>
    <w:rsid w:val="003955EA"/>
    <w:rsid w:val="00397F27"/>
    <w:rsid w:val="003A10A8"/>
    <w:rsid w:val="003A1ACA"/>
    <w:rsid w:val="003A3E6F"/>
    <w:rsid w:val="003A46BB"/>
    <w:rsid w:val="003A4EC7"/>
    <w:rsid w:val="003A7295"/>
    <w:rsid w:val="003B09EC"/>
    <w:rsid w:val="003B1F60"/>
    <w:rsid w:val="003B3437"/>
    <w:rsid w:val="003C04E4"/>
    <w:rsid w:val="003C2CC4"/>
    <w:rsid w:val="003C5BEF"/>
    <w:rsid w:val="003C6E11"/>
    <w:rsid w:val="003D4B23"/>
    <w:rsid w:val="003E278A"/>
    <w:rsid w:val="003E325B"/>
    <w:rsid w:val="003E6E8D"/>
    <w:rsid w:val="003E7B0A"/>
    <w:rsid w:val="003F557E"/>
    <w:rsid w:val="003F6D68"/>
    <w:rsid w:val="00413520"/>
    <w:rsid w:val="004169E7"/>
    <w:rsid w:val="0041729B"/>
    <w:rsid w:val="004220B7"/>
    <w:rsid w:val="00424122"/>
    <w:rsid w:val="00430D57"/>
    <w:rsid w:val="004325CB"/>
    <w:rsid w:val="0043680E"/>
    <w:rsid w:val="00440A07"/>
    <w:rsid w:val="00440B1B"/>
    <w:rsid w:val="00441583"/>
    <w:rsid w:val="00441A3E"/>
    <w:rsid w:val="0045088B"/>
    <w:rsid w:val="00450D48"/>
    <w:rsid w:val="00451E04"/>
    <w:rsid w:val="00452305"/>
    <w:rsid w:val="00452BC4"/>
    <w:rsid w:val="00461E23"/>
    <w:rsid w:val="00462880"/>
    <w:rsid w:val="00462BAD"/>
    <w:rsid w:val="00464611"/>
    <w:rsid w:val="0046557F"/>
    <w:rsid w:val="004656D2"/>
    <w:rsid w:val="00470CED"/>
    <w:rsid w:val="00475946"/>
    <w:rsid w:val="00476F24"/>
    <w:rsid w:val="004801B3"/>
    <w:rsid w:val="004868E0"/>
    <w:rsid w:val="004908B6"/>
    <w:rsid w:val="00496127"/>
    <w:rsid w:val="00496549"/>
    <w:rsid w:val="00496C69"/>
    <w:rsid w:val="004A104A"/>
    <w:rsid w:val="004A5DFE"/>
    <w:rsid w:val="004A672E"/>
    <w:rsid w:val="004B115D"/>
    <w:rsid w:val="004B5786"/>
    <w:rsid w:val="004C2A24"/>
    <w:rsid w:val="004C32D4"/>
    <w:rsid w:val="004C4C2E"/>
    <w:rsid w:val="004C55B0"/>
    <w:rsid w:val="004D161C"/>
    <w:rsid w:val="004D36F6"/>
    <w:rsid w:val="004D3C95"/>
    <w:rsid w:val="004D5F4A"/>
    <w:rsid w:val="004E3BAF"/>
    <w:rsid w:val="004F0B88"/>
    <w:rsid w:val="004F4595"/>
    <w:rsid w:val="004F6BA0"/>
    <w:rsid w:val="005009D1"/>
    <w:rsid w:val="00501565"/>
    <w:rsid w:val="005018AF"/>
    <w:rsid w:val="00503BEA"/>
    <w:rsid w:val="00507242"/>
    <w:rsid w:val="00510C88"/>
    <w:rsid w:val="00517C96"/>
    <w:rsid w:val="005260B9"/>
    <w:rsid w:val="0053074B"/>
    <w:rsid w:val="00533616"/>
    <w:rsid w:val="00535ABA"/>
    <w:rsid w:val="0053768B"/>
    <w:rsid w:val="005420F2"/>
    <w:rsid w:val="0054285C"/>
    <w:rsid w:val="0055059E"/>
    <w:rsid w:val="00550DCF"/>
    <w:rsid w:val="005538C8"/>
    <w:rsid w:val="00553A34"/>
    <w:rsid w:val="00553B01"/>
    <w:rsid w:val="005616B7"/>
    <w:rsid w:val="005661D9"/>
    <w:rsid w:val="00566C28"/>
    <w:rsid w:val="005714F9"/>
    <w:rsid w:val="005736AA"/>
    <w:rsid w:val="00573C63"/>
    <w:rsid w:val="00574993"/>
    <w:rsid w:val="00584173"/>
    <w:rsid w:val="005844B5"/>
    <w:rsid w:val="0058736E"/>
    <w:rsid w:val="00587616"/>
    <w:rsid w:val="005908D9"/>
    <w:rsid w:val="00595520"/>
    <w:rsid w:val="005A1E5A"/>
    <w:rsid w:val="005A2BB2"/>
    <w:rsid w:val="005A44B9"/>
    <w:rsid w:val="005B1BA0"/>
    <w:rsid w:val="005B342A"/>
    <w:rsid w:val="005B3DB3"/>
    <w:rsid w:val="005B68F7"/>
    <w:rsid w:val="005C2996"/>
    <w:rsid w:val="005C3969"/>
    <w:rsid w:val="005C4136"/>
    <w:rsid w:val="005D15CA"/>
    <w:rsid w:val="005D7969"/>
    <w:rsid w:val="005E0596"/>
    <w:rsid w:val="005E2486"/>
    <w:rsid w:val="005E256A"/>
    <w:rsid w:val="005E3B2D"/>
    <w:rsid w:val="005E65AC"/>
    <w:rsid w:val="005E6AD4"/>
    <w:rsid w:val="005E7320"/>
    <w:rsid w:val="005F08DF"/>
    <w:rsid w:val="005F0D6B"/>
    <w:rsid w:val="005F1436"/>
    <w:rsid w:val="005F19BA"/>
    <w:rsid w:val="005F3066"/>
    <w:rsid w:val="005F3E61"/>
    <w:rsid w:val="005F542C"/>
    <w:rsid w:val="005F5C4E"/>
    <w:rsid w:val="005F5FC6"/>
    <w:rsid w:val="00601C7A"/>
    <w:rsid w:val="00604DDD"/>
    <w:rsid w:val="00604E94"/>
    <w:rsid w:val="006060FB"/>
    <w:rsid w:val="0061070A"/>
    <w:rsid w:val="006115CC"/>
    <w:rsid w:val="006119D2"/>
    <w:rsid w:val="00611FC4"/>
    <w:rsid w:val="006176FB"/>
    <w:rsid w:val="00624613"/>
    <w:rsid w:val="00630FCB"/>
    <w:rsid w:val="00635ADD"/>
    <w:rsid w:val="00637E06"/>
    <w:rsid w:val="006405AC"/>
    <w:rsid w:val="00640B26"/>
    <w:rsid w:val="0064489C"/>
    <w:rsid w:val="00644BB5"/>
    <w:rsid w:val="0064708F"/>
    <w:rsid w:val="0065766B"/>
    <w:rsid w:val="00663F8C"/>
    <w:rsid w:val="006655F1"/>
    <w:rsid w:val="006744A6"/>
    <w:rsid w:val="00675D7D"/>
    <w:rsid w:val="00676F56"/>
    <w:rsid w:val="006770B2"/>
    <w:rsid w:val="00686A48"/>
    <w:rsid w:val="00687439"/>
    <w:rsid w:val="00691980"/>
    <w:rsid w:val="006940E1"/>
    <w:rsid w:val="0069677E"/>
    <w:rsid w:val="006A2C6C"/>
    <w:rsid w:val="006A3C72"/>
    <w:rsid w:val="006A4FBF"/>
    <w:rsid w:val="006A574F"/>
    <w:rsid w:val="006A5F14"/>
    <w:rsid w:val="006A7392"/>
    <w:rsid w:val="006B03A1"/>
    <w:rsid w:val="006B0EBB"/>
    <w:rsid w:val="006B67D9"/>
    <w:rsid w:val="006C104C"/>
    <w:rsid w:val="006C2560"/>
    <w:rsid w:val="006C3A68"/>
    <w:rsid w:val="006C4F3C"/>
    <w:rsid w:val="006C5535"/>
    <w:rsid w:val="006C643F"/>
    <w:rsid w:val="006D0589"/>
    <w:rsid w:val="006D0E39"/>
    <w:rsid w:val="006D4D2A"/>
    <w:rsid w:val="006D5D02"/>
    <w:rsid w:val="006E10A3"/>
    <w:rsid w:val="006E1325"/>
    <w:rsid w:val="006E24DF"/>
    <w:rsid w:val="006E564B"/>
    <w:rsid w:val="006E5757"/>
    <w:rsid w:val="006E7032"/>
    <w:rsid w:val="006E7154"/>
    <w:rsid w:val="006F01F5"/>
    <w:rsid w:val="006F2462"/>
    <w:rsid w:val="006F5FF4"/>
    <w:rsid w:val="007003CD"/>
    <w:rsid w:val="00703261"/>
    <w:rsid w:val="0070539A"/>
    <w:rsid w:val="00705D0C"/>
    <w:rsid w:val="0070701E"/>
    <w:rsid w:val="00716D93"/>
    <w:rsid w:val="007173E0"/>
    <w:rsid w:val="00721746"/>
    <w:rsid w:val="00725994"/>
    <w:rsid w:val="0072632A"/>
    <w:rsid w:val="00730008"/>
    <w:rsid w:val="007358E8"/>
    <w:rsid w:val="00736ECE"/>
    <w:rsid w:val="00737FFD"/>
    <w:rsid w:val="007419E0"/>
    <w:rsid w:val="0074533B"/>
    <w:rsid w:val="00757479"/>
    <w:rsid w:val="00763CCC"/>
    <w:rsid w:val="007643BC"/>
    <w:rsid w:val="00764689"/>
    <w:rsid w:val="007700D0"/>
    <w:rsid w:val="0077101F"/>
    <w:rsid w:val="0077171C"/>
    <w:rsid w:val="0077402C"/>
    <w:rsid w:val="007801C5"/>
    <w:rsid w:val="00780B07"/>
    <w:rsid w:val="00780C68"/>
    <w:rsid w:val="00782793"/>
    <w:rsid w:val="00790E21"/>
    <w:rsid w:val="007941C7"/>
    <w:rsid w:val="00794ED7"/>
    <w:rsid w:val="007959FE"/>
    <w:rsid w:val="007962E1"/>
    <w:rsid w:val="00797D09"/>
    <w:rsid w:val="007A0CF1"/>
    <w:rsid w:val="007A478E"/>
    <w:rsid w:val="007B2B0C"/>
    <w:rsid w:val="007B39D5"/>
    <w:rsid w:val="007B6BA5"/>
    <w:rsid w:val="007C1E4B"/>
    <w:rsid w:val="007C3390"/>
    <w:rsid w:val="007C42D8"/>
    <w:rsid w:val="007C4F4B"/>
    <w:rsid w:val="007D2663"/>
    <w:rsid w:val="007D7362"/>
    <w:rsid w:val="007F1F5F"/>
    <w:rsid w:val="007F5CE2"/>
    <w:rsid w:val="007F6611"/>
    <w:rsid w:val="007F7910"/>
    <w:rsid w:val="00800522"/>
    <w:rsid w:val="00801B44"/>
    <w:rsid w:val="00810BAC"/>
    <w:rsid w:val="008175E9"/>
    <w:rsid w:val="00822BBD"/>
    <w:rsid w:val="00822DF9"/>
    <w:rsid w:val="008242D7"/>
    <w:rsid w:val="00824499"/>
    <w:rsid w:val="0082577B"/>
    <w:rsid w:val="008269BF"/>
    <w:rsid w:val="008272DD"/>
    <w:rsid w:val="00837960"/>
    <w:rsid w:val="00851AD8"/>
    <w:rsid w:val="00854796"/>
    <w:rsid w:val="00857251"/>
    <w:rsid w:val="00862AD7"/>
    <w:rsid w:val="00864272"/>
    <w:rsid w:val="00866893"/>
    <w:rsid w:val="00866F02"/>
    <w:rsid w:val="008676F9"/>
    <w:rsid w:val="00867D18"/>
    <w:rsid w:val="00871F9A"/>
    <w:rsid w:val="00871FD5"/>
    <w:rsid w:val="00874277"/>
    <w:rsid w:val="008778C0"/>
    <w:rsid w:val="0088172E"/>
    <w:rsid w:val="00881EFA"/>
    <w:rsid w:val="0088278F"/>
    <w:rsid w:val="00884E6C"/>
    <w:rsid w:val="008856A4"/>
    <w:rsid w:val="008879CB"/>
    <w:rsid w:val="00892FB5"/>
    <w:rsid w:val="00896DCD"/>
    <w:rsid w:val="008979B1"/>
    <w:rsid w:val="008A236B"/>
    <w:rsid w:val="008A3BB4"/>
    <w:rsid w:val="008A4422"/>
    <w:rsid w:val="008A6B25"/>
    <w:rsid w:val="008A6C4F"/>
    <w:rsid w:val="008A77AE"/>
    <w:rsid w:val="008B020C"/>
    <w:rsid w:val="008B389E"/>
    <w:rsid w:val="008B3A51"/>
    <w:rsid w:val="008B3C87"/>
    <w:rsid w:val="008B5BC6"/>
    <w:rsid w:val="008C1341"/>
    <w:rsid w:val="008C2728"/>
    <w:rsid w:val="008D045E"/>
    <w:rsid w:val="008D1562"/>
    <w:rsid w:val="008D3F25"/>
    <w:rsid w:val="008D4D82"/>
    <w:rsid w:val="008D613D"/>
    <w:rsid w:val="008E0E46"/>
    <w:rsid w:val="008E5252"/>
    <w:rsid w:val="008E7116"/>
    <w:rsid w:val="008F143B"/>
    <w:rsid w:val="008F202F"/>
    <w:rsid w:val="008F3882"/>
    <w:rsid w:val="008F4B7C"/>
    <w:rsid w:val="008F57A9"/>
    <w:rsid w:val="008F5C32"/>
    <w:rsid w:val="009112F4"/>
    <w:rsid w:val="00911B23"/>
    <w:rsid w:val="00911E7C"/>
    <w:rsid w:val="00914400"/>
    <w:rsid w:val="00921000"/>
    <w:rsid w:val="00922C1B"/>
    <w:rsid w:val="00926934"/>
    <w:rsid w:val="00926E47"/>
    <w:rsid w:val="00930865"/>
    <w:rsid w:val="009316EC"/>
    <w:rsid w:val="0094419A"/>
    <w:rsid w:val="00947162"/>
    <w:rsid w:val="009536DD"/>
    <w:rsid w:val="009556AC"/>
    <w:rsid w:val="0096091E"/>
    <w:rsid w:val="009610D0"/>
    <w:rsid w:val="009611BD"/>
    <w:rsid w:val="0096375C"/>
    <w:rsid w:val="009662E6"/>
    <w:rsid w:val="00967BD6"/>
    <w:rsid w:val="0097095E"/>
    <w:rsid w:val="009731BF"/>
    <w:rsid w:val="00974B2F"/>
    <w:rsid w:val="00984FBD"/>
    <w:rsid w:val="0098592B"/>
    <w:rsid w:val="00985FC4"/>
    <w:rsid w:val="00990052"/>
    <w:rsid w:val="00990766"/>
    <w:rsid w:val="00991261"/>
    <w:rsid w:val="009964C4"/>
    <w:rsid w:val="009969C7"/>
    <w:rsid w:val="009974B2"/>
    <w:rsid w:val="0099771A"/>
    <w:rsid w:val="009A44B8"/>
    <w:rsid w:val="009A7B81"/>
    <w:rsid w:val="009B30E6"/>
    <w:rsid w:val="009B66E6"/>
    <w:rsid w:val="009B7E55"/>
    <w:rsid w:val="009C7604"/>
    <w:rsid w:val="009D01C0"/>
    <w:rsid w:val="009D0376"/>
    <w:rsid w:val="009D5A5C"/>
    <w:rsid w:val="009D6204"/>
    <w:rsid w:val="009D6A08"/>
    <w:rsid w:val="009D6EA5"/>
    <w:rsid w:val="009E0A16"/>
    <w:rsid w:val="009E57A4"/>
    <w:rsid w:val="009E6CB7"/>
    <w:rsid w:val="009E7970"/>
    <w:rsid w:val="009F16F2"/>
    <w:rsid w:val="009F2EAC"/>
    <w:rsid w:val="009F57E3"/>
    <w:rsid w:val="00A02E3D"/>
    <w:rsid w:val="00A10F4F"/>
    <w:rsid w:val="00A11067"/>
    <w:rsid w:val="00A117BD"/>
    <w:rsid w:val="00A1704A"/>
    <w:rsid w:val="00A24CED"/>
    <w:rsid w:val="00A2510D"/>
    <w:rsid w:val="00A252C8"/>
    <w:rsid w:val="00A332C4"/>
    <w:rsid w:val="00A378A2"/>
    <w:rsid w:val="00A425EB"/>
    <w:rsid w:val="00A44EE4"/>
    <w:rsid w:val="00A44F67"/>
    <w:rsid w:val="00A56E6B"/>
    <w:rsid w:val="00A571DA"/>
    <w:rsid w:val="00A72A2F"/>
    <w:rsid w:val="00A72F22"/>
    <w:rsid w:val="00A733BC"/>
    <w:rsid w:val="00A748A6"/>
    <w:rsid w:val="00A74C91"/>
    <w:rsid w:val="00A76A69"/>
    <w:rsid w:val="00A80A30"/>
    <w:rsid w:val="00A865D7"/>
    <w:rsid w:val="00A879A4"/>
    <w:rsid w:val="00A9058E"/>
    <w:rsid w:val="00A93026"/>
    <w:rsid w:val="00A9527E"/>
    <w:rsid w:val="00AA0FF8"/>
    <w:rsid w:val="00AA32D2"/>
    <w:rsid w:val="00AA5B40"/>
    <w:rsid w:val="00AB0983"/>
    <w:rsid w:val="00AB4BD2"/>
    <w:rsid w:val="00AC0F2C"/>
    <w:rsid w:val="00AC3DB2"/>
    <w:rsid w:val="00AC502A"/>
    <w:rsid w:val="00AC5B0B"/>
    <w:rsid w:val="00AD7960"/>
    <w:rsid w:val="00AE354F"/>
    <w:rsid w:val="00AE48C5"/>
    <w:rsid w:val="00AE4BC3"/>
    <w:rsid w:val="00AE6E4A"/>
    <w:rsid w:val="00AF5343"/>
    <w:rsid w:val="00AF58C1"/>
    <w:rsid w:val="00B00D46"/>
    <w:rsid w:val="00B0247B"/>
    <w:rsid w:val="00B04A3F"/>
    <w:rsid w:val="00B06643"/>
    <w:rsid w:val="00B07CCE"/>
    <w:rsid w:val="00B122B3"/>
    <w:rsid w:val="00B15055"/>
    <w:rsid w:val="00B151CD"/>
    <w:rsid w:val="00B156E8"/>
    <w:rsid w:val="00B20551"/>
    <w:rsid w:val="00B23D55"/>
    <w:rsid w:val="00B249A6"/>
    <w:rsid w:val="00B25246"/>
    <w:rsid w:val="00B26BB2"/>
    <w:rsid w:val="00B27017"/>
    <w:rsid w:val="00B30179"/>
    <w:rsid w:val="00B30823"/>
    <w:rsid w:val="00B33FC7"/>
    <w:rsid w:val="00B340D0"/>
    <w:rsid w:val="00B35C4B"/>
    <w:rsid w:val="00B37B15"/>
    <w:rsid w:val="00B40082"/>
    <w:rsid w:val="00B44964"/>
    <w:rsid w:val="00B45C02"/>
    <w:rsid w:val="00B4637C"/>
    <w:rsid w:val="00B50CCF"/>
    <w:rsid w:val="00B50E85"/>
    <w:rsid w:val="00B60CA9"/>
    <w:rsid w:val="00B70B63"/>
    <w:rsid w:val="00B72A1E"/>
    <w:rsid w:val="00B73298"/>
    <w:rsid w:val="00B740D0"/>
    <w:rsid w:val="00B81C09"/>
    <w:rsid w:val="00B81E12"/>
    <w:rsid w:val="00B84E67"/>
    <w:rsid w:val="00B854AD"/>
    <w:rsid w:val="00B97333"/>
    <w:rsid w:val="00BA339B"/>
    <w:rsid w:val="00BB23CC"/>
    <w:rsid w:val="00BB5758"/>
    <w:rsid w:val="00BC114D"/>
    <w:rsid w:val="00BC1E7E"/>
    <w:rsid w:val="00BC2619"/>
    <w:rsid w:val="00BC74E9"/>
    <w:rsid w:val="00BC7E5D"/>
    <w:rsid w:val="00BD09DB"/>
    <w:rsid w:val="00BE3600"/>
    <w:rsid w:val="00BE36A9"/>
    <w:rsid w:val="00BE618E"/>
    <w:rsid w:val="00BE7BEC"/>
    <w:rsid w:val="00BE7CE3"/>
    <w:rsid w:val="00BF0A5A"/>
    <w:rsid w:val="00BF0E63"/>
    <w:rsid w:val="00BF12A3"/>
    <w:rsid w:val="00BF16D7"/>
    <w:rsid w:val="00BF2373"/>
    <w:rsid w:val="00BF45A8"/>
    <w:rsid w:val="00C00614"/>
    <w:rsid w:val="00C02453"/>
    <w:rsid w:val="00C0294F"/>
    <w:rsid w:val="00C044E2"/>
    <w:rsid w:val="00C048CB"/>
    <w:rsid w:val="00C066F3"/>
    <w:rsid w:val="00C1575F"/>
    <w:rsid w:val="00C247F3"/>
    <w:rsid w:val="00C25339"/>
    <w:rsid w:val="00C32646"/>
    <w:rsid w:val="00C33B29"/>
    <w:rsid w:val="00C3486F"/>
    <w:rsid w:val="00C408B7"/>
    <w:rsid w:val="00C411EB"/>
    <w:rsid w:val="00C42711"/>
    <w:rsid w:val="00C43705"/>
    <w:rsid w:val="00C43B35"/>
    <w:rsid w:val="00C45DFD"/>
    <w:rsid w:val="00C463DD"/>
    <w:rsid w:val="00C4685E"/>
    <w:rsid w:val="00C46DCF"/>
    <w:rsid w:val="00C47924"/>
    <w:rsid w:val="00C5646D"/>
    <w:rsid w:val="00C60002"/>
    <w:rsid w:val="00C654DC"/>
    <w:rsid w:val="00C71371"/>
    <w:rsid w:val="00C71FBE"/>
    <w:rsid w:val="00C723C8"/>
    <w:rsid w:val="00C728DF"/>
    <w:rsid w:val="00C73958"/>
    <w:rsid w:val="00C745C3"/>
    <w:rsid w:val="00C760DB"/>
    <w:rsid w:val="00C7610F"/>
    <w:rsid w:val="00C7744B"/>
    <w:rsid w:val="00C80AE5"/>
    <w:rsid w:val="00C8489A"/>
    <w:rsid w:val="00C864BF"/>
    <w:rsid w:val="00C978F5"/>
    <w:rsid w:val="00CA15B8"/>
    <w:rsid w:val="00CA24A4"/>
    <w:rsid w:val="00CA488A"/>
    <w:rsid w:val="00CA5A27"/>
    <w:rsid w:val="00CA6272"/>
    <w:rsid w:val="00CB348D"/>
    <w:rsid w:val="00CC742F"/>
    <w:rsid w:val="00CC7A3A"/>
    <w:rsid w:val="00CD0A94"/>
    <w:rsid w:val="00CD32CD"/>
    <w:rsid w:val="00CD4251"/>
    <w:rsid w:val="00CD46F5"/>
    <w:rsid w:val="00CE31C6"/>
    <w:rsid w:val="00CE4A8F"/>
    <w:rsid w:val="00CE5482"/>
    <w:rsid w:val="00CE7348"/>
    <w:rsid w:val="00CE78F6"/>
    <w:rsid w:val="00CF0343"/>
    <w:rsid w:val="00CF071D"/>
    <w:rsid w:val="00CF1BC0"/>
    <w:rsid w:val="00CF3597"/>
    <w:rsid w:val="00CF3BDD"/>
    <w:rsid w:val="00CF5F89"/>
    <w:rsid w:val="00CF60F5"/>
    <w:rsid w:val="00D0123D"/>
    <w:rsid w:val="00D04890"/>
    <w:rsid w:val="00D06AB4"/>
    <w:rsid w:val="00D070A2"/>
    <w:rsid w:val="00D11B7F"/>
    <w:rsid w:val="00D13E3D"/>
    <w:rsid w:val="00D15B04"/>
    <w:rsid w:val="00D15BC7"/>
    <w:rsid w:val="00D16B23"/>
    <w:rsid w:val="00D2031B"/>
    <w:rsid w:val="00D21DEB"/>
    <w:rsid w:val="00D22BF6"/>
    <w:rsid w:val="00D237FA"/>
    <w:rsid w:val="00D23F3C"/>
    <w:rsid w:val="00D24E12"/>
    <w:rsid w:val="00D25FE2"/>
    <w:rsid w:val="00D368BE"/>
    <w:rsid w:val="00D37DA9"/>
    <w:rsid w:val="00D406A7"/>
    <w:rsid w:val="00D40765"/>
    <w:rsid w:val="00D42A2D"/>
    <w:rsid w:val="00D43252"/>
    <w:rsid w:val="00D44070"/>
    <w:rsid w:val="00D44D86"/>
    <w:rsid w:val="00D503C9"/>
    <w:rsid w:val="00D50B7D"/>
    <w:rsid w:val="00D52012"/>
    <w:rsid w:val="00D52A40"/>
    <w:rsid w:val="00D53AF0"/>
    <w:rsid w:val="00D5659F"/>
    <w:rsid w:val="00D61104"/>
    <w:rsid w:val="00D704E5"/>
    <w:rsid w:val="00D72727"/>
    <w:rsid w:val="00D7377C"/>
    <w:rsid w:val="00D7468F"/>
    <w:rsid w:val="00D75DCE"/>
    <w:rsid w:val="00D760D3"/>
    <w:rsid w:val="00D80CF7"/>
    <w:rsid w:val="00D8282B"/>
    <w:rsid w:val="00D8331C"/>
    <w:rsid w:val="00D83D38"/>
    <w:rsid w:val="00D85E27"/>
    <w:rsid w:val="00D86426"/>
    <w:rsid w:val="00D91E42"/>
    <w:rsid w:val="00D95736"/>
    <w:rsid w:val="00D978C6"/>
    <w:rsid w:val="00DA0956"/>
    <w:rsid w:val="00DA357F"/>
    <w:rsid w:val="00DA3E12"/>
    <w:rsid w:val="00DA69AA"/>
    <w:rsid w:val="00DB6908"/>
    <w:rsid w:val="00DB7890"/>
    <w:rsid w:val="00DC18AD"/>
    <w:rsid w:val="00DC6AF8"/>
    <w:rsid w:val="00DD03C5"/>
    <w:rsid w:val="00DD1A99"/>
    <w:rsid w:val="00DE48E1"/>
    <w:rsid w:val="00DF24DA"/>
    <w:rsid w:val="00DF5608"/>
    <w:rsid w:val="00DF7CAE"/>
    <w:rsid w:val="00E043CC"/>
    <w:rsid w:val="00E10F82"/>
    <w:rsid w:val="00E122F5"/>
    <w:rsid w:val="00E136E7"/>
    <w:rsid w:val="00E27A10"/>
    <w:rsid w:val="00E27B73"/>
    <w:rsid w:val="00E30F87"/>
    <w:rsid w:val="00E329D5"/>
    <w:rsid w:val="00E41C1E"/>
    <w:rsid w:val="00E423C0"/>
    <w:rsid w:val="00E43412"/>
    <w:rsid w:val="00E46CF7"/>
    <w:rsid w:val="00E50DDB"/>
    <w:rsid w:val="00E63A6E"/>
    <w:rsid w:val="00E6414C"/>
    <w:rsid w:val="00E679ED"/>
    <w:rsid w:val="00E7260F"/>
    <w:rsid w:val="00E72FFF"/>
    <w:rsid w:val="00E733E5"/>
    <w:rsid w:val="00E75B62"/>
    <w:rsid w:val="00E863F7"/>
    <w:rsid w:val="00E8702D"/>
    <w:rsid w:val="00E905F4"/>
    <w:rsid w:val="00E916A9"/>
    <w:rsid w:val="00E916DE"/>
    <w:rsid w:val="00E925AD"/>
    <w:rsid w:val="00E94C54"/>
    <w:rsid w:val="00E96630"/>
    <w:rsid w:val="00EA5AA9"/>
    <w:rsid w:val="00EA6C98"/>
    <w:rsid w:val="00EC2132"/>
    <w:rsid w:val="00EC313F"/>
    <w:rsid w:val="00ED18DC"/>
    <w:rsid w:val="00ED3833"/>
    <w:rsid w:val="00ED4D1A"/>
    <w:rsid w:val="00ED6201"/>
    <w:rsid w:val="00ED7A2A"/>
    <w:rsid w:val="00EE1512"/>
    <w:rsid w:val="00EE33C9"/>
    <w:rsid w:val="00EE5E7E"/>
    <w:rsid w:val="00EF1D7F"/>
    <w:rsid w:val="00F0137E"/>
    <w:rsid w:val="00F14AAF"/>
    <w:rsid w:val="00F211DE"/>
    <w:rsid w:val="00F21786"/>
    <w:rsid w:val="00F23456"/>
    <w:rsid w:val="00F318C4"/>
    <w:rsid w:val="00F3742B"/>
    <w:rsid w:val="00F41FDB"/>
    <w:rsid w:val="00F45E55"/>
    <w:rsid w:val="00F50596"/>
    <w:rsid w:val="00F51E09"/>
    <w:rsid w:val="00F56D63"/>
    <w:rsid w:val="00F609A9"/>
    <w:rsid w:val="00F612CE"/>
    <w:rsid w:val="00F728CF"/>
    <w:rsid w:val="00F75578"/>
    <w:rsid w:val="00F80C99"/>
    <w:rsid w:val="00F81A12"/>
    <w:rsid w:val="00F867EC"/>
    <w:rsid w:val="00F91B2B"/>
    <w:rsid w:val="00FA0B18"/>
    <w:rsid w:val="00FB6E67"/>
    <w:rsid w:val="00FB799E"/>
    <w:rsid w:val="00FC03CD"/>
    <w:rsid w:val="00FC0646"/>
    <w:rsid w:val="00FC1AF1"/>
    <w:rsid w:val="00FC3E9F"/>
    <w:rsid w:val="00FC5BD9"/>
    <w:rsid w:val="00FC68B7"/>
    <w:rsid w:val="00FD781E"/>
    <w:rsid w:val="00FE6985"/>
    <w:rsid w:val="00FF1B0A"/>
    <w:rsid w:val="00FF43D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A2E99"/>
  <w15:docId w15:val="{8E9515DD-997B-4574-91EE-0B4FCFB5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261"/>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qFormat/>
    <w:locked/>
    <w:rsid w:val="003555F8"/>
    <w:rPr>
      <w:b/>
      <w:sz w:val="28"/>
      <w:lang w:val="en-GB"/>
    </w:rPr>
  </w:style>
  <w:style w:type="character" w:customStyle="1" w:styleId="H1GChar">
    <w:name w:val="_ H_1_G Char"/>
    <w:link w:val="H1G"/>
    <w:locked/>
    <w:rsid w:val="003555F8"/>
    <w:rPr>
      <w:b/>
      <w:sz w:val="24"/>
      <w:lang w:val="en-GB"/>
    </w:rPr>
  </w:style>
  <w:style w:type="paragraph" w:styleId="Revision">
    <w:name w:val="Revision"/>
    <w:hidden/>
    <w:uiPriority w:val="99"/>
    <w:semiHidden/>
    <w:rsid w:val="00036A62"/>
    <w:pPr>
      <w:spacing w:line="240" w:lineRule="auto"/>
    </w:pPr>
    <w:rPr>
      <w:lang w:val="en-GB"/>
    </w:rPr>
  </w:style>
  <w:style w:type="character" w:styleId="CommentReference">
    <w:name w:val="annotation reference"/>
    <w:basedOn w:val="DefaultParagraphFont"/>
    <w:semiHidden/>
    <w:unhideWhenUsed/>
    <w:rsid w:val="006F5FF4"/>
    <w:rPr>
      <w:sz w:val="16"/>
      <w:szCs w:val="16"/>
    </w:rPr>
  </w:style>
  <w:style w:type="paragraph" w:styleId="CommentText">
    <w:name w:val="annotation text"/>
    <w:basedOn w:val="Normal"/>
    <w:link w:val="CommentTextChar"/>
    <w:unhideWhenUsed/>
    <w:rsid w:val="006F5FF4"/>
    <w:pPr>
      <w:spacing w:line="240" w:lineRule="auto"/>
    </w:pPr>
  </w:style>
  <w:style w:type="character" w:customStyle="1" w:styleId="CommentTextChar">
    <w:name w:val="Comment Text Char"/>
    <w:basedOn w:val="DefaultParagraphFont"/>
    <w:link w:val="CommentText"/>
    <w:rsid w:val="006F5FF4"/>
    <w:rPr>
      <w:lang w:val="en-GB"/>
    </w:rPr>
  </w:style>
  <w:style w:type="paragraph" w:styleId="CommentSubject">
    <w:name w:val="annotation subject"/>
    <w:basedOn w:val="CommentText"/>
    <w:next w:val="CommentText"/>
    <w:link w:val="CommentSubjectChar"/>
    <w:semiHidden/>
    <w:unhideWhenUsed/>
    <w:rsid w:val="006F5FF4"/>
    <w:rPr>
      <w:b/>
      <w:bCs/>
    </w:rPr>
  </w:style>
  <w:style w:type="character" w:customStyle="1" w:styleId="CommentSubjectChar">
    <w:name w:val="Comment Subject Char"/>
    <w:basedOn w:val="CommentTextChar"/>
    <w:link w:val="CommentSubject"/>
    <w:semiHidden/>
    <w:rsid w:val="006F5FF4"/>
    <w:rPr>
      <w:b/>
      <w:bCs/>
      <w:lang w:val="en-GB"/>
    </w:rPr>
  </w:style>
  <w:style w:type="character" w:customStyle="1" w:styleId="FootnoteTextChar">
    <w:name w:val="Footnote Text Char"/>
    <w:aliases w:val="5_G Char,5_GR Char"/>
    <w:basedOn w:val="DefaultParagraphFont"/>
    <w:link w:val="FootnoteText"/>
    <w:rsid w:val="005F5FC6"/>
    <w:rPr>
      <w:sz w:val="18"/>
      <w:lang w:val="en-GB"/>
    </w:rPr>
  </w:style>
  <w:style w:type="paragraph" w:styleId="TOCHeading">
    <w:name w:val="TOC Heading"/>
    <w:basedOn w:val="Heading1"/>
    <w:next w:val="Normal"/>
    <w:uiPriority w:val="39"/>
    <w:unhideWhenUsed/>
    <w:qFormat/>
    <w:rsid w:val="00161A38"/>
    <w:pPr>
      <w:keepNext/>
      <w:keepLines/>
      <w:tabs>
        <w:tab w:val="clear" w:pos="1701"/>
        <w:tab w:val="clear" w:pos="2268"/>
        <w:tab w:val="clear" w:pos="2835"/>
      </w:tab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161A38"/>
    <w:pPr>
      <w:spacing w:after="100"/>
      <w:ind w:left="200"/>
    </w:pPr>
  </w:style>
  <w:style w:type="paragraph" w:styleId="TOC3">
    <w:name w:val="toc 3"/>
    <w:basedOn w:val="Normal"/>
    <w:next w:val="Normal"/>
    <w:autoRedefine/>
    <w:uiPriority w:val="39"/>
    <w:unhideWhenUsed/>
    <w:rsid w:val="00161A38"/>
    <w:pPr>
      <w:spacing w:after="100"/>
      <w:ind w:left="400"/>
    </w:pPr>
  </w:style>
  <w:style w:type="character" w:styleId="UnresolvedMention">
    <w:name w:val="Unresolved Mention"/>
    <w:basedOn w:val="DefaultParagraphFont"/>
    <w:uiPriority w:val="99"/>
    <w:semiHidden/>
    <w:unhideWhenUsed/>
    <w:rsid w:val="00387156"/>
    <w:rPr>
      <w:color w:val="605E5C"/>
      <w:shd w:val="clear" w:color="auto" w:fill="E1DFDD"/>
    </w:rPr>
  </w:style>
  <w:style w:type="character" w:customStyle="1" w:styleId="ui-provider">
    <w:name w:val="ui-provider"/>
    <w:basedOn w:val="DefaultParagraphFont"/>
    <w:rsid w:val="0038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tif.org/en/?page_id=176"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adr-multilateral-agre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dangerous-goods/unece-bodies-dealing-transport-dangerous-goods" TargetMode="External"/><Relationship Id="rId1" Type="http://schemas.openxmlformats.org/officeDocument/2006/relationships/hyperlink" Target="https://unece.org/transport/dangerous-goods/ecosoc-bodies-dealing-chemicals-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Alicia Dorca Garcia</DisplayName>
        <AccountId>1313</AccountId>
        <AccountType/>
      </UserInfo>
      <UserInfo>
        <DisplayName>Sabrina Mansion</DisplayName>
        <AccountId>71</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6337BB4D-3CD7-454A-B8A8-488A3E2AA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136</TotalTime>
  <Pages>23</Pages>
  <Words>7231</Words>
  <Characters>41222</Characters>
  <Application>Microsoft Office Word</Application>
  <DocSecurity>0</DocSecurity>
  <Lines>343</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ECE/TRANS/WP.15/AC.1/172</vt:lpstr>
      <vt:lpstr/>
    </vt:vector>
  </TitlesOfParts>
  <Company>CSD</Company>
  <LinksUpToDate>false</LinksUpToDate>
  <CharactersWithSpaces>48357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ECE/TRANS/WP.15/AC.1/172</dc:title>
  <dc:creator>Alicia DORCA-GARCIA</dc:creator>
  <cp:lastModifiedBy>Nadiya Dzyubynska</cp:lastModifiedBy>
  <cp:revision>62</cp:revision>
  <cp:lastPrinted>2024-04-15T15:17:00Z</cp:lastPrinted>
  <dcterms:created xsi:type="dcterms:W3CDTF">2024-04-17T08:23:00Z</dcterms:created>
  <dcterms:modified xsi:type="dcterms:W3CDTF">2024-04-18T11:13:00Z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