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1DA8F54" w14:textId="77777777" w:rsidTr="00C97039">
        <w:trPr>
          <w:trHeight w:hRule="exact" w:val="851"/>
        </w:trPr>
        <w:tc>
          <w:tcPr>
            <w:tcW w:w="1276" w:type="dxa"/>
            <w:tcBorders>
              <w:bottom w:val="single" w:sz="4" w:space="0" w:color="auto"/>
            </w:tcBorders>
          </w:tcPr>
          <w:p w14:paraId="459E7AA9" w14:textId="77777777" w:rsidR="00F35BAF" w:rsidRPr="00DB58B5" w:rsidRDefault="00F35BAF" w:rsidP="00DE61DA"/>
        </w:tc>
        <w:tc>
          <w:tcPr>
            <w:tcW w:w="2268" w:type="dxa"/>
            <w:tcBorders>
              <w:bottom w:val="single" w:sz="4" w:space="0" w:color="auto"/>
            </w:tcBorders>
            <w:vAlign w:val="bottom"/>
          </w:tcPr>
          <w:p w14:paraId="6BD485E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321C6F5" w14:textId="330AACD6" w:rsidR="00F35BAF" w:rsidRPr="00DB58B5" w:rsidRDefault="00DE61DA" w:rsidP="00DE61DA">
            <w:pPr>
              <w:jc w:val="right"/>
            </w:pPr>
            <w:r w:rsidRPr="00DE61DA">
              <w:rPr>
                <w:sz w:val="40"/>
              </w:rPr>
              <w:t>ECE</w:t>
            </w:r>
            <w:r>
              <w:t>/TRANS/WP.29/GRE/2024/9</w:t>
            </w:r>
          </w:p>
        </w:tc>
      </w:tr>
      <w:tr w:rsidR="00F35BAF" w:rsidRPr="00DB58B5" w14:paraId="15F7DA39" w14:textId="77777777" w:rsidTr="00C97039">
        <w:trPr>
          <w:trHeight w:hRule="exact" w:val="2835"/>
        </w:trPr>
        <w:tc>
          <w:tcPr>
            <w:tcW w:w="1276" w:type="dxa"/>
            <w:tcBorders>
              <w:top w:val="single" w:sz="4" w:space="0" w:color="auto"/>
              <w:bottom w:val="single" w:sz="12" w:space="0" w:color="auto"/>
            </w:tcBorders>
          </w:tcPr>
          <w:p w14:paraId="48B959B0" w14:textId="77777777" w:rsidR="00F35BAF" w:rsidRPr="00DB58B5" w:rsidRDefault="00F35BAF" w:rsidP="00C97039">
            <w:pPr>
              <w:spacing w:before="120"/>
              <w:jc w:val="center"/>
            </w:pPr>
            <w:r>
              <w:rPr>
                <w:noProof/>
                <w:lang w:eastAsia="fr-CH"/>
              </w:rPr>
              <w:drawing>
                <wp:inline distT="0" distB="0" distL="0" distR="0" wp14:anchorId="746845CA" wp14:editId="5F4A3CB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B29C6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93949D8" w14:textId="77777777" w:rsidR="00F35BAF" w:rsidRDefault="00DE61DA" w:rsidP="00C97039">
            <w:pPr>
              <w:spacing w:before="240"/>
            </w:pPr>
            <w:r>
              <w:t>Distr. générale</w:t>
            </w:r>
          </w:p>
          <w:p w14:paraId="7688854B" w14:textId="77777777" w:rsidR="00DE61DA" w:rsidRDefault="00DE61DA" w:rsidP="00DE61DA">
            <w:pPr>
              <w:spacing w:line="240" w:lineRule="exact"/>
            </w:pPr>
            <w:r>
              <w:t>13 février 2024</w:t>
            </w:r>
          </w:p>
          <w:p w14:paraId="502652F7" w14:textId="77777777" w:rsidR="00DE61DA" w:rsidRDefault="00DE61DA" w:rsidP="00DE61DA">
            <w:pPr>
              <w:spacing w:line="240" w:lineRule="exact"/>
            </w:pPr>
            <w:r>
              <w:t>Français</w:t>
            </w:r>
          </w:p>
          <w:p w14:paraId="2427626E" w14:textId="4CFE578F" w:rsidR="00DE61DA" w:rsidRPr="00DB58B5" w:rsidRDefault="00DE61DA" w:rsidP="00DE61DA">
            <w:pPr>
              <w:spacing w:line="240" w:lineRule="exact"/>
            </w:pPr>
            <w:r>
              <w:t>Original : anglais</w:t>
            </w:r>
          </w:p>
        </w:tc>
      </w:tr>
    </w:tbl>
    <w:p w14:paraId="607B8264" w14:textId="77777777" w:rsidR="007F20FA" w:rsidRPr="000312C0" w:rsidRDefault="007F20FA" w:rsidP="007F20FA">
      <w:pPr>
        <w:spacing w:before="120"/>
        <w:rPr>
          <w:b/>
          <w:sz w:val="28"/>
          <w:szCs w:val="28"/>
        </w:rPr>
      </w:pPr>
      <w:r w:rsidRPr="000312C0">
        <w:rPr>
          <w:b/>
          <w:sz w:val="28"/>
          <w:szCs w:val="28"/>
        </w:rPr>
        <w:t>Commission économique pour l’Europe</w:t>
      </w:r>
    </w:p>
    <w:p w14:paraId="7D460D51" w14:textId="77777777" w:rsidR="007F20FA" w:rsidRDefault="007F20FA" w:rsidP="007F20FA">
      <w:pPr>
        <w:spacing w:before="120"/>
        <w:rPr>
          <w:sz w:val="28"/>
          <w:szCs w:val="28"/>
        </w:rPr>
      </w:pPr>
      <w:r w:rsidRPr="00685843">
        <w:rPr>
          <w:sz w:val="28"/>
          <w:szCs w:val="28"/>
        </w:rPr>
        <w:t>Comité des transports intérieurs</w:t>
      </w:r>
    </w:p>
    <w:p w14:paraId="5C4E3F57" w14:textId="77777777" w:rsidR="00DE61DA" w:rsidRDefault="00DE61DA"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40E0DA73" w14:textId="77777777" w:rsidR="00DE61DA" w:rsidRDefault="00DE61DA" w:rsidP="00257168">
      <w:pPr>
        <w:spacing w:before="120" w:after="120" w:line="240" w:lineRule="exact"/>
        <w:rPr>
          <w:b/>
        </w:rPr>
      </w:pPr>
      <w:r>
        <w:rPr>
          <w:b/>
        </w:rPr>
        <w:t>Groupe de travail de l’éclairage et de la signalisation lumineuse</w:t>
      </w:r>
    </w:p>
    <w:p w14:paraId="5F9F6CE5" w14:textId="77777777" w:rsidR="00DE61DA" w:rsidRPr="006102DF" w:rsidRDefault="00DE61DA" w:rsidP="00DE61DA">
      <w:pPr>
        <w:ind w:right="1134"/>
        <w:rPr>
          <w:b/>
          <w:lang w:val="fr-FR"/>
        </w:rPr>
      </w:pPr>
      <w:r w:rsidRPr="006102DF">
        <w:rPr>
          <w:b/>
          <w:bCs/>
          <w:lang w:val="fr-FR"/>
        </w:rPr>
        <w:t xml:space="preserve">Quatre-vingt-dixième session </w:t>
      </w:r>
    </w:p>
    <w:p w14:paraId="02216995" w14:textId="77777777" w:rsidR="00DE61DA" w:rsidRPr="006102DF" w:rsidRDefault="00DE61DA" w:rsidP="00DE61DA">
      <w:pPr>
        <w:ind w:right="1134"/>
        <w:rPr>
          <w:lang w:val="fr-FR"/>
        </w:rPr>
      </w:pPr>
      <w:r w:rsidRPr="006102DF">
        <w:rPr>
          <w:lang w:val="fr-FR"/>
        </w:rPr>
        <w:t>Genève, 29</w:t>
      </w:r>
      <w:r>
        <w:rPr>
          <w:lang w:val="fr-FR"/>
        </w:rPr>
        <w:t> </w:t>
      </w:r>
      <w:r w:rsidRPr="006102DF">
        <w:rPr>
          <w:lang w:val="fr-FR"/>
        </w:rPr>
        <w:t>avril-3 mai 2024</w:t>
      </w:r>
    </w:p>
    <w:p w14:paraId="56DC2B2E" w14:textId="77777777" w:rsidR="00DE61DA" w:rsidRPr="006102DF" w:rsidRDefault="00DE61DA" w:rsidP="00DE61DA">
      <w:pPr>
        <w:ind w:right="1134"/>
        <w:rPr>
          <w:bCs/>
          <w:lang w:val="fr-FR"/>
        </w:rPr>
      </w:pPr>
      <w:r w:rsidRPr="006102DF">
        <w:rPr>
          <w:lang w:val="fr-FR"/>
        </w:rPr>
        <w:t>Point 6</w:t>
      </w:r>
      <w:r>
        <w:rPr>
          <w:lang w:val="fr-FR"/>
        </w:rPr>
        <w:t> </w:t>
      </w:r>
      <w:r w:rsidRPr="006102DF">
        <w:rPr>
          <w:lang w:val="fr-FR"/>
        </w:rPr>
        <w:t>b) de l</w:t>
      </w:r>
      <w:r>
        <w:rPr>
          <w:lang w:val="fr-FR"/>
        </w:rPr>
        <w:t>’</w:t>
      </w:r>
      <w:r w:rsidRPr="006102DF">
        <w:rPr>
          <w:lang w:val="fr-FR"/>
        </w:rPr>
        <w:t>ordre du jour provisoire</w:t>
      </w:r>
    </w:p>
    <w:p w14:paraId="57716A70" w14:textId="2CB677C7" w:rsidR="00DE61DA" w:rsidRDefault="00DE61DA" w:rsidP="00DE61DA">
      <w:pPr>
        <w:ind w:right="1467"/>
        <w:rPr>
          <w:b/>
          <w:bCs/>
          <w:lang w:val="fr-FR"/>
        </w:rPr>
      </w:pPr>
      <w:r w:rsidRPr="006102DF">
        <w:rPr>
          <w:b/>
          <w:bCs/>
          <w:lang w:val="fr-FR"/>
        </w:rPr>
        <w:t>Règlements ONU concernant l</w:t>
      </w:r>
      <w:r>
        <w:rPr>
          <w:b/>
          <w:bCs/>
          <w:lang w:val="fr-FR"/>
        </w:rPr>
        <w:t>’</w:t>
      </w:r>
      <w:r w:rsidRPr="006102DF">
        <w:rPr>
          <w:b/>
          <w:bCs/>
          <w:lang w:val="fr-FR"/>
        </w:rPr>
        <w:t>installation</w:t>
      </w:r>
      <w:r>
        <w:rPr>
          <w:b/>
          <w:bCs/>
          <w:lang w:val="fr-FR"/>
        </w:rPr>
        <w:t> </w:t>
      </w:r>
      <w:r w:rsidRPr="006102DF">
        <w:rPr>
          <w:b/>
          <w:bCs/>
          <w:lang w:val="fr-FR"/>
        </w:rPr>
        <w:t xml:space="preserve">: Règlement ONU </w:t>
      </w:r>
      <w:r w:rsidRPr="00DE61DA">
        <w:rPr>
          <w:rFonts w:eastAsia="MS Mincho"/>
          <w:b/>
          <w:bCs/>
          <w:lang w:val="fr-FR"/>
        </w:rPr>
        <w:t>n</w:t>
      </w:r>
      <w:r w:rsidRPr="00DE61DA">
        <w:rPr>
          <w:rFonts w:eastAsia="MS Mincho"/>
          <w:b/>
          <w:bCs/>
          <w:vertAlign w:val="superscript"/>
          <w:lang w:val="fr-FR"/>
        </w:rPr>
        <w:t>o</w:t>
      </w:r>
      <w:r>
        <w:rPr>
          <w:b/>
          <w:bCs/>
          <w:lang w:val="fr-FR"/>
        </w:rPr>
        <w:t xml:space="preserve"> </w:t>
      </w:r>
      <w:r w:rsidRPr="006102DF">
        <w:rPr>
          <w:b/>
          <w:bCs/>
          <w:lang w:val="fr-FR"/>
        </w:rPr>
        <w:t xml:space="preserve">74 </w:t>
      </w:r>
      <w:r>
        <w:rPr>
          <w:b/>
          <w:bCs/>
          <w:lang w:val="fr-FR"/>
        </w:rPr>
        <w:br/>
      </w:r>
      <w:r w:rsidRPr="006102DF">
        <w:rPr>
          <w:b/>
          <w:bCs/>
          <w:lang w:val="fr-FR"/>
        </w:rPr>
        <w:t>(Installation des dispositifs d</w:t>
      </w:r>
      <w:r>
        <w:rPr>
          <w:b/>
          <w:bCs/>
          <w:lang w:val="fr-FR"/>
        </w:rPr>
        <w:t>’</w:t>
      </w:r>
      <w:r w:rsidRPr="006102DF">
        <w:rPr>
          <w:b/>
          <w:bCs/>
          <w:lang w:val="fr-FR"/>
        </w:rPr>
        <w:t xml:space="preserve">éclairage </w:t>
      </w:r>
      <w:r>
        <w:rPr>
          <w:b/>
          <w:bCs/>
          <w:lang w:val="fr-FR"/>
        </w:rPr>
        <w:br/>
      </w:r>
      <w:r w:rsidRPr="006102DF">
        <w:rPr>
          <w:b/>
          <w:bCs/>
          <w:lang w:val="fr-FR"/>
        </w:rPr>
        <w:t>et de signalisation lumineuse sur les cyclomoteurs)</w:t>
      </w:r>
    </w:p>
    <w:p w14:paraId="350D3CA8" w14:textId="1ED609E8" w:rsidR="00DE61DA" w:rsidRPr="006102DF" w:rsidRDefault="00DE61DA" w:rsidP="00DE61DA">
      <w:pPr>
        <w:pStyle w:val="HChG"/>
        <w:rPr>
          <w:lang w:val="fr-FR"/>
        </w:rPr>
      </w:pPr>
      <w:r w:rsidRPr="006102DF">
        <w:rPr>
          <w:lang w:val="fr-FR"/>
        </w:rPr>
        <w:tab/>
      </w:r>
      <w:r w:rsidRPr="006102DF">
        <w:rPr>
          <w:lang w:val="fr-FR"/>
        </w:rPr>
        <w:tab/>
        <w:t>Proposition de complément à la série</w:t>
      </w:r>
      <w:r>
        <w:rPr>
          <w:lang w:val="fr-FR"/>
        </w:rPr>
        <w:t> </w:t>
      </w:r>
      <w:r w:rsidRPr="006102DF">
        <w:rPr>
          <w:lang w:val="fr-FR"/>
        </w:rPr>
        <w:t>03 d</w:t>
      </w:r>
      <w:r>
        <w:rPr>
          <w:lang w:val="fr-FR"/>
        </w:rPr>
        <w:t>’</w:t>
      </w:r>
      <w:r w:rsidRPr="006102DF">
        <w:rPr>
          <w:lang w:val="fr-FR"/>
        </w:rPr>
        <w:t xml:space="preserve">amendements </w:t>
      </w:r>
      <w:r>
        <w:rPr>
          <w:lang w:val="fr-FR"/>
        </w:rPr>
        <w:br/>
      </w:r>
      <w:r w:rsidRPr="006102DF">
        <w:rPr>
          <w:lang w:val="fr-FR"/>
        </w:rPr>
        <w:t xml:space="preserve">au Règlement ONU </w:t>
      </w:r>
      <w:r w:rsidRPr="00DE61DA">
        <w:rPr>
          <w:rFonts w:eastAsia="MS Mincho"/>
          <w:lang w:val="fr-FR"/>
        </w:rPr>
        <w:t>n</w:t>
      </w:r>
      <w:r w:rsidRPr="00DE61DA">
        <w:rPr>
          <w:rFonts w:eastAsia="MS Mincho"/>
          <w:vertAlign w:val="superscript"/>
          <w:lang w:val="fr-FR"/>
        </w:rPr>
        <w:t>o</w:t>
      </w:r>
      <w:r>
        <w:rPr>
          <w:lang w:val="fr-FR"/>
        </w:rPr>
        <w:t xml:space="preserve"> </w:t>
      </w:r>
      <w:r w:rsidRPr="006102DF">
        <w:rPr>
          <w:lang w:val="fr-FR"/>
        </w:rPr>
        <w:t>74 ainsi qu</w:t>
      </w:r>
      <w:r>
        <w:rPr>
          <w:lang w:val="fr-FR"/>
        </w:rPr>
        <w:t>’</w:t>
      </w:r>
      <w:r w:rsidRPr="006102DF">
        <w:rPr>
          <w:lang w:val="fr-FR"/>
        </w:rPr>
        <w:t>à la série</w:t>
      </w:r>
      <w:r>
        <w:rPr>
          <w:lang w:val="fr-FR"/>
        </w:rPr>
        <w:t> </w:t>
      </w:r>
      <w:r w:rsidRPr="006102DF">
        <w:rPr>
          <w:lang w:val="fr-FR"/>
        </w:rPr>
        <w:t>01 d</w:t>
      </w:r>
      <w:r>
        <w:rPr>
          <w:lang w:val="fr-FR"/>
        </w:rPr>
        <w:t>’</w:t>
      </w:r>
      <w:r w:rsidRPr="006102DF">
        <w:rPr>
          <w:lang w:val="fr-FR"/>
        </w:rPr>
        <w:t xml:space="preserve">amendements au Règlement ONU </w:t>
      </w:r>
      <w:r w:rsidRPr="00DE61DA">
        <w:rPr>
          <w:rFonts w:eastAsia="MS Mincho"/>
          <w:lang w:val="fr-FR"/>
        </w:rPr>
        <w:t>n</w:t>
      </w:r>
      <w:r w:rsidRPr="00DE61DA">
        <w:rPr>
          <w:rFonts w:eastAsia="MS Mincho"/>
          <w:vertAlign w:val="superscript"/>
          <w:lang w:val="fr-FR"/>
        </w:rPr>
        <w:t>o</w:t>
      </w:r>
      <w:r>
        <w:rPr>
          <w:lang w:val="fr-FR"/>
        </w:rPr>
        <w:t xml:space="preserve"> </w:t>
      </w:r>
      <w:r w:rsidRPr="006102DF">
        <w:rPr>
          <w:lang w:val="fr-FR"/>
        </w:rPr>
        <w:t>148</w:t>
      </w:r>
    </w:p>
    <w:p w14:paraId="57DCB712" w14:textId="77777777" w:rsidR="00DE61DA" w:rsidRPr="006102DF" w:rsidRDefault="00DE61DA" w:rsidP="00DE61DA">
      <w:pPr>
        <w:pStyle w:val="H1G"/>
        <w:rPr>
          <w:szCs w:val="24"/>
          <w:lang w:val="fr-FR"/>
        </w:rPr>
      </w:pPr>
      <w:r w:rsidRPr="006102DF">
        <w:rPr>
          <w:lang w:val="fr-FR"/>
        </w:rPr>
        <w:tab/>
      </w:r>
      <w:r w:rsidRPr="006102DF">
        <w:rPr>
          <w:lang w:val="fr-FR"/>
        </w:rPr>
        <w:tab/>
        <w:t>Communication de</w:t>
      </w:r>
      <w:r>
        <w:rPr>
          <w:lang w:val="fr-FR"/>
        </w:rPr>
        <w:t xml:space="preserve">s </w:t>
      </w:r>
      <w:r w:rsidRPr="006102DF">
        <w:rPr>
          <w:lang w:val="fr-FR"/>
        </w:rPr>
        <w:t>expert</w:t>
      </w:r>
      <w:r>
        <w:rPr>
          <w:lang w:val="fr-FR"/>
        </w:rPr>
        <w:t>s</w:t>
      </w:r>
      <w:r w:rsidRPr="006102DF">
        <w:rPr>
          <w:lang w:val="fr-FR"/>
        </w:rPr>
        <w:t xml:space="preserve"> de l</w:t>
      </w:r>
      <w:r>
        <w:rPr>
          <w:lang w:val="fr-FR"/>
        </w:rPr>
        <w:t>’</w:t>
      </w:r>
      <w:r w:rsidRPr="006102DF">
        <w:rPr>
          <w:lang w:val="fr-FR"/>
        </w:rPr>
        <w:t>Allemagne</w:t>
      </w:r>
      <w:r w:rsidRPr="00DE61DA">
        <w:rPr>
          <w:b w:val="0"/>
          <w:bCs/>
          <w:sz w:val="20"/>
          <w:lang w:val="fr-FR"/>
        </w:rPr>
        <w:t>*</w:t>
      </w:r>
    </w:p>
    <w:p w14:paraId="35D4416E" w14:textId="2A6C6DE9" w:rsidR="00F9573C" w:rsidRDefault="00DE61DA" w:rsidP="00DE61DA">
      <w:pPr>
        <w:pStyle w:val="SingleTxtG"/>
        <w:ind w:firstLine="567"/>
        <w:rPr>
          <w:lang w:val="fr-FR"/>
        </w:rPr>
      </w:pPr>
      <w:r w:rsidRPr="006102DF">
        <w:rPr>
          <w:lang w:val="fr-FR"/>
        </w:rPr>
        <w:footnoteReference w:customMarkFollows="1" w:id="2"/>
        <w:t>Le texte ci-après a été établi par les experts de l</w:t>
      </w:r>
      <w:r>
        <w:rPr>
          <w:lang w:val="fr-FR"/>
        </w:rPr>
        <w:t>’</w:t>
      </w:r>
      <w:r w:rsidRPr="006102DF">
        <w:rPr>
          <w:lang w:val="fr-FR"/>
        </w:rPr>
        <w:t>Allemagne. Les modifications qu</w:t>
      </w:r>
      <w:r>
        <w:rPr>
          <w:lang w:val="fr-FR"/>
        </w:rPr>
        <w:t>’</w:t>
      </w:r>
      <w:r w:rsidRPr="006102DF">
        <w:rPr>
          <w:lang w:val="fr-FR"/>
        </w:rPr>
        <w:t>il est proposé d</w:t>
      </w:r>
      <w:r>
        <w:rPr>
          <w:lang w:val="fr-FR"/>
        </w:rPr>
        <w:t>’</w:t>
      </w:r>
      <w:r w:rsidRPr="006102DF">
        <w:rPr>
          <w:lang w:val="fr-FR"/>
        </w:rPr>
        <w:t>apporter au texte actuel d</w:t>
      </w:r>
      <w:r>
        <w:rPr>
          <w:lang w:val="fr-FR"/>
        </w:rPr>
        <w:t>es</w:t>
      </w:r>
      <w:r w:rsidRPr="006102DF">
        <w:rPr>
          <w:lang w:val="fr-FR"/>
        </w:rPr>
        <w:t xml:space="preserve"> Règlement</w:t>
      </w:r>
      <w:r>
        <w:rPr>
          <w:lang w:val="fr-FR"/>
        </w:rPr>
        <w:t>s</w:t>
      </w:r>
      <w:r w:rsidRPr="006102DF">
        <w:rPr>
          <w:lang w:val="fr-FR"/>
        </w:rPr>
        <w:t xml:space="preserve"> ONU figurent en caractères gras pour les ajouts et biffés pour les suppressions.</w:t>
      </w:r>
    </w:p>
    <w:p w14:paraId="1CC15D43" w14:textId="4123901B" w:rsidR="00DE61DA" w:rsidRDefault="00DE61DA">
      <w:pPr>
        <w:suppressAutoHyphens w:val="0"/>
        <w:kinsoku/>
        <w:overflowPunct/>
        <w:autoSpaceDE/>
        <w:autoSpaceDN/>
        <w:adjustRightInd/>
        <w:snapToGrid/>
        <w:spacing w:after="200" w:line="276" w:lineRule="auto"/>
        <w:rPr>
          <w:lang w:val="fr-FR"/>
        </w:rPr>
      </w:pPr>
      <w:r>
        <w:rPr>
          <w:lang w:val="fr-FR"/>
        </w:rPr>
        <w:br w:type="page"/>
      </w:r>
    </w:p>
    <w:p w14:paraId="7C16CD78" w14:textId="27968B79" w:rsidR="00DE61DA" w:rsidRPr="006102DF" w:rsidRDefault="00DE61DA" w:rsidP="00DE61DA">
      <w:pPr>
        <w:pStyle w:val="HChG"/>
        <w:rPr>
          <w:lang w:val="fr-FR"/>
        </w:rPr>
      </w:pPr>
      <w:r w:rsidRPr="006102DF">
        <w:rPr>
          <w:lang w:val="fr-FR"/>
        </w:rPr>
        <w:tab/>
        <w:t>I.</w:t>
      </w:r>
      <w:r w:rsidRPr="006102DF">
        <w:rPr>
          <w:lang w:val="fr-FR"/>
        </w:rPr>
        <w:tab/>
        <w:t>Proposition de complément à la série</w:t>
      </w:r>
      <w:r>
        <w:rPr>
          <w:lang w:val="fr-FR"/>
        </w:rPr>
        <w:t> </w:t>
      </w:r>
      <w:r w:rsidRPr="006102DF">
        <w:rPr>
          <w:lang w:val="fr-FR"/>
        </w:rPr>
        <w:t>03 d</w:t>
      </w:r>
      <w:r>
        <w:rPr>
          <w:lang w:val="fr-FR"/>
        </w:rPr>
        <w:t>’</w:t>
      </w:r>
      <w:r w:rsidRPr="006102DF">
        <w:rPr>
          <w:lang w:val="fr-FR"/>
        </w:rPr>
        <w:t xml:space="preserve">amendements </w:t>
      </w:r>
      <w:r>
        <w:rPr>
          <w:lang w:val="fr-FR"/>
        </w:rPr>
        <w:br/>
      </w:r>
      <w:r w:rsidRPr="006102DF">
        <w:rPr>
          <w:lang w:val="fr-FR"/>
        </w:rPr>
        <w:t xml:space="preserve">au Règlement ONU </w:t>
      </w:r>
      <w:r w:rsidRPr="00DE61DA">
        <w:rPr>
          <w:rFonts w:eastAsia="MS Mincho"/>
          <w:lang w:val="fr-FR"/>
        </w:rPr>
        <w:t>n</w:t>
      </w:r>
      <w:r w:rsidRPr="00DE61DA">
        <w:rPr>
          <w:rFonts w:eastAsia="MS Mincho"/>
          <w:vertAlign w:val="superscript"/>
          <w:lang w:val="fr-FR"/>
        </w:rPr>
        <w:t>o</w:t>
      </w:r>
      <w:r>
        <w:rPr>
          <w:lang w:val="fr-FR"/>
        </w:rPr>
        <w:t xml:space="preserve"> </w:t>
      </w:r>
      <w:r w:rsidRPr="006102DF">
        <w:rPr>
          <w:lang w:val="fr-FR"/>
        </w:rPr>
        <w:t>74</w:t>
      </w:r>
    </w:p>
    <w:p w14:paraId="11D57F24" w14:textId="77777777" w:rsidR="00DE61DA" w:rsidRPr="006102DF" w:rsidRDefault="00DE61DA" w:rsidP="00DE61DA">
      <w:pPr>
        <w:pStyle w:val="SingleTxtG"/>
        <w:rPr>
          <w:bCs/>
          <w:lang w:val="fr-FR"/>
        </w:rPr>
      </w:pPr>
      <w:r w:rsidRPr="006102DF">
        <w:rPr>
          <w:i/>
          <w:iCs/>
          <w:lang w:val="fr-FR"/>
        </w:rPr>
        <w:t>Paragraphe</w:t>
      </w:r>
      <w:r>
        <w:rPr>
          <w:i/>
          <w:iCs/>
          <w:lang w:val="fr-FR"/>
        </w:rPr>
        <w:t> </w:t>
      </w:r>
      <w:r w:rsidRPr="006102DF">
        <w:rPr>
          <w:i/>
          <w:iCs/>
          <w:lang w:val="fr-FR"/>
        </w:rPr>
        <w:t>6.8.2</w:t>
      </w:r>
      <w:r w:rsidRPr="006102DF">
        <w:rPr>
          <w:lang w:val="fr-FR"/>
        </w:rPr>
        <w:t>, lire</w:t>
      </w:r>
      <w:r>
        <w:rPr>
          <w:lang w:val="fr-FR"/>
        </w:rPr>
        <w:t> </w:t>
      </w:r>
      <w:r w:rsidRPr="006102DF">
        <w:rPr>
          <w:lang w:val="fr-FR"/>
        </w:rPr>
        <w:t>:</w:t>
      </w:r>
    </w:p>
    <w:p w14:paraId="467B3602" w14:textId="77777777" w:rsidR="00DE61DA" w:rsidRPr="006102DF" w:rsidRDefault="00DE61DA" w:rsidP="00DE61DA">
      <w:pPr>
        <w:pStyle w:val="SingleTxtG"/>
        <w:ind w:left="2268" w:hanging="1134"/>
        <w:rPr>
          <w:lang w:val="fr-FR"/>
        </w:rPr>
      </w:pPr>
      <w:r w:rsidRPr="006102DF">
        <w:rPr>
          <w:lang w:val="fr-FR"/>
        </w:rPr>
        <w:t>« 6.8.2</w:t>
      </w:r>
      <w:r w:rsidRPr="006102DF">
        <w:rPr>
          <w:lang w:val="fr-FR"/>
        </w:rPr>
        <w:tab/>
        <w:t>Schéma de montage</w:t>
      </w:r>
    </w:p>
    <w:p w14:paraId="7FD3D1D3" w14:textId="2142BBD6" w:rsidR="00DE61DA" w:rsidRPr="006102DF" w:rsidRDefault="00DE61DA" w:rsidP="00DE61DA">
      <w:pPr>
        <w:pStyle w:val="SingleTxtG"/>
        <w:ind w:left="2268"/>
        <w:rPr>
          <w:b/>
          <w:bCs/>
          <w:strike/>
          <w:lang w:val="fr-FR"/>
        </w:rPr>
      </w:pPr>
      <w:r w:rsidRPr="006102DF">
        <w:rPr>
          <w:lang w:val="fr-FR"/>
        </w:rPr>
        <w:t>Deux indicateurs avant, homologués en tant que dispositifs de la catégorie</w:t>
      </w:r>
      <w:r>
        <w:rPr>
          <w:lang w:val="fr-FR"/>
        </w:rPr>
        <w:t> </w:t>
      </w:r>
      <w:r w:rsidRPr="006102DF">
        <w:rPr>
          <w:lang w:val="fr-FR"/>
        </w:rPr>
        <w:t>1, 1a ou 1b conformément à la série</w:t>
      </w:r>
      <w:r>
        <w:rPr>
          <w:lang w:val="fr-FR"/>
        </w:rPr>
        <w:t> </w:t>
      </w:r>
      <w:r w:rsidRPr="006102DF">
        <w:rPr>
          <w:lang w:val="fr-FR"/>
        </w:rPr>
        <w:t>01 ou à une série ultérieure d</w:t>
      </w:r>
      <w:r>
        <w:rPr>
          <w:lang w:val="fr-FR"/>
        </w:rPr>
        <w:t>’</w:t>
      </w:r>
      <w:r w:rsidRPr="006102DF">
        <w:rPr>
          <w:lang w:val="fr-FR"/>
        </w:rPr>
        <w:t xml:space="preserve">amendements au Règlement ONU </w:t>
      </w:r>
      <w:r w:rsidRPr="00DE61DA">
        <w:rPr>
          <w:rFonts w:eastAsia="MS Mincho"/>
          <w:lang w:val="fr-FR"/>
        </w:rPr>
        <w:t>n</w:t>
      </w:r>
      <w:r w:rsidRPr="00DE61DA">
        <w:rPr>
          <w:rFonts w:eastAsia="MS Mincho"/>
          <w:vertAlign w:val="superscript"/>
          <w:lang w:val="fr-FR"/>
        </w:rPr>
        <w:t>o</w:t>
      </w:r>
      <w:r w:rsidRPr="006102DF">
        <w:rPr>
          <w:lang w:val="fr-FR"/>
        </w:rPr>
        <w:t xml:space="preserve"> 6 ou à la série</w:t>
      </w:r>
      <w:r>
        <w:rPr>
          <w:lang w:val="fr-FR"/>
        </w:rPr>
        <w:t> </w:t>
      </w:r>
      <w:r w:rsidRPr="006102DF">
        <w:rPr>
          <w:lang w:val="fr-FR"/>
        </w:rPr>
        <w:t>00 ou à une série ultérieure d</w:t>
      </w:r>
      <w:r>
        <w:rPr>
          <w:lang w:val="fr-FR"/>
        </w:rPr>
        <w:t>’</w:t>
      </w:r>
      <w:r w:rsidRPr="006102DF">
        <w:rPr>
          <w:lang w:val="fr-FR"/>
        </w:rPr>
        <w:t xml:space="preserve">amendements au Règlement ONU </w:t>
      </w:r>
      <w:r w:rsidRPr="00DE61DA">
        <w:rPr>
          <w:rFonts w:eastAsia="MS Mincho"/>
          <w:lang w:val="fr-FR"/>
        </w:rPr>
        <w:t>n</w:t>
      </w:r>
      <w:r w:rsidRPr="00DE61DA">
        <w:rPr>
          <w:rFonts w:eastAsia="MS Mincho"/>
          <w:vertAlign w:val="superscript"/>
          <w:lang w:val="fr-FR"/>
        </w:rPr>
        <w:t>o</w:t>
      </w:r>
      <w:r>
        <w:rPr>
          <w:lang w:val="fr-FR"/>
        </w:rPr>
        <w:t xml:space="preserve"> </w:t>
      </w:r>
      <w:r w:rsidRPr="006102DF">
        <w:rPr>
          <w:lang w:val="fr-FR"/>
        </w:rPr>
        <w:t>148, ou de la catégorie</w:t>
      </w:r>
      <w:r>
        <w:rPr>
          <w:lang w:val="fr-FR"/>
        </w:rPr>
        <w:t> </w:t>
      </w:r>
      <w:r w:rsidRPr="006102DF">
        <w:rPr>
          <w:lang w:val="fr-FR"/>
        </w:rPr>
        <w:t>11, 11a, 11b ou 11c conformément à la série</w:t>
      </w:r>
      <w:r>
        <w:rPr>
          <w:lang w:val="fr-FR"/>
        </w:rPr>
        <w:t> 00</w:t>
      </w:r>
      <w:r w:rsidRPr="006102DF">
        <w:rPr>
          <w:lang w:val="fr-FR"/>
        </w:rPr>
        <w:t xml:space="preserve"> ou à une série ultérieure d</w:t>
      </w:r>
      <w:r>
        <w:rPr>
          <w:lang w:val="fr-FR"/>
        </w:rPr>
        <w:t>’</w:t>
      </w:r>
      <w:r w:rsidRPr="006102DF">
        <w:rPr>
          <w:lang w:val="fr-FR"/>
        </w:rPr>
        <w:t xml:space="preserve">amendements au Règlement ONU </w:t>
      </w:r>
      <w:r w:rsidRPr="00DE61DA">
        <w:rPr>
          <w:rFonts w:eastAsia="MS Mincho"/>
          <w:lang w:val="fr-FR"/>
        </w:rPr>
        <w:t>n</w:t>
      </w:r>
      <w:r w:rsidRPr="00DE61DA">
        <w:rPr>
          <w:rFonts w:eastAsia="MS Mincho"/>
          <w:vertAlign w:val="superscript"/>
          <w:lang w:val="fr-FR"/>
        </w:rPr>
        <w:t>o</w:t>
      </w:r>
      <w:r>
        <w:rPr>
          <w:lang w:val="fr-FR"/>
        </w:rPr>
        <w:t xml:space="preserve"> </w:t>
      </w:r>
      <w:r w:rsidRPr="006102DF">
        <w:rPr>
          <w:lang w:val="fr-FR"/>
        </w:rPr>
        <w:t xml:space="preserve">50 ou au Règlement ONU </w:t>
      </w:r>
      <w:r w:rsidRPr="00DE61DA">
        <w:rPr>
          <w:rFonts w:eastAsia="MS Mincho"/>
          <w:lang w:val="fr-FR"/>
        </w:rPr>
        <w:t>n</w:t>
      </w:r>
      <w:r w:rsidRPr="00DE61DA">
        <w:rPr>
          <w:rFonts w:eastAsia="MS Mincho"/>
          <w:vertAlign w:val="superscript"/>
          <w:lang w:val="fr-FR"/>
        </w:rPr>
        <w:t>o</w:t>
      </w:r>
      <w:r>
        <w:rPr>
          <w:lang w:val="fr-FR"/>
        </w:rPr>
        <w:t xml:space="preserve"> </w:t>
      </w:r>
      <w:r w:rsidRPr="006102DF">
        <w:rPr>
          <w:lang w:val="fr-FR"/>
        </w:rPr>
        <w:t>148.</w:t>
      </w:r>
    </w:p>
    <w:p w14:paraId="7C258974" w14:textId="4AC77DC1" w:rsidR="00DE61DA" w:rsidRPr="006102DF" w:rsidRDefault="00DE61DA" w:rsidP="00DE61DA">
      <w:pPr>
        <w:pStyle w:val="SingleTxtG"/>
        <w:ind w:left="2268"/>
        <w:rPr>
          <w:lang w:val="fr-FR"/>
        </w:rPr>
      </w:pPr>
      <w:r w:rsidRPr="006102DF">
        <w:rPr>
          <w:lang w:val="fr-FR"/>
        </w:rPr>
        <w:t>Deux indicateurs arrière, homologués en tant que dispositifs de la catégorie</w:t>
      </w:r>
      <w:r>
        <w:rPr>
          <w:lang w:val="fr-FR"/>
        </w:rPr>
        <w:t> </w:t>
      </w:r>
      <w:r w:rsidRPr="006102DF">
        <w:rPr>
          <w:lang w:val="fr-FR"/>
        </w:rPr>
        <w:t>2 conformément à la série</w:t>
      </w:r>
      <w:r>
        <w:rPr>
          <w:lang w:val="fr-FR"/>
        </w:rPr>
        <w:t> </w:t>
      </w:r>
      <w:r w:rsidRPr="006102DF">
        <w:rPr>
          <w:lang w:val="fr-FR"/>
        </w:rPr>
        <w:t>01 ou à une série ultérieure d</w:t>
      </w:r>
      <w:r>
        <w:rPr>
          <w:lang w:val="fr-FR"/>
        </w:rPr>
        <w:t>’</w:t>
      </w:r>
      <w:r w:rsidRPr="006102DF">
        <w:rPr>
          <w:lang w:val="fr-FR"/>
        </w:rPr>
        <w:t xml:space="preserve">amendements au Règlement ONU </w:t>
      </w:r>
      <w:r w:rsidRPr="00DE61DA">
        <w:rPr>
          <w:rFonts w:eastAsia="MS Mincho"/>
          <w:lang w:val="fr-FR"/>
        </w:rPr>
        <w:t>n</w:t>
      </w:r>
      <w:r w:rsidRPr="00DE61DA">
        <w:rPr>
          <w:rFonts w:eastAsia="MS Mincho"/>
          <w:vertAlign w:val="superscript"/>
          <w:lang w:val="fr-FR"/>
        </w:rPr>
        <w:t>o</w:t>
      </w:r>
      <w:r w:rsidRPr="006102DF">
        <w:rPr>
          <w:lang w:val="fr-FR"/>
        </w:rPr>
        <w:t xml:space="preserve"> 6 ou à la série</w:t>
      </w:r>
      <w:r>
        <w:rPr>
          <w:lang w:val="fr-FR"/>
        </w:rPr>
        <w:t> </w:t>
      </w:r>
      <w:r w:rsidRPr="006102DF">
        <w:rPr>
          <w:lang w:val="fr-FR"/>
        </w:rPr>
        <w:t>00 ou à une série ultérieure d</w:t>
      </w:r>
      <w:r>
        <w:rPr>
          <w:lang w:val="fr-FR"/>
        </w:rPr>
        <w:t>’</w:t>
      </w:r>
      <w:r w:rsidRPr="006102DF">
        <w:rPr>
          <w:lang w:val="fr-FR"/>
        </w:rPr>
        <w:t xml:space="preserve">amendements au Règlement ONU </w:t>
      </w:r>
      <w:r w:rsidRPr="00DE61DA">
        <w:rPr>
          <w:rFonts w:eastAsia="MS Mincho"/>
          <w:lang w:val="fr-FR"/>
        </w:rPr>
        <w:t>n</w:t>
      </w:r>
      <w:r w:rsidRPr="00DE61DA">
        <w:rPr>
          <w:rFonts w:eastAsia="MS Mincho"/>
          <w:vertAlign w:val="superscript"/>
          <w:lang w:val="fr-FR"/>
        </w:rPr>
        <w:t>o</w:t>
      </w:r>
      <w:r>
        <w:rPr>
          <w:lang w:val="fr-FR"/>
        </w:rPr>
        <w:t xml:space="preserve"> </w:t>
      </w:r>
      <w:r w:rsidRPr="006102DF">
        <w:rPr>
          <w:lang w:val="fr-FR"/>
        </w:rPr>
        <w:t>148, ou de la catégorie</w:t>
      </w:r>
      <w:r>
        <w:rPr>
          <w:lang w:val="fr-FR"/>
        </w:rPr>
        <w:t> </w:t>
      </w:r>
      <w:r w:rsidRPr="006102DF">
        <w:rPr>
          <w:lang w:val="fr-FR"/>
        </w:rPr>
        <w:t>12 conformément à la série</w:t>
      </w:r>
      <w:r>
        <w:rPr>
          <w:lang w:val="fr-FR"/>
        </w:rPr>
        <w:t> </w:t>
      </w:r>
      <w:r w:rsidRPr="006102DF">
        <w:rPr>
          <w:lang w:val="fr-FR"/>
        </w:rPr>
        <w:t>00 ou à une série ultérieure d</w:t>
      </w:r>
      <w:r>
        <w:rPr>
          <w:lang w:val="fr-FR"/>
        </w:rPr>
        <w:t>’</w:t>
      </w:r>
      <w:r w:rsidRPr="006102DF">
        <w:rPr>
          <w:lang w:val="fr-FR"/>
        </w:rPr>
        <w:t xml:space="preserve">amendements au Règlement ONU </w:t>
      </w:r>
      <w:r w:rsidRPr="00DE61DA">
        <w:rPr>
          <w:rFonts w:eastAsia="MS Mincho"/>
          <w:lang w:val="fr-FR"/>
        </w:rPr>
        <w:t>n</w:t>
      </w:r>
      <w:r w:rsidRPr="00DE61DA">
        <w:rPr>
          <w:rFonts w:eastAsia="MS Mincho"/>
          <w:vertAlign w:val="superscript"/>
          <w:lang w:val="fr-FR"/>
        </w:rPr>
        <w:t>o</w:t>
      </w:r>
      <w:r>
        <w:rPr>
          <w:lang w:val="fr-FR"/>
        </w:rPr>
        <w:t xml:space="preserve"> </w:t>
      </w:r>
      <w:r w:rsidRPr="006102DF">
        <w:rPr>
          <w:lang w:val="fr-FR"/>
        </w:rPr>
        <w:t xml:space="preserve">50 ou au Règlement ONU </w:t>
      </w:r>
      <w:r w:rsidRPr="00DE61DA">
        <w:rPr>
          <w:rFonts w:eastAsia="MS Mincho"/>
          <w:lang w:val="fr-FR"/>
        </w:rPr>
        <w:t>n</w:t>
      </w:r>
      <w:r w:rsidRPr="00DE61DA">
        <w:rPr>
          <w:rFonts w:eastAsia="MS Mincho"/>
          <w:vertAlign w:val="superscript"/>
          <w:lang w:val="fr-FR"/>
        </w:rPr>
        <w:t>o</w:t>
      </w:r>
      <w:r>
        <w:rPr>
          <w:lang w:val="fr-FR"/>
        </w:rPr>
        <w:t xml:space="preserve"> </w:t>
      </w:r>
      <w:r w:rsidRPr="006102DF">
        <w:rPr>
          <w:lang w:val="fr-FR"/>
        </w:rPr>
        <w:t>148.</w:t>
      </w:r>
    </w:p>
    <w:p w14:paraId="47172672" w14:textId="58DBBBF4" w:rsidR="00DE61DA" w:rsidRPr="006102DF" w:rsidRDefault="00DE61DA" w:rsidP="00DE61DA">
      <w:pPr>
        <w:pStyle w:val="SingleTxtG"/>
        <w:ind w:left="2268"/>
        <w:rPr>
          <w:lang w:val="fr-FR"/>
        </w:rPr>
      </w:pPr>
      <w:r w:rsidRPr="006102DF">
        <w:rPr>
          <w:b/>
          <w:bCs/>
          <w:lang w:val="fr-FR"/>
        </w:rPr>
        <w:t>Deux indicateurs avant facultatifs de la catégorie</w:t>
      </w:r>
      <w:r>
        <w:rPr>
          <w:b/>
          <w:bCs/>
          <w:lang w:val="fr-FR"/>
        </w:rPr>
        <w:t> </w:t>
      </w:r>
      <w:r w:rsidRPr="006102DF">
        <w:rPr>
          <w:b/>
          <w:bCs/>
          <w:lang w:val="fr-FR"/>
        </w:rPr>
        <w:t>11 et deux indicateurs arrière facultatifs de la catégorie</w:t>
      </w:r>
      <w:r>
        <w:rPr>
          <w:b/>
          <w:bCs/>
          <w:lang w:val="fr-FR"/>
        </w:rPr>
        <w:t> </w:t>
      </w:r>
      <w:r w:rsidRPr="006102DF">
        <w:rPr>
          <w:b/>
          <w:bCs/>
          <w:lang w:val="fr-FR"/>
        </w:rPr>
        <w:t>12 conformément à la série</w:t>
      </w:r>
      <w:r>
        <w:rPr>
          <w:b/>
          <w:bCs/>
          <w:lang w:val="fr-FR"/>
        </w:rPr>
        <w:t> </w:t>
      </w:r>
      <w:r w:rsidRPr="006102DF">
        <w:rPr>
          <w:b/>
          <w:bCs/>
          <w:lang w:val="fr-FR"/>
        </w:rPr>
        <w:t>01 ou à une série ultérieure d</w:t>
      </w:r>
      <w:r>
        <w:rPr>
          <w:b/>
          <w:bCs/>
          <w:lang w:val="fr-FR"/>
        </w:rPr>
        <w:t>’</w:t>
      </w:r>
      <w:r w:rsidRPr="006102DF">
        <w:rPr>
          <w:b/>
          <w:bCs/>
          <w:lang w:val="fr-FR"/>
        </w:rPr>
        <w:t xml:space="preserve">amendements au Règlement ONU </w:t>
      </w:r>
      <w:r w:rsidRPr="00DE61DA">
        <w:rPr>
          <w:rFonts w:eastAsia="MS Mincho"/>
          <w:b/>
          <w:bCs/>
          <w:lang w:val="fr-FR"/>
        </w:rPr>
        <w:t>n</w:t>
      </w:r>
      <w:r w:rsidRPr="00DE61DA">
        <w:rPr>
          <w:rFonts w:eastAsia="MS Mincho"/>
          <w:b/>
          <w:bCs/>
          <w:vertAlign w:val="superscript"/>
          <w:lang w:val="fr-FR"/>
        </w:rPr>
        <w:t>o</w:t>
      </w:r>
      <w:r>
        <w:rPr>
          <w:b/>
          <w:bCs/>
          <w:lang w:val="fr-FR"/>
        </w:rPr>
        <w:t xml:space="preserve"> </w:t>
      </w:r>
      <w:r w:rsidRPr="006102DF">
        <w:rPr>
          <w:b/>
          <w:bCs/>
          <w:lang w:val="fr-FR"/>
        </w:rPr>
        <w:t>148.</w:t>
      </w:r>
      <w:r w:rsidRPr="006102DF">
        <w:rPr>
          <w:bCs/>
          <w:lang w:val="fr-FR"/>
        </w:rPr>
        <w:t> »</w:t>
      </w:r>
      <w:r>
        <w:rPr>
          <w:bCs/>
          <w:lang w:val="fr-FR"/>
        </w:rPr>
        <w:t>.</w:t>
      </w:r>
    </w:p>
    <w:p w14:paraId="5E2AAE44" w14:textId="77777777" w:rsidR="00DE61DA" w:rsidRPr="006102DF" w:rsidRDefault="00DE61DA" w:rsidP="00DE61DA">
      <w:pPr>
        <w:pStyle w:val="SingleTxtG"/>
        <w:rPr>
          <w:lang w:val="fr-FR"/>
        </w:rPr>
      </w:pPr>
      <w:r w:rsidRPr="006102DF">
        <w:rPr>
          <w:i/>
          <w:iCs/>
          <w:lang w:val="fr-FR"/>
        </w:rPr>
        <w:t>Paragraphe</w:t>
      </w:r>
      <w:r>
        <w:rPr>
          <w:i/>
          <w:iCs/>
          <w:lang w:val="fr-FR"/>
        </w:rPr>
        <w:t> </w:t>
      </w:r>
      <w:r w:rsidRPr="006102DF">
        <w:rPr>
          <w:i/>
          <w:iCs/>
          <w:lang w:val="fr-FR"/>
        </w:rPr>
        <w:t>6.8.3.3</w:t>
      </w:r>
      <w:r w:rsidRPr="006102DF">
        <w:rPr>
          <w:lang w:val="fr-FR"/>
        </w:rPr>
        <w:t>, lire</w:t>
      </w:r>
      <w:r>
        <w:rPr>
          <w:lang w:val="fr-FR"/>
        </w:rPr>
        <w:t> </w:t>
      </w:r>
      <w:r w:rsidRPr="006102DF">
        <w:rPr>
          <w:lang w:val="fr-FR"/>
        </w:rPr>
        <w:t>:</w:t>
      </w:r>
    </w:p>
    <w:p w14:paraId="266C5227" w14:textId="77777777" w:rsidR="00DE61DA" w:rsidRPr="006102DF" w:rsidRDefault="00DE61DA" w:rsidP="00DE61DA">
      <w:pPr>
        <w:pStyle w:val="SingleTxtG"/>
        <w:ind w:left="2268" w:hanging="1134"/>
        <w:rPr>
          <w:iCs/>
          <w:kern w:val="2"/>
          <w:lang w:val="fr-FR"/>
        </w:rPr>
      </w:pPr>
      <w:r w:rsidRPr="006102DF">
        <w:rPr>
          <w:lang w:val="fr-FR"/>
        </w:rPr>
        <w:t>« 6.8.3.3</w:t>
      </w:r>
      <w:r w:rsidRPr="006102DF">
        <w:rPr>
          <w:lang w:val="fr-FR"/>
        </w:rPr>
        <w:tab/>
        <w:t>En longueur</w:t>
      </w:r>
      <w:r>
        <w:rPr>
          <w:lang w:val="fr-FR"/>
        </w:rPr>
        <w:t> </w:t>
      </w:r>
      <w:r w:rsidRPr="006102DF">
        <w:rPr>
          <w:lang w:val="fr-FR"/>
        </w:rPr>
        <w:t>: la distance vers l</w:t>
      </w:r>
      <w:r>
        <w:rPr>
          <w:lang w:val="fr-FR"/>
        </w:rPr>
        <w:t>’</w:t>
      </w:r>
      <w:r w:rsidRPr="006102DF">
        <w:rPr>
          <w:lang w:val="fr-FR"/>
        </w:rPr>
        <w:t>avant entre le plan transversal correspondant à l</w:t>
      </w:r>
      <w:r>
        <w:rPr>
          <w:lang w:val="fr-FR"/>
        </w:rPr>
        <w:t>’</w:t>
      </w:r>
      <w:r w:rsidRPr="006102DF">
        <w:rPr>
          <w:lang w:val="fr-FR"/>
        </w:rPr>
        <w:t>extrémité arrière de la longueur hors tout du véhicule et le centre de référence des indicateurs arrière ne doit pas être supérieure à 300</w:t>
      </w:r>
      <w:r>
        <w:rPr>
          <w:lang w:val="fr-FR"/>
        </w:rPr>
        <w:t> </w:t>
      </w:r>
      <w:proofErr w:type="spellStart"/>
      <w:r w:rsidRPr="006102DF">
        <w:rPr>
          <w:lang w:val="fr-FR"/>
        </w:rPr>
        <w:t>mm.</w:t>
      </w:r>
      <w:proofErr w:type="spellEnd"/>
      <w:r w:rsidRPr="006102DF">
        <w:rPr>
          <w:lang w:val="fr-FR"/>
        </w:rPr>
        <w:t xml:space="preserve"> </w:t>
      </w:r>
      <w:r w:rsidRPr="006102DF">
        <w:rPr>
          <w:b/>
          <w:bCs/>
          <w:lang w:val="fr-FR"/>
        </w:rPr>
        <w:t>Cette condition ne s</w:t>
      </w:r>
      <w:r>
        <w:rPr>
          <w:b/>
          <w:bCs/>
          <w:lang w:val="fr-FR"/>
        </w:rPr>
        <w:t>’</w:t>
      </w:r>
      <w:r w:rsidRPr="006102DF">
        <w:rPr>
          <w:b/>
          <w:bCs/>
          <w:lang w:val="fr-FR"/>
        </w:rPr>
        <w:t>applique pas aux indicateurs arrière facultatifs. </w:t>
      </w:r>
      <w:r w:rsidRPr="003476E5">
        <w:rPr>
          <w:lang w:val="fr-FR"/>
        </w:rPr>
        <w:t>»</w:t>
      </w:r>
      <w:r>
        <w:rPr>
          <w:lang w:val="fr-FR"/>
        </w:rPr>
        <w:t>.</w:t>
      </w:r>
    </w:p>
    <w:p w14:paraId="249867C7" w14:textId="77777777" w:rsidR="00DE61DA" w:rsidRPr="006102DF" w:rsidRDefault="00DE61DA" w:rsidP="00DE61DA">
      <w:pPr>
        <w:pStyle w:val="SingleTxtG"/>
        <w:rPr>
          <w:lang w:val="fr-FR"/>
        </w:rPr>
      </w:pPr>
      <w:r w:rsidRPr="006102DF">
        <w:rPr>
          <w:i/>
          <w:iCs/>
          <w:lang w:val="fr-FR"/>
        </w:rPr>
        <w:t>Paragraphe</w:t>
      </w:r>
      <w:r>
        <w:rPr>
          <w:i/>
          <w:iCs/>
          <w:lang w:val="fr-FR"/>
        </w:rPr>
        <w:t> </w:t>
      </w:r>
      <w:r w:rsidRPr="006102DF">
        <w:rPr>
          <w:i/>
          <w:iCs/>
          <w:lang w:val="fr-FR"/>
        </w:rPr>
        <w:t>6.8.5</w:t>
      </w:r>
      <w:r w:rsidRPr="006102DF">
        <w:rPr>
          <w:lang w:val="fr-FR"/>
        </w:rPr>
        <w:t>, lire</w:t>
      </w:r>
      <w:r>
        <w:rPr>
          <w:lang w:val="fr-FR"/>
        </w:rPr>
        <w:t> </w:t>
      </w:r>
      <w:r w:rsidRPr="006102DF">
        <w:rPr>
          <w:lang w:val="fr-FR"/>
        </w:rPr>
        <w:t>:</w:t>
      </w:r>
    </w:p>
    <w:p w14:paraId="05D20D52" w14:textId="77777777" w:rsidR="00DE61DA" w:rsidRPr="006102DF" w:rsidRDefault="00DE61DA" w:rsidP="00DE61DA">
      <w:pPr>
        <w:pStyle w:val="SingleTxtG"/>
        <w:ind w:left="2268" w:hanging="1134"/>
        <w:rPr>
          <w:iCs/>
          <w:kern w:val="2"/>
          <w:lang w:val="fr-FR"/>
        </w:rPr>
      </w:pPr>
      <w:r w:rsidRPr="006102DF">
        <w:rPr>
          <w:lang w:val="fr-FR"/>
        </w:rPr>
        <w:t>« 6.8.5</w:t>
      </w:r>
      <w:r w:rsidRPr="006102DF">
        <w:rPr>
          <w:lang w:val="fr-FR"/>
        </w:rPr>
        <w:tab/>
        <w:t>Orientation</w:t>
      </w:r>
    </w:p>
    <w:p w14:paraId="6655B5F7" w14:textId="77777777" w:rsidR="00DE61DA" w:rsidRPr="006102DF" w:rsidRDefault="00DE61DA" w:rsidP="00DE61DA">
      <w:pPr>
        <w:pStyle w:val="SingleTxtG"/>
        <w:ind w:left="2268"/>
        <w:rPr>
          <w:iCs/>
          <w:kern w:val="2"/>
          <w:lang w:val="fr-FR"/>
        </w:rPr>
      </w:pPr>
      <w:r w:rsidRPr="006102DF">
        <w:rPr>
          <w:lang w:val="fr-FR"/>
        </w:rPr>
        <w:tab/>
        <w:t xml:space="preserve">Les </w:t>
      </w:r>
      <w:r>
        <w:rPr>
          <w:lang w:val="fr-FR"/>
        </w:rPr>
        <w:t>indicateurs</w:t>
      </w:r>
      <w:r w:rsidRPr="006102DF">
        <w:rPr>
          <w:lang w:val="fr-FR"/>
        </w:rPr>
        <w:t xml:space="preserve"> avant </w:t>
      </w:r>
      <w:r w:rsidRPr="006102DF">
        <w:rPr>
          <w:b/>
          <w:bCs/>
          <w:lang w:val="fr-FR"/>
        </w:rPr>
        <w:t xml:space="preserve">et les indicateurs arrière facultatifs </w:t>
      </w:r>
      <w:r w:rsidRPr="006102DF">
        <w:rPr>
          <w:lang w:val="fr-FR"/>
        </w:rPr>
        <w:t>peuvent pivoter en fonction du braquage de la direction. »</w:t>
      </w:r>
      <w:r>
        <w:rPr>
          <w:lang w:val="fr-FR"/>
        </w:rPr>
        <w:t>.</w:t>
      </w:r>
    </w:p>
    <w:p w14:paraId="0132A0E5" w14:textId="77777777" w:rsidR="00DE61DA" w:rsidRPr="006102DF" w:rsidRDefault="00DE61DA" w:rsidP="00DE61DA">
      <w:pPr>
        <w:pStyle w:val="SingleTxtG"/>
        <w:rPr>
          <w:iCs/>
          <w:kern w:val="2"/>
          <w:lang w:val="fr-FR"/>
        </w:rPr>
      </w:pPr>
      <w:r w:rsidRPr="006102DF">
        <w:rPr>
          <w:i/>
          <w:iCs/>
          <w:lang w:val="fr-FR"/>
        </w:rPr>
        <w:t xml:space="preserve">Ajouter </w:t>
      </w:r>
      <w:r>
        <w:rPr>
          <w:i/>
          <w:iCs/>
          <w:lang w:val="fr-FR"/>
        </w:rPr>
        <w:t>le</w:t>
      </w:r>
      <w:r w:rsidRPr="006102DF">
        <w:rPr>
          <w:i/>
          <w:iCs/>
          <w:lang w:val="fr-FR"/>
        </w:rPr>
        <w:t xml:space="preserve"> nouveau paragraphe</w:t>
      </w:r>
      <w:r>
        <w:rPr>
          <w:i/>
          <w:iCs/>
          <w:lang w:val="fr-FR"/>
        </w:rPr>
        <w:t> </w:t>
      </w:r>
      <w:r w:rsidRPr="006102DF">
        <w:rPr>
          <w:i/>
          <w:iCs/>
          <w:lang w:val="fr-FR"/>
        </w:rPr>
        <w:t>6.8.8</w:t>
      </w:r>
      <w:r w:rsidRPr="006102DF">
        <w:rPr>
          <w:lang w:val="fr-FR"/>
        </w:rPr>
        <w:t>, libellé comme suit</w:t>
      </w:r>
      <w:r>
        <w:rPr>
          <w:lang w:val="fr-FR"/>
        </w:rPr>
        <w:t> </w:t>
      </w:r>
      <w:r w:rsidRPr="006102DF">
        <w:rPr>
          <w:lang w:val="fr-FR"/>
        </w:rPr>
        <w:t>:</w:t>
      </w:r>
    </w:p>
    <w:p w14:paraId="0E5334B5" w14:textId="77777777" w:rsidR="00DE61DA" w:rsidRPr="006102DF" w:rsidRDefault="00DE61DA" w:rsidP="00DE61DA">
      <w:pPr>
        <w:pStyle w:val="SingleTxtG"/>
        <w:ind w:left="2268" w:hanging="1134"/>
        <w:rPr>
          <w:iCs/>
          <w:kern w:val="2"/>
          <w:lang w:val="fr-FR"/>
        </w:rPr>
      </w:pPr>
      <w:r w:rsidRPr="00DE61DA">
        <w:rPr>
          <w:lang w:val="fr-FR"/>
        </w:rPr>
        <w:t>«</w:t>
      </w:r>
      <w:r w:rsidRPr="006102DF">
        <w:rPr>
          <w:b/>
          <w:bCs/>
          <w:lang w:val="fr-FR"/>
        </w:rPr>
        <w:t> 6.8.8</w:t>
      </w:r>
      <w:r w:rsidRPr="006102DF">
        <w:rPr>
          <w:lang w:val="fr-FR"/>
        </w:rPr>
        <w:tab/>
      </w:r>
      <w:r w:rsidRPr="006102DF">
        <w:rPr>
          <w:b/>
          <w:bCs/>
          <w:lang w:val="fr-FR"/>
        </w:rPr>
        <w:t>L</w:t>
      </w:r>
      <w:r>
        <w:rPr>
          <w:b/>
          <w:bCs/>
          <w:lang w:val="fr-FR"/>
        </w:rPr>
        <w:t>’</w:t>
      </w:r>
      <w:r w:rsidRPr="006102DF">
        <w:rPr>
          <w:b/>
          <w:bCs/>
          <w:lang w:val="fr-FR"/>
        </w:rPr>
        <w:t>indicateur avant de la catégorie</w:t>
      </w:r>
      <w:r>
        <w:rPr>
          <w:b/>
          <w:bCs/>
          <w:lang w:val="fr-FR"/>
        </w:rPr>
        <w:t> </w:t>
      </w:r>
      <w:r w:rsidRPr="006102DF">
        <w:rPr>
          <w:b/>
          <w:bCs/>
          <w:lang w:val="fr-FR"/>
        </w:rPr>
        <w:t>11 peut être groupé ou combiné avec l</w:t>
      </w:r>
      <w:r>
        <w:rPr>
          <w:b/>
          <w:bCs/>
          <w:lang w:val="fr-FR"/>
        </w:rPr>
        <w:t>’</w:t>
      </w:r>
      <w:r w:rsidRPr="006102DF">
        <w:rPr>
          <w:b/>
          <w:bCs/>
          <w:lang w:val="fr-FR"/>
        </w:rPr>
        <w:t>indicateur arrière facultatif de la catégorie</w:t>
      </w:r>
      <w:r>
        <w:rPr>
          <w:b/>
          <w:bCs/>
          <w:lang w:val="fr-FR"/>
        </w:rPr>
        <w:t> </w:t>
      </w:r>
      <w:r w:rsidRPr="006102DF">
        <w:rPr>
          <w:b/>
          <w:bCs/>
          <w:lang w:val="fr-FR"/>
        </w:rPr>
        <w:t>12</w:t>
      </w:r>
      <w:r w:rsidRPr="006102DF">
        <w:rPr>
          <w:b/>
          <w:bCs/>
          <w:vertAlign w:val="superscript"/>
          <w:lang w:val="fr-FR"/>
        </w:rPr>
        <w:t>1</w:t>
      </w:r>
      <w:r w:rsidRPr="00790D97">
        <w:rPr>
          <w:b/>
          <w:bCs/>
          <w:lang w:val="fr-FR"/>
        </w:rPr>
        <w:t>.</w:t>
      </w:r>
      <w:r w:rsidRPr="006102DF">
        <w:rPr>
          <w:lang w:val="fr-FR"/>
        </w:rPr>
        <w:t> »</w:t>
      </w:r>
      <w:r>
        <w:rPr>
          <w:lang w:val="fr-FR"/>
        </w:rPr>
        <w:t>.</w:t>
      </w:r>
    </w:p>
    <w:p w14:paraId="2919AA1F" w14:textId="77777777" w:rsidR="00DE61DA" w:rsidRPr="006102DF" w:rsidRDefault="00DE61DA" w:rsidP="00DE61DA">
      <w:pPr>
        <w:pStyle w:val="SingleTxtG"/>
        <w:rPr>
          <w:iCs/>
          <w:kern w:val="2"/>
          <w:lang w:val="fr-FR"/>
        </w:rPr>
      </w:pPr>
      <w:r w:rsidRPr="006102DF">
        <w:rPr>
          <w:i/>
          <w:iCs/>
          <w:lang w:val="fr-FR"/>
        </w:rPr>
        <w:t>Ajouter une nouvelle note de bas de page</w:t>
      </w:r>
      <w:r w:rsidRPr="006102DF">
        <w:rPr>
          <w:lang w:val="fr-FR"/>
        </w:rPr>
        <w:t>, libellée comme suit :</w:t>
      </w:r>
    </w:p>
    <w:p w14:paraId="58A0263D" w14:textId="00C65A4F" w:rsidR="00DE61DA" w:rsidRPr="006102DF" w:rsidRDefault="00DE61DA" w:rsidP="00DE61DA">
      <w:pPr>
        <w:pStyle w:val="SingleTxtG"/>
        <w:ind w:hanging="567"/>
        <w:rPr>
          <w:iCs/>
          <w:kern w:val="2"/>
          <w:lang w:val="fr-FR"/>
        </w:rPr>
      </w:pPr>
      <w:r w:rsidRPr="006102DF">
        <w:rPr>
          <w:iCs/>
          <w:kern w:val="2"/>
          <w:lang w:val="fr-FR" w:eastAsia="ja-JP"/>
        </w:rPr>
        <w:tab/>
        <w:t>« </w:t>
      </w:r>
      <w:r w:rsidRPr="00DE61DA">
        <w:rPr>
          <w:b/>
          <w:bCs/>
          <w:sz w:val="18"/>
          <w:szCs w:val="18"/>
          <w:vertAlign w:val="superscript"/>
          <w:lang w:val="fr-FR"/>
        </w:rPr>
        <w:t>1</w:t>
      </w:r>
      <w:r w:rsidRPr="00DE61DA">
        <w:rPr>
          <w:sz w:val="18"/>
          <w:szCs w:val="18"/>
          <w:vertAlign w:val="superscript"/>
          <w:lang w:val="fr-FR"/>
        </w:rPr>
        <w:t xml:space="preserve"> </w:t>
      </w:r>
      <w:r w:rsidRPr="00DE61DA">
        <w:rPr>
          <w:sz w:val="18"/>
          <w:szCs w:val="18"/>
          <w:vertAlign w:val="superscript"/>
          <w:lang w:val="fr-FR"/>
        </w:rPr>
        <w:t xml:space="preserve"> </w:t>
      </w:r>
      <w:r w:rsidRPr="00DE61DA">
        <w:rPr>
          <w:b/>
          <w:bCs/>
          <w:sz w:val="18"/>
          <w:szCs w:val="18"/>
          <w:lang w:val="fr-FR"/>
        </w:rPr>
        <w:t>La distance minimale avec</w:t>
      </w:r>
      <w:r w:rsidRPr="00DE61DA">
        <w:rPr>
          <w:sz w:val="18"/>
          <w:szCs w:val="18"/>
          <w:lang w:val="fr-FR"/>
        </w:rPr>
        <w:t xml:space="preserve"> </w:t>
      </w:r>
      <w:r w:rsidRPr="00DE61DA">
        <w:rPr>
          <w:b/>
          <w:bCs/>
          <w:sz w:val="18"/>
          <w:szCs w:val="18"/>
          <w:lang w:val="fr-FR"/>
        </w:rPr>
        <w:t>le centre de référence de l’indicateur arrière facultatif installé sur le guidon ne doit pas être inférieure à 550 </w:t>
      </w:r>
      <w:proofErr w:type="spellStart"/>
      <w:r w:rsidRPr="00DE61DA">
        <w:rPr>
          <w:b/>
          <w:bCs/>
          <w:sz w:val="18"/>
          <w:szCs w:val="18"/>
          <w:lang w:val="fr-FR"/>
        </w:rPr>
        <w:t>mm.</w:t>
      </w:r>
      <w:proofErr w:type="spellEnd"/>
      <w:r w:rsidRPr="006102DF">
        <w:rPr>
          <w:lang w:val="fr-FR"/>
        </w:rPr>
        <w:t> </w:t>
      </w:r>
      <w:r w:rsidRPr="00126C0E">
        <w:rPr>
          <w:lang w:val="fr-FR"/>
        </w:rPr>
        <w:t>»</w:t>
      </w:r>
      <w:r>
        <w:rPr>
          <w:lang w:val="fr-FR"/>
        </w:rPr>
        <w:t>.</w:t>
      </w:r>
    </w:p>
    <w:p w14:paraId="12E7D27C" w14:textId="77777777" w:rsidR="00DE61DA" w:rsidRPr="006102DF" w:rsidRDefault="00DE61DA" w:rsidP="00DE61DA">
      <w:pPr>
        <w:pStyle w:val="SingleTxtG"/>
        <w:rPr>
          <w:bCs/>
        </w:rPr>
      </w:pPr>
      <w:r w:rsidRPr="006102DF">
        <w:rPr>
          <w:bCs/>
          <w:i/>
          <w:iCs/>
        </w:rPr>
        <w:t>Paragraphe</w:t>
      </w:r>
      <w:r>
        <w:rPr>
          <w:bCs/>
          <w:i/>
          <w:iCs/>
        </w:rPr>
        <w:t> </w:t>
      </w:r>
      <w:r w:rsidRPr="006102DF">
        <w:rPr>
          <w:bCs/>
          <w:i/>
          <w:iCs/>
        </w:rPr>
        <w:t>6.8.8 et suivants</w:t>
      </w:r>
      <w:r w:rsidRPr="006102DF">
        <w:rPr>
          <w:bCs/>
        </w:rPr>
        <w:t>, renuméroter comme suit</w:t>
      </w:r>
      <w:r>
        <w:rPr>
          <w:bCs/>
        </w:rPr>
        <w:t> </w:t>
      </w:r>
      <w:r w:rsidRPr="006102DF">
        <w:rPr>
          <w:bCs/>
        </w:rPr>
        <w:t>:</w:t>
      </w:r>
    </w:p>
    <w:p w14:paraId="62829272" w14:textId="548333EF" w:rsidR="00DE61DA" w:rsidRPr="006102DF" w:rsidRDefault="00DE61DA" w:rsidP="00DE61DA">
      <w:pPr>
        <w:pStyle w:val="SingleTxtG"/>
        <w:ind w:left="2268" w:hanging="1134"/>
        <w:rPr>
          <w:lang w:val="fr-FR"/>
        </w:rPr>
      </w:pPr>
      <w:r w:rsidRPr="006102DF">
        <w:rPr>
          <w:lang w:val="fr-FR"/>
        </w:rPr>
        <w:t>« 6.8.</w:t>
      </w:r>
      <w:r w:rsidRPr="006102DF">
        <w:rPr>
          <w:strike/>
          <w:lang w:val="fr-FR"/>
        </w:rPr>
        <w:t>8</w:t>
      </w:r>
      <w:r w:rsidRPr="006102DF">
        <w:rPr>
          <w:b/>
          <w:bCs/>
          <w:lang w:val="fr-FR"/>
        </w:rPr>
        <w:t>9</w:t>
      </w:r>
      <w:r w:rsidRPr="006102DF">
        <w:rPr>
          <w:lang w:val="fr-FR"/>
        </w:rPr>
        <w:tab/>
        <w:t>Branchements électriques</w:t>
      </w:r>
    </w:p>
    <w:p w14:paraId="4639107B" w14:textId="77777777" w:rsidR="00DE61DA" w:rsidRPr="006102DF" w:rsidRDefault="00DE61DA" w:rsidP="00DE61DA">
      <w:pPr>
        <w:pStyle w:val="SingleTxtG"/>
        <w:ind w:left="2268"/>
        <w:rPr>
          <w:lang w:val="fr-FR"/>
        </w:rPr>
      </w:pPr>
      <w:r w:rsidRPr="006102DF">
        <w:rPr>
          <w:lang w:val="fr-FR"/>
        </w:rPr>
        <w:tab/>
        <w:t>L</w:t>
      </w:r>
      <w:r>
        <w:rPr>
          <w:lang w:val="fr-FR"/>
        </w:rPr>
        <w:t>’</w:t>
      </w:r>
      <w:r w:rsidRPr="006102DF">
        <w:rPr>
          <w:lang w:val="fr-FR"/>
        </w:rPr>
        <w:t>allumage des feux</w:t>
      </w:r>
      <w:r>
        <w:rPr>
          <w:lang w:val="fr-FR"/>
        </w:rPr>
        <w:t xml:space="preserve"> </w:t>
      </w:r>
      <w:r w:rsidRPr="006102DF">
        <w:rPr>
          <w:lang w:val="fr-FR"/>
        </w:rPr>
        <w:t>indicateurs de direction est indépendant de celui des autres feux. Tous les indicateurs de direction situés sur un même côté du véhicule sont allumés et éteints par la même commande.</w:t>
      </w:r>
    </w:p>
    <w:p w14:paraId="163A1C32" w14:textId="486C2A3F" w:rsidR="00DE61DA" w:rsidRPr="006102DF" w:rsidRDefault="00DE61DA" w:rsidP="00DE61DA">
      <w:pPr>
        <w:pStyle w:val="SingleTxtG"/>
        <w:ind w:left="2268" w:hanging="1134"/>
        <w:rPr>
          <w:lang w:val="fr-FR"/>
        </w:rPr>
      </w:pPr>
      <w:r w:rsidRPr="006102DF">
        <w:rPr>
          <w:lang w:val="fr-FR"/>
        </w:rPr>
        <w:t>6.8.</w:t>
      </w:r>
      <w:bookmarkStart w:id="0" w:name="_Hlk158741369"/>
      <w:r w:rsidRPr="006102DF">
        <w:rPr>
          <w:strike/>
          <w:lang w:val="fr-FR"/>
        </w:rPr>
        <w:t>9</w:t>
      </w:r>
      <w:r w:rsidRPr="006102DF">
        <w:rPr>
          <w:b/>
          <w:lang w:val="fr-FR"/>
        </w:rPr>
        <w:t>10</w:t>
      </w:r>
      <w:bookmarkEnd w:id="0"/>
      <w:r w:rsidRPr="006102DF">
        <w:rPr>
          <w:lang w:val="fr-FR"/>
        </w:rPr>
        <w:tab/>
        <w:t>Autres prescriptions</w:t>
      </w:r>
    </w:p>
    <w:p w14:paraId="4E587804" w14:textId="77777777" w:rsidR="00DE61DA" w:rsidRPr="006102DF" w:rsidRDefault="00DE61DA" w:rsidP="00DE61DA">
      <w:pPr>
        <w:pStyle w:val="SingleTxtG"/>
        <w:ind w:left="2268"/>
        <w:rPr>
          <w:lang w:val="fr-FR"/>
        </w:rPr>
      </w:pPr>
      <w:r w:rsidRPr="006102DF">
        <w:rPr>
          <w:lang w:val="fr-FR"/>
        </w:rPr>
        <w:tab/>
        <w:t>Les caractéristiques ci-après doivent être contrôlées alors que le circuit électrique n</w:t>
      </w:r>
      <w:r>
        <w:rPr>
          <w:lang w:val="fr-FR"/>
        </w:rPr>
        <w:t>’</w:t>
      </w:r>
      <w:r w:rsidRPr="006102DF">
        <w:rPr>
          <w:lang w:val="fr-FR"/>
        </w:rPr>
        <w:t>alimente que des accessoires indispensables au fonctionnement du moteur et des dispositifs d</w:t>
      </w:r>
      <w:r>
        <w:rPr>
          <w:lang w:val="fr-FR"/>
        </w:rPr>
        <w:t>’</w:t>
      </w:r>
      <w:r w:rsidRPr="006102DF">
        <w:rPr>
          <w:lang w:val="fr-FR"/>
        </w:rPr>
        <w:t>éclairage.</w:t>
      </w:r>
    </w:p>
    <w:p w14:paraId="330100BA" w14:textId="5D7D4857" w:rsidR="00DE61DA" w:rsidRPr="006102DF" w:rsidRDefault="00DE61DA" w:rsidP="00DE61DA">
      <w:pPr>
        <w:pStyle w:val="SingleTxtG"/>
        <w:ind w:left="2268" w:hanging="1134"/>
        <w:rPr>
          <w:lang w:val="fr-FR"/>
        </w:rPr>
      </w:pPr>
      <w:r w:rsidRPr="006102DF">
        <w:rPr>
          <w:lang w:val="fr-FR"/>
        </w:rPr>
        <w:t>6.8.</w:t>
      </w:r>
      <w:r w:rsidRPr="006102DF">
        <w:rPr>
          <w:strike/>
          <w:lang w:val="fr-FR"/>
        </w:rPr>
        <w:t>9</w:t>
      </w:r>
      <w:r w:rsidRPr="006102DF">
        <w:rPr>
          <w:b/>
          <w:lang w:val="fr-FR"/>
        </w:rPr>
        <w:t>10</w:t>
      </w:r>
      <w:r w:rsidRPr="006102DF">
        <w:rPr>
          <w:lang w:val="fr-FR"/>
        </w:rPr>
        <w:t>.1</w:t>
      </w:r>
      <w:r w:rsidRPr="006102DF">
        <w:rPr>
          <w:lang w:val="fr-FR"/>
        </w:rPr>
        <w:tab/>
        <w:t xml:space="preserve">Dans le cas des véhicules sur lesquels les feux indicateurs de direction sont alimentés en courant continu, la fréquence de clignotement doit être de 90 </w:t>
      </w:r>
      <w:r w:rsidR="007043C3">
        <w:rPr>
          <w:lang w:val="fr-FR"/>
        </w:rPr>
        <w:sym w:font="Symbol" w:char="F0B1"/>
      </w:r>
      <w:r w:rsidRPr="003476E5">
        <w:rPr>
          <w:lang w:val="fr-FR"/>
        </w:rPr>
        <w:t xml:space="preserve"> </w:t>
      </w:r>
      <w:r w:rsidRPr="006102DF">
        <w:rPr>
          <w:lang w:val="fr-FR"/>
        </w:rPr>
        <w:t>30</w:t>
      </w:r>
      <w:r>
        <w:rPr>
          <w:lang w:val="fr-FR"/>
        </w:rPr>
        <w:t> </w:t>
      </w:r>
      <w:r w:rsidRPr="006102DF">
        <w:rPr>
          <w:lang w:val="fr-FR"/>
        </w:rPr>
        <w:t>périodes par minute.</w:t>
      </w:r>
    </w:p>
    <w:p w14:paraId="4885C027" w14:textId="2A4D0886" w:rsidR="00DE61DA" w:rsidRPr="006102DF" w:rsidRDefault="00DE61DA" w:rsidP="00DE61DA">
      <w:pPr>
        <w:pStyle w:val="SingleTxtG"/>
        <w:ind w:left="2268" w:hanging="1134"/>
        <w:rPr>
          <w:lang w:val="fr-FR"/>
        </w:rPr>
      </w:pPr>
      <w:r w:rsidRPr="006102DF">
        <w:rPr>
          <w:lang w:val="fr-FR"/>
        </w:rPr>
        <w:t>6.8.</w:t>
      </w:r>
      <w:r w:rsidRPr="006102DF">
        <w:rPr>
          <w:strike/>
          <w:lang w:val="fr-FR"/>
        </w:rPr>
        <w:t>9</w:t>
      </w:r>
      <w:r w:rsidRPr="006102DF">
        <w:rPr>
          <w:b/>
          <w:lang w:val="fr-FR"/>
        </w:rPr>
        <w:t>10</w:t>
      </w:r>
      <w:r w:rsidRPr="006102DF">
        <w:rPr>
          <w:lang w:val="fr-FR"/>
        </w:rPr>
        <w:t>.1.1</w:t>
      </w:r>
      <w:r w:rsidRPr="006102DF">
        <w:rPr>
          <w:lang w:val="fr-FR"/>
        </w:rPr>
        <w:tab/>
        <w:t>Le clignotement des feux indicateurs de direction situés d</w:t>
      </w:r>
      <w:r>
        <w:rPr>
          <w:lang w:val="fr-FR"/>
        </w:rPr>
        <w:t>’</w:t>
      </w:r>
      <w:r w:rsidRPr="006102DF">
        <w:rPr>
          <w:lang w:val="fr-FR"/>
        </w:rPr>
        <w:t xml:space="preserve">un même côté du véhicule peut être synchrone ou alterné. </w:t>
      </w:r>
    </w:p>
    <w:p w14:paraId="4E29772D" w14:textId="684CCB21" w:rsidR="00DE61DA" w:rsidRPr="006102DF" w:rsidRDefault="00DE61DA" w:rsidP="00DE61DA">
      <w:pPr>
        <w:pStyle w:val="SingleTxtG"/>
        <w:ind w:left="2268" w:hanging="1134"/>
        <w:rPr>
          <w:lang w:val="fr-FR"/>
        </w:rPr>
      </w:pPr>
      <w:r w:rsidRPr="006102DF">
        <w:rPr>
          <w:lang w:val="fr-FR"/>
        </w:rPr>
        <w:t>6.8.</w:t>
      </w:r>
      <w:r w:rsidRPr="006102DF">
        <w:rPr>
          <w:strike/>
          <w:lang w:val="fr-FR"/>
        </w:rPr>
        <w:t>9</w:t>
      </w:r>
      <w:r w:rsidRPr="006102DF">
        <w:rPr>
          <w:b/>
          <w:lang w:val="fr-FR"/>
        </w:rPr>
        <w:t>10</w:t>
      </w:r>
      <w:r w:rsidRPr="006102DF">
        <w:rPr>
          <w:lang w:val="fr-FR"/>
        </w:rPr>
        <w:t>.1.2</w:t>
      </w:r>
      <w:r w:rsidRPr="006102DF">
        <w:rPr>
          <w:lang w:val="fr-FR"/>
        </w:rPr>
        <w:tab/>
      </w:r>
      <w:r w:rsidRPr="006102DF">
        <w:rPr>
          <w:lang w:val="fr-FR"/>
        </w:rPr>
        <w:tab/>
        <w:t>La manœuvre de la commande du signal lumineux doit être suivie de l</w:t>
      </w:r>
      <w:r>
        <w:rPr>
          <w:lang w:val="fr-FR"/>
        </w:rPr>
        <w:t>’</w:t>
      </w:r>
      <w:r w:rsidRPr="006102DF">
        <w:rPr>
          <w:lang w:val="fr-FR"/>
        </w:rPr>
        <w:t>allumage de l</w:t>
      </w:r>
      <w:r>
        <w:rPr>
          <w:lang w:val="fr-FR"/>
        </w:rPr>
        <w:t>’</w:t>
      </w:r>
      <w:r w:rsidRPr="006102DF">
        <w:rPr>
          <w:lang w:val="fr-FR"/>
        </w:rPr>
        <w:t>un des indicateurs dans un délai d</w:t>
      </w:r>
      <w:r>
        <w:rPr>
          <w:lang w:val="fr-FR"/>
        </w:rPr>
        <w:t>’</w:t>
      </w:r>
      <w:r w:rsidRPr="006102DF">
        <w:rPr>
          <w:lang w:val="fr-FR"/>
        </w:rPr>
        <w:t>une seconde au maximum et de la première extinction de ce feu dans un délai d</w:t>
      </w:r>
      <w:r>
        <w:rPr>
          <w:lang w:val="fr-FR"/>
        </w:rPr>
        <w:t>’</w:t>
      </w:r>
      <w:r w:rsidRPr="006102DF">
        <w:rPr>
          <w:lang w:val="fr-FR"/>
        </w:rPr>
        <w:t>une seconde et demie au maximum.</w:t>
      </w:r>
    </w:p>
    <w:p w14:paraId="27CDDF7A" w14:textId="20F54CEC" w:rsidR="00DE61DA" w:rsidRPr="006102DF" w:rsidRDefault="00DE61DA" w:rsidP="00DE61DA">
      <w:pPr>
        <w:pStyle w:val="SingleTxtG"/>
        <w:ind w:left="2268" w:hanging="1134"/>
        <w:rPr>
          <w:lang w:val="fr-FR"/>
        </w:rPr>
      </w:pPr>
      <w:r w:rsidRPr="006102DF">
        <w:rPr>
          <w:lang w:val="fr-FR"/>
        </w:rPr>
        <w:t>6.8.</w:t>
      </w:r>
      <w:r w:rsidRPr="006102DF">
        <w:rPr>
          <w:strike/>
          <w:lang w:val="fr-FR"/>
        </w:rPr>
        <w:t>9</w:t>
      </w:r>
      <w:r w:rsidRPr="006102DF">
        <w:rPr>
          <w:b/>
          <w:lang w:val="fr-FR"/>
        </w:rPr>
        <w:t>10</w:t>
      </w:r>
      <w:r w:rsidRPr="006102DF">
        <w:rPr>
          <w:lang w:val="fr-FR"/>
        </w:rPr>
        <w:t>.2</w:t>
      </w:r>
      <w:r w:rsidRPr="006102DF">
        <w:rPr>
          <w:lang w:val="fr-FR"/>
        </w:rPr>
        <w:tab/>
        <w:t xml:space="preserve">Dans le cas des véhicules sur lesquels les feux indicateurs de direction sont alimentés en courant alternatif, pour un régime moteur compris entre 50 et 100 % du régime correspondant à la vitesse maximale par construction du véhicule, la fréquence de clignotement doit être de 90 </w:t>
      </w:r>
      <w:r>
        <w:rPr>
          <w:lang w:val="fr-FR"/>
        </w:rPr>
        <w:t>+</w:t>
      </w:r>
      <w:r w:rsidRPr="006102DF">
        <w:rPr>
          <w:lang w:val="fr-FR"/>
        </w:rPr>
        <w:t xml:space="preserve"> 30</w:t>
      </w:r>
      <w:r>
        <w:rPr>
          <w:lang w:val="fr-FR"/>
        </w:rPr>
        <w:t> </w:t>
      </w:r>
      <w:r w:rsidRPr="006102DF">
        <w:rPr>
          <w:lang w:val="fr-FR"/>
        </w:rPr>
        <w:t>périodes par minute.</w:t>
      </w:r>
    </w:p>
    <w:p w14:paraId="200314E7" w14:textId="7D94B560" w:rsidR="00DE61DA" w:rsidRPr="006102DF" w:rsidRDefault="00DE61DA" w:rsidP="00DE61DA">
      <w:pPr>
        <w:pStyle w:val="SingleTxtG"/>
        <w:ind w:left="2268" w:hanging="1134"/>
        <w:rPr>
          <w:lang w:val="fr-FR"/>
        </w:rPr>
      </w:pPr>
      <w:r w:rsidRPr="006102DF">
        <w:rPr>
          <w:lang w:val="fr-FR"/>
        </w:rPr>
        <w:t>6.8.</w:t>
      </w:r>
      <w:r w:rsidRPr="006102DF">
        <w:rPr>
          <w:strike/>
          <w:lang w:val="fr-FR"/>
        </w:rPr>
        <w:t>9</w:t>
      </w:r>
      <w:r w:rsidRPr="006102DF">
        <w:rPr>
          <w:b/>
          <w:lang w:val="fr-FR"/>
        </w:rPr>
        <w:t>10</w:t>
      </w:r>
      <w:r w:rsidRPr="006102DF">
        <w:rPr>
          <w:lang w:val="fr-FR"/>
        </w:rPr>
        <w:t>.2.1</w:t>
      </w:r>
      <w:r w:rsidRPr="006102DF">
        <w:rPr>
          <w:lang w:val="fr-FR"/>
        </w:rPr>
        <w:tab/>
        <w:t>Le clignotement des feux indicateurs de direction situés d</w:t>
      </w:r>
      <w:r>
        <w:rPr>
          <w:lang w:val="fr-FR"/>
        </w:rPr>
        <w:t>’</w:t>
      </w:r>
      <w:r w:rsidRPr="006102DF">
        <w:rPr>
          <w:lang w:val="fr-FR"/>
        </w:rPr>
        <w:t>un même côté du véhicule peut être synchrone ou alterné.</w:t>
      </w:r>
    </w:p>
    <w:p w14:paraId="3145A3A2" w14:textId="70B6806D" w:rsidR="00DE61DA" w:rsidRPr="006102DF" w:rsidRDefault="00DE61DA" w:rsidP="00DE61DA">
      <w:pPr>
        <w:pStyle w:val="SingleTxtG"/>
        <w:ind w:left="2268" w:hanging="1134"/>
        <w:rPr>
          <w:lang w:val="fr-FR"/>
        </w:rPr>
      </w:pPr>
      <w:r w:rsidRPr="006102DF">
        <w:rPr>
          <w:lang w:val="fr-FR"/>
        </w:rPr>
        <w:t>6.8.</w:t>
      </w:r>
      <w:r w:rsidRPr="006102DF">
        <w:rPr>
          <w:strike/>
          <w:lang w:val="fr-FR"/>
        </w:rPr>
        <w:t>9</w:t>
      </w:r>
      <w:r w:rsidRPr="006102DF">
        <w:rPr>
          <w:b/>
          <w:lang w:val="fr-FR"/>
        </w:rPr>
        <w:t>10</w:t>
      </w:r>
      <w:r w:rsidRPr="006102DF">
        <w:rPr>
          <w:lang w:val="fr-FR"/>
        </w:rPr>
        <w:t>.2.2</w:t>
      </w:r>
      <w:r w:rsidRPr="006102DF">
        <w:rPr>
          <w:lang w:val="fr-FR"/>
        </w:rPr>
        <w:tab/>
        <w:t>La manœuvre de la commande du signal lumineux doit être suivie de l</w:t>
      </w:r>
      <w:r>
        <w:rPr>
          <w:lang w:val="fr-FR"/>
        </w:rPr>
        <w:t>’</w:t>
      </w:r>
      <w:r w:rsidRPr="006102DF">
        <w:rPr>
          <w:lang w:val="fr-FR"/>
        </w:rPr>
        <w:t>allumage de l</w:t>
      </w:r>
      <w:r>
        <w:rPr>
          <w:lang w:val="fr-FR"/>
        </w:rPr>
        <w:t>’</w:t>
      </w:r>
      <w:r w:rsidRPr="006102DF">
        <w:rPr>
          <w:lang w:val="fr-FR"/>
        </w:rPr>
        <w:t>un des indicateurs dans un délai d</w:t>
      </w:r>
      <w:r>
        <w:rPr>
          <w:lang w:val="fr-FR"/>
        </w:rPr>
        <w:t>’</w:t>
      </w:r>
      <w:r w:rsidRPr="006102DF">
        <w:rPr>
          <w:lang w:val="fr-FR"/>
        </w:rPr>
        <w:t>une seconde au maximum et de la première extinction de ce feu dans un délai d</w:t>
      </w:r>
      <w:r>
        <w:rPr>
          <w:lang w:val="fr-FR"/>
        </w:rPr>
        <w:t>’</w:t>
      </w:r>
      <w:r w:rsidRPr="006102DF">
        <w:rPr>
          <w:lang w:val="fr-FR"/>
        </w:rPr>
        <w:t>une seconde et demie au maximum.</w:t>
      </w:r>
    </w:p>
    <w:p w14:paraId="57A33CCA" w14:textId="77777777" w:rsidR="00DE61DA" w:rsidRPr="006102DF" w:rsidRDefault="00DE61DA" w:rsidP="00DE61DA">
      <w:pPr>
        <w:pStyle w:val="SingleTxtG"/>
        <w:ind w:left="2268" w:hanging="1134"/>
        <w:rPr>
          <w:lang w:val="fr-FR"/>
        </w:rPr>
      </w:pPr>
      <w:r w:rsidRPr="006102DF">
        <w:rPr>
          <w:lang w:val="fr-FR"/>
        </w:rPr>
        <w:t>6.8.</w:t>
      </w:r>
      <w:r w:rsidRPr="006102DF">
        <w:rPr>
          <w:strike/>
          <w:lang w:val="fr-FR"/>
        </w:rPr>
        <w:t>9</w:t>
      </w:r>
      <w:r w:rsidRPr="006102DF">
        <w:rPr>
          <w:b/>
          <w:lang w:val="fr-FR"/>
        </w:rPr>
        <w:t>10</w:t>
      </w:r>
      <w:r w:rsidRPr="006102DF">
        <w:rPr>
          <w:lang w:val="fr-FR"/>
        </w:rPr>
        <w:t>.3</w:t>
      </w:r>
      <w:r w:rsidRPr="006102DF">
        <w:rPr>
          <w:lang w:val="fr-FR"/>
        </w:rPr>
        <w:tab/>
      </w:r>
      <w:r w:rsidRPr="006102DF">
        <w:rPr>
          <w:lang w:val="fr-FR"/>
        </w:rPr>
        <w:tab/>
        <w:t>Dans le cas des véhicules sur lesquels les feux indicateurs de direction sont alimentés en courant alternatif, pour un régime moteur compris entre le régime de ralenti spécifié par le constructeur et 50</w:t>
      </w:r>
      <w:r>
        <w:rPr>
          <w:lang w:val="fr-FR"/>
        </w:rPr>
        <w:t> </w:t>
      </w:r>
      <w:r w:rsidRPr="006102DF">
        <w:rPr>
          <w:lang w:val="fr-FR"/>
        </w:rPr>
        <w:t>% du régime correspondant à la vitesse maximale du véhicule, la fréquence de clignotement doit être comprise entre 90 + 30 et 90 - 45</w:t>
      </w:r>
      <w:r>
        <w:rPr>
          <w:lang w:val="fr-FR"/>
        </w:rPr>
        <w:t> </w:t>
      </w:r>
      <w:r w:rsidRPr="006102DF">
        <w:rPr>
          <w:lang w:val="fr-FR"/>
        </w:rPr>
        <w:t>périodes par minute.</w:t>
      </w:r>
    </w:p>
    <w:p w14:paraId="2C600167" w14:textId="2469D3A1" w:rsidR="00DE61DA" w:rsidRPr="006102DF" w:rsidRDefault="00DE61DA" w:rsidP="00DE61DA">
      <w:pPr>
        <w:pStyle w:val="SingleTxtG"/>
        <w:ind w:left="2268" w:hanging="1134"/>
        <w:rPr>
          <w:lang w:val="fr-FR"/>
        </w:rPr>
      </w:pPr>
      <w:r w:rsidRPr="006102DF">
        <w:rPr>
          <w:lang w:val="fr-FR"/>
        </w:rPr>
        <w:t>6.8.</w:t>
      </w:r>
      <w:r w:rsidRPr="006102DF">
        <w:rPr>
          <w:strike/>
          <w:lang w:val="fr-FR"/>
        </w:rPr>
        <w:t>9</w:t>
      </w:r>
      <w:r w:rsidRPr="006102DF">
        <w:rPr>
          <w:b/>
          <w:lang w:val="fr-FR"/>
        </w:rPr>
        <w:t>10</w:t>
      </w:r>
      <w:r w:rsidRPr="006102DF">
        <w:rPr>
          <w:lang w:val="fr-FR"/>
        </w:rPr>
        <w:t>.3.1</w:t>
      </w:r>
      <w:r w:rsidRPr="006102DF">
        <w:rPr>
          <w:lang w:val="fr-FR"/>
        </w:rPr>
        <w:tab/>
        <w:t>Le clignotement des feux indicateurs de direction situés d</w:t>
      </w:r>
      <w:r>
        <w:rPr>
          <w:lang w:val="fr-FR"/>
        </w:rPr>
        <w:t>’</w:t>
      </w:r>
      <w:r w:rsidRPr="006102DF">
        <w:rPr>
          <w:lang w:val="fr-FR"/>
        </w:rPr>
        <w:t>un même côté du véhicule peut être synchrone ou alt</w:t>
      </w:r>
      <w:r>
        <w:rPr>
          <w:lang w:val="fr-FR"/>
        </w:rPr>
        <w:t>e</w:t>
      </w:r>
      <w:r w:rsidRPr="006102DF">
        <w:rPr>
          <w:lang w:val="fr-FR"/>
        </w:rPr>
        <w:t>r</w:t>
      </w:r>
      <w:r>
        <w:rPr>
          <w:lang w:val="fr-FR"/>
        </w:rPr>
        <w:t>n</w:t>
      </w:r>
      <w:r w:rsidRPr="006102DF">
        <w:rPr>
          <w:lang w:val="fr-FR"/>
        </w:rPr>
        <w:t>é.</w:t>
      </w:r>
    </w:p>
    <w:p w14:paraId="7A229518" w14:textId="0AE88F0C" w:rsidR="00DE61DA" w:rsidRPr="006102DF" w:rsidRDefault="00DE61DA" w:rsidP="00DE61DA">
      <w:pPr>
        <w:pStyle w:val="SingleTxtG"/>
        <w:ind w:left="2268" w:hanging="1134"/>
        <w:rPr>
          <w:lang w:val="fr-FR"/>
        </w:rPr>
      </w:pPr>
      <w:r w:rsidRPr="006102DF">
        <w:rPr>
          <w:lang w:val="fr-FR"/>
        </w:rPr>
        <w:t>6.8.</w:t>
      </w:r>
      <w:r w:rsidRPr="006102DF">
        <w:rPr>
          <w:strike/>
          <w:lang w:val="fr-FR"/>
        </w:rPr>
        <w:t>9</w:t>
      </w:r>
      <w:r w:rsidRPr="006102DF">
        <w:rPr>
          <w:b/>
          <w:lang w:val="fr-FR"/>
        </w:rPr>
        <w:t>10</w:t>
      </w:r>
      <w:r w:rsidRPr="006102DF">
        <w:rPr>
          <w:lang w:val="fr-FR"/>
        </w:rPr>
        <w:t>.3.2</w:t>
      </w:r>
      <w:r w:rsidRPr="006102DF">
        <w:rPr>
          <w:lang w:val="fr-FR"/>
        </w:rPr>
        <w:tab/>
        <w:t>La manœuvre de la commande du signal lumineux doit être suivie de l</w:t>
      </w:r>
      <w:r>
        <w:rPr>
          <w:lang w:val="fr-FR"/>
        </w:rPr>
        <w:t>’</w:t>
      </w:r>
      <w:r w:rsidRPr="006102DF">
        <w:rPr>
          <w:lang w:val="fr-FR"/>
        </w:rPr>
        <w:t>allumage de l</w:t>
      </w:r>
      <w:r>
        <w:rPr>
          <w:lang w:val="fr-FR"/>
        </w:rPr>
        <w:t>’</w:t>
      </w:r>
      <w:r w:rsidRPr="006102DF">
        <w:rPr>
          <w:lang w:val="fr-FR"/>
        </w:rPr>
        <w:t>un des indicateurs dans un délai d</w:t>
      </w:r>
      <w:r>
        <w:rPr>
          <w:lang w:val="fr-FR"/>
        </w:rPr>
        <w:t>’</w:t>
      </w:r>
      <w:r w:rsidRPr="006102DF">
        <w:rPr>
          <w:lang w:val="fr-FR"/>
        </w:rPr>
        <w:t>une seconde au maximum et de la première extinction de ce feu dans un délai d</w:t>
      </w:r>
      <w:r>
        <w:rPr>
          <w:lang w:val="fr-FR"/>
        </w:rPr>
        <w:t>’</w:t>
      </w:r>
      <w:r w:rsidRPr="006102DF">
        <w:rPr>
          <w:lang w:val="fr-FR"/>
        </w:rPr>
        <w:t>une seconde et demie au maximum. »</w:t>
      </w:r>
      <w:r>
        <w:rPr>
          <w:lang w:val="fr-FR"/>
        </w:rPr>
        <w:t>.</w:t>
      </w:r>
    </w:p>
    <w:p w14:paraId="1BBEC144" w14:textId="46D33A99" w:rsidR="00DE61DA" w:rsidRPr="006102DF" w:rsidRDefault="00DE61DA" w:rsidP="00DE61DA">
      <w:pPr>
        <w:pStyle w:val="HChG"/>
        <w:rPr>
          <w:lang w:val="fr-FR"/>
        </w:rPr>
      </w:pPr>
      <w:r w:rsidRPr="006102DF">
        <w:rPr>
          <w:lang w:val="fr-FR"/>
        </w:rPr>
        <w:tab/>
        <w:t>II.</w:t>
      </w:r>
      <w:r w:rsidRPr="006102DF">
        <w:rPr>
          <w:lang w:val="fr-FR"/>
        </w:rPr>
        <w:tab/>
        <w:t>Proposition de complément à la série</w:t>
      </w:r>
      <w:r>
        <w:rPr>
          <w:lang w:val="fr-FR"/>
        </w:rPr>
        <w:t> </w:t>
      </w:r>
      <w:r w:rsidRPr="006102DF">
        <w:rPr>
          <w:lang w:val="fr-FR"/>
        </w:rPr>
        <w:t>01 d</w:t>
      </w:r>
      <w:r>
        <w:rPr>
          <w:lang w:val="fr-FR"/>
        </w:rPr>
        <w:t>’</w:t>
      </w:r>
      <w:r w:rsidRPr="006102DF">
        <w:rPr>
          <w:lang w:val="fr-FR"/>
        </w:rPr>
        <w:t xml:space="preserve">amendements </w:t>
      </w:r>
      <w:r w:rsidR="007043C3">
        <w:rPr>
          <w:lang w:val="fr-FR"/>
        </w:rPr>
        <w:br/>
      </w:r>
      <w:r w:rsidRPr="006102DF">
        <w:rPr>
          <w:lang w:val="fr-FR"/>
        </w:rPr>
        <w:t xml:space="preserve">au Règlement ONU </w:t>
      </w:r>
      <w:r w:rsidR="007043C3" w:rsidRPr="007043C3">
        <w:rPr>
          <w:rFonts w:eastAsia="MS Mincho"/>
          <w:lang w:val="fr-FR"/>
        </w:rPr>
        <w:t>n</w:t>
      </w:r>
      <w:r w:rsidR="007043C3" w:rsidRPr="007043C3">
        <w:rPr>
          <w:rFonts w:eastAsia="MS Mincho"/>
          <w:vertAlign w:val="superscript"/>
          <w:lang w:val="fr-FR"/>
        </w:rPr>
        <w:t>o</w:t>
      </w:r>
      <w:r w:rsidR="007043C3">
        <w:rPr>
          <w:lang w:val="fr-FR"/>
        </w:rPr>
        <w:t xml:space="preserve"> </w:t>
      </w:r>
      <w:r w:rsidRPr="006102DF">
        <w:rPr>
          <w:lang w:val="fr-FR"/>
        </w:rPr>
        <w:t>148</w:t>
      </w:r>
    </w:p>
    <w:p w14:paraId="000917D0" w14:textId="77777777" w:rsidR="00DE61DA" w:rsidRPr="006102DF" w:rsidRDefault="00DE61DA" w:rsidP="00DE61DA">
      <w:pPr>
        <w:pStyle w:val="SingleTxtG"/>
        <w:rPr>
          <w:lang w:val="fr-FR"/>
        </w:rPr>
      </w:pPr>
      <w:r w:rsidRPr="006102DF">
        <w:rPr>
          <w:lang w:val="fr-FR"/>
        </w:rPr>
        <w:tab/>
      </w:r>
      <w:r w:rsidRPr="006102DF">
        <w:rPr>
          <w:i/>
          <w:iCs/>
          <w:lang w:val="fr-FR"/>
        </w:rPr>
        <w:t xml:space="preserve">Ajouter </w:t>
      </w:r>
      <w:r>
        <w:rPr>
          <w:i/>
          <w:iCs/>
          <w:lang w:val="fr-FR"/>
        </w:rPr>
        <w:t>le</w:t>
      </w:r>
      <w:r w:rsidRPr="006102DF">
        <w:rPr>
          <w:i/>
          <w:iCs/>
          <w:lang w:val="fr-FR"/>
        </w:rPr>
        <w:t xml:space="preserve"> nouveau paragraphe</w:t>
      </w:r>
      <w:r>
        <w:rPr>
          <w:i/>
          <w:iCs/>
          <w:lang w:val="fr-FR"/>
        </w:rPr>
        <w:t> </w:t>
      </w:r>
      <w:r w:rsidRPr="006102DF">
        <w:rPr>
          <w:i/>
          <w:iCs/>
          <w:lang w:val="fr-FR"/>
        </w:rPr>
        <w:t>3.3.2.5.1.4</w:t>
      </w:r>
      <w:r w:rsidRPr="006102DF">
        <w:rPr>
          <w:lang w:val="fr-FR"/>
        </w:rPr>
        <w:t>, libellé comme suit</w:t>
      </w:r>
      <w:r>
        <w:rPr>
          <w:lang w:val="fr-FR"/>
        </w:rPr>
        <w:t> </w:t>
      </w:r>
      <w:r w:rsidRPr="006102DF">
        <w:rPr>
          <w:lang w:val="fr-FR"/>
        </w:rPr>
        <w:t>:</w:t>
      </w:r>
    </w:p>
    <w:p w14:paraId="77E32C53" w14:textId="77777777" w:rsidR="00DE61DA" w:rsidRPr="006102DF" w:rsidRDefault="00DE61DA" w:rsidP="00DE61DA">
      <w:pPr>
        <w:pStyle w:val="SingleTxtG"/>
        <w:ind w:left="2268" w:hanging="1134"/>
        <w:rPr>
          <w:lang w:val="fr-FR"/>
        </w:rPr>
      </w:pPr>
      <w:r w:rsidRPr="007043C3">
        <w:rPr>
          <w:lang w:val="fr-FR"/>
        </w:rPr>
        <w:t>« </w:t>
      </w:r>
      <w:r w:rsidRPr="006102DF">
        <w:rPr>
          <w:b/>
          <w:bCs/>
          <w:lang w:val="fr-FR"/>
        </w:rPr>
        <w:t>3.3.2.5.1.4</w:t>
      </w:r>
      <w:r w:rsidRPr="006102DF">
        <w:rPr>
          <w:lang w:val="fr-FR"/>
        </w:rPr>
        <w:tab/>
      </w:r>
      <w:r w:rsidRPr="006102DF">
        <w:rPr>
          <w:b/>
          <w:bCs/>
          <w:lang w:val="fr-FR"/>
        </w:rPr>
        <w:t>Pour les indicateurs de direction des catégories</w:t>
      </w:r>
      <w:r>
        <w:rPr>
          <w:b/>
          <w:bCs/>
          <w:lang w:val="fr-FR"/>
        </w:rPr>
        <w:t> </w:t>
      </w:r>
      <w:r w:rsidRPr="006102DF">
        <w:rPr>
          <w:b/>
          <w:bCs/>
          <w:lang w:val="fr-FR"/>
        </w:rPr>
        <w:t xml:space="preserve">11 et 12, </w:t>
      </w:r>
      <w:r>
        <w:rPr>
          <w:b/>
          <w:bCs/>
          <w:lang w:val="fr-FR"/>
        </w:rPr>
        <w:t>le symbole “</w:t>
      </w:r>
      <w:r w:rsidRPr="006102DF">
        <w:rPr>
          <w:b/>
          <w:bCs/>
          <w:lang w:val="fr-FR"/>
        </w:rPr>
        <w:t>-</w:t>
      </w:r>
      <w:r>
        <w:rPr>
          <w:b/>
          <w:bCs/>
          <w:lang w:val="fr-FR"/>
        </w:rPr>
        <w:t>”</w:t>
      </w:r>
      <w:r w:rsidRPr="006102DF">
        <w:rPr>
          <w:b/>
          <w:bCs/>
          <w:lang w:val="fr-FR"/>
        </w:rPr>
        <w:t xml:space="preserve"> doit figurer entre les symboles prescrits au paragraphe 3.3.2.4</w:t>
      </w:r>
      <w:r>
        <w:rPr>
          <w:b/>
          <w:bCs/>
          <w:lang w:val="fr-FR"/>
        </w:rPr>
        <w:t>,</w:t>
      </w:r>
      <w:r w:rsidRPr="006102DF">
        <w:rPr>
          <w:b/>
          <w:bCs/>
          <w:lang w:val="fr-FR"/>
        </w:rPr>
        <w:t xml:space="preserve"> pour </w:t>
      </w:r>
      <w:r>
        <w:rPr>
          <w:b/>
          <w:bCs/>
          <w:lang w:val="fr-FR"/>
        </w:rPr>
        <w:t>signaler</w:t>
      </w:r>
      <w:r w:rsidRPr="006102DF">
        <w:rPr>
          <w:b/>
          <w:bCs/>
          <w:lang w:val="fr-FR"/>
        </w:rPr>
        <w:t xml:space="preserve"> que les indicateurs des deux catégories peuvent être activés simultanément. </w:t>
      </w:r>
      <w:r w:rsidRPr="006102DF">
        <w:rPr>
          <w:lang w:val="fr-FR"/>
        </w:rPr>
        <w:t>»</w:t>
      </w:r>
      <w:r>
        <w:rPr>
          <w:lang w:val="fr-FR"/>
        </w:rPr>
        <w:t>.</w:t>
      </w:r>
    </w:p>
    <w:p w14:paraId="61285AF9" w14:textId="77777777" w:rsidR="00DE61DA" w:rsidRPr="006102DF" w:rsidRDefault="00DE61DA" w:rsidP="00DE61DA">
      <w:pPr>
        <w:pStyle w:val="HChG"/>
        <w:rPr>
          <w:lang w:val="fr-FR"/>
        </w:rPr>
      </w:pPr>
      <w:r w:rsidRPr="006102DF">
        <w:rPr>
          <w:lang w:val="fr-FR"/>
        </w:rPr>
        <w:tab/>
        <w:t>III.</w:t>
      </w:r>
      <w:r w:rsidRPr="006102DF">
        <w:rPr>
          <w:lang w:val="fr-FR"/>
        </w:rPr>
        <w:tab/>
        <w:t>Justification</w:t>
      </w:r>
    </w:p>
    <w:p w14:paraId="6436DC72" w14:textId="159C16B2" w:rsidR="00DE61DA" w:rsidRPr="006102DF" w:rsidRDefault="00DE61DA" w:rsidP="00DE61DA">
      <w:pPr>
        <w:pStyle w:val="SingleTxtG"/>
        <w:rPr>
          <w:lang w:val="fr-FR"/>
        </w:rPr>
      </w:pPr>
      <w:bookmarkStart w:id="1" w:name="_Hlk116054367"/>
      <w:r w:rsidRPr="006102DF">
        <w:rPr>
          <w:lang w:val="fr-FR"/>
        </w:rPr>
        <w:t>1.</w:t>
      </w:r>
      <w:r w:rsidRPr="006102DF">
        <w:rPr>
          <w:lang w:val="fr-FR"/>
        </w:rPr>
        <w:tab/>
        <w:t>La présente proposition d</w:t>
      </w:r>
      <w:r>
        <w:rPr>
          <w:lang w:val="fr-FR"/>
        </w:rPr>
        <w:t>’</w:t>
      </w:r>
      <w:r w:rsidRPr="006102DF">
        <w:rPr>
          <w:lang w:val="fr-FR"/>
        </w:rPr>
        <w:t xml:space="preserve">amendement au Règlement ONU </w:t>
      </w:r>
      <w:r w:rsidR="007043C3" w:rsidRPr="007043C3">
        <w:rPr>
          <w:rFonts w:eastAsia="MS Mincho"/>
          <w:lang w:val="fr-FR"/>
        </w:rPr>
        <w:t>n</w:t>
      </w:r>
      <w:r w:rsidR="007043C3" w:rsidRPr="007043C3">
        <w:rPr>
          <w:rFonts w:eastAsia="MS Mincho"/>
          <w:vertAlign w:val="superscript"/>
          <w:lang w:val="fr-FR"/>
        </w:rPr>
        <w:t>o</w:t>
      </w:r>
      <w:r w:rsidR="007043C3">
        <w:rPr>
          <w:lang w:val="fr-FR"/>
        </w:rPr>
        <w:t xml:space="preserve"> </w:t>
      </w:r>
      <w:r w:rsidRPr="006102DF">
        <w:rPr>
          <w:lang w:val="fr-FR"/>
        </w:rPr>
        <w:t>74 (Installation des dispositifs d</w:t>
      </w:r>
      <w:r>
        <w:rPr>
          <w:lang w:val="fr-FR"/>
        </w:rPr>
        <w:t>’</w:t>
      </w:r>
      <w:r w:rsidRPr="006102DF">
        <w:rPr>
          <w:lang w:val="fr-FR"/>
        </w:rPr>
        <w:t>éclairage et de signalisation lumineuse sur les cyclomoteurs) est soumise par l</w:t>
      </w:r>
      <w:r>
        <w:rPr>
          <w:lang w:val="fr-FR"/>
        </w:rPr>
        <w:t xml:space="preserve">es </w:t>
      </w:r>
      <w:r w:rsidRPr="006102DF">
        <w:rPr>
          <w:lang w:val="fr-FR"/>
        </w:rPr>
        <w:t>expert</w:t>
      </w:r>
      <w:r>
        <w:rPr>
          <w:lang w:val="fr-FR"/>
        </w:rPr>
        <w:t>s</w:t>
      </w:r>
      <w:r w:rsidRPr="006102DF">
        <w:rPr>
          <w:lang w:val="fr-FR"/>
        </w:rPr>
        <w:t xml:space="preserve"> de l</w:t>
      </w:r>
      <w:r>
        <w:rPr>
          <w:lang w:val="fr-FR"/>
        </w:rPr>
        <w:t>’</w:t>
      </w:r>
      <w:r w:rsidRPr="006102DF">
        <w:rPr>
          <w:lang w:val="fr-FR"/>
        </w:rPr>
        <w:t>Allemagne en vue de permettre l</w:t>
      </w:r>
      <w:r>
        <w:rPr>
          <w:lang w:val="fr-FR"/>
        </w:rPr>
        <w:t>’</w:t>
      </w:r>
      <w:r w:rsidRPr="006102DF">
        <w:rPr>
          <w:lang w:val="fr-FR"/>
        </w:rPr>
        <w:t>homologation d</w:t>
      </w:r>
      <w:r>
        <w:rPr>
          <w:lang w:val="fr-FR"/>
        </w:rPr>
        <w:t>’</w:t>
      </w:r>
      <w:r w:rsidRPr="006102DF">
        <w:rPr>
          <w:lang w:val="fr-FR"/>
        </w:rPr>
        <w:t>un dispositif comprenant un indicateur avant et un indicateur arrière pouvant être activés simultanément.</w:t>
      </w:r>
    </w:p>
    <w:p w14:paraId="27B3E106" w14:textId="04A48EBB" w:rsidR="00DE61DA" w:rsidRPr="006102DF" w:rsidRDefault="00DE61DA" w:rsidP="00DE61DA">
      <w:pPr>
        <w:pStyle w:val="SingleTxtG"/>
        <w:rPr>
          <w:lang w:val="fr-FR"/>
        </w:rPr>
      </w:pPr>
      <w:r w:rsidRPr="006102DF">
        <w:rPr>
          <w:lang w:val="fr-FR"/>
        </w:rPr>
        <w:t>2.</w:t>
      </w:r>
      <w:r w:rsidRPr="006102DF">
        <w:rPr>
          <w:lang w:val="fr-FR"/>
        </w:rPr>
        <w:tab/>
        <w:t>Pour des raisons de sécurité et pour se conformer à la série</w:t>
      </w:r>
      <w:r>
        <w:rPr>
          <w:lang w:val="fr-FR"/>
        </w:rPr>
        <w:t> </w:t>
      </w:r>
      <w:r w:rsidRPr="006102DF">
        <w:rPr>
          <w:lang w:val="fr-FR"/>
        </w:rPr>
        <w:t>02 d</w:t>
      </w:r>
      <w:r>
        <w:rPr>
          <w:lang w:val="fr-FR"/>
        </w:rPr>
        <w:t>’</w:t>
      </w:r>
      <w:r w:rsidRPr="006102DF">
        <w:rPr>
          <w:lang w:val="fr-FR"/>
        </w:rPr>
        <w:t xml:space="preserve">amendements au Règlement ONU </w:t>
      </w:r>
      <w:r w:rsidR="007043C3" w:rsidRPr="007043C3">
        <w:rPr>
          <w:rFonts w:eastAsia="MS Mincho"/>
          <w:lang w:val="fr-FR"/>
        </w:rPr>
        <w:t>n</w:t>
      </w:r>
      <w:r w:rsidR="007043C3" w:rsidRPr="007043C3">
        <w:rPr>
          <w:rFonts w:eastAsia="MS Mincho"/>
          <w:vertAlign w:val="superscript"/>
          <w:lang w:val="fr-FR"/>
        </w:rPr>
        <w:t>o</w:t>
      </w:r>
      <w:r w:rsidR="007043C3">
        <w:rPr>
          <w:lang w:val="fr-FR"/>
        </w:rPr>
        <w:t xml:space="preserve"> </w:t>
      </w:r>
      <w:r w:rsidRPr="006102DF">
        <w:rPr>
          <w:lang w:val="fr-FR"/>
        </w:rPr>
        <w:t>74, l</w:t>
      </w:r>
      <w:r>
        <w:rPr>
          <w:lang w:val="fr-FR"/>
        </w:rPr>
        <w:t>’</w:t>
      </w:r>
      <w:r w:rsidRPr="006102DF">
        <w:rPr>
          <w:lang w:val="fr-FR"/>
        </w:rPr>
        <w:t>Allemagne estime nécessaire d</w:t>
      </w:r>
      <w:r>
        <w:rPr>
          <w:lang w:val="fr-FR"/>
        </w:rPr>
        <w:t>’</w:t>
      </w:r>
      <w:r w:rsidRPr="006102DF">
        <w:rPr>
          <w:lang w:val="fr-FR"/>
        </w:rPr>
        <w:t>autoriser au niveau national l</w:t>
      </w:r>
      <w:r>
        <w:rPr>
          <w:lang w:val="fr-FR"/>
        </w:rPr>
        <w:t>’</w:t>
      </w:r>
      <w:r w:rsidRPr="006102DF">
        <w:rPr>
          <w:lang w:val="fr-FR"/>
        </w:rPr>
        <w:t xml:space="preserve">installation </w:t>
      </w:r>
      <w:r w:rsidRPr="001122F9">
        <w:rPr>
          <w:lang w:val="fr-FR"/>
        </w:rPr>
        <w:t>d</w:t>
      </w:r>
      <w:r>
        <w:rPr>
          <w:lang w:val="fr-FR"/>
        </w:rPr>
        <w:t>’</w:t>
      </w:r>
      <w:r w:rsidRPr="001122F9">
        <w:rPr>
          <w:lang w:val="fr-FR"/>
        </w:rPr>
        <w:t>indicateurs de direction facultatifs</w:t>
      </w:r>
      <w:r w:rsidRPr="006102DF">
        <w:rPr>
          <w:i/>
          <w:iCs/>
          <w:lang w:val="fr-FR"/>
        </w:rPr>
        <w:t xml:space="preserve"> </w:t>
      </w:r>
      <w:r w:rsidRPr="006102DF">
        <w:rPr>
          <w:lang w:val="fr-FR"/>
        </w:rPr>
        <w:t>sur les bicyclettes (</w:t>
      </w:r>
      <w:r>
        <w:rPr>
          <w:lang w:val="fr-FR"/>
        </w:rPr>
        <w:t>catégorie comprenant les cyclomoteurs</w:t>
      </w:r>
      <w:r w:rsidRPr="006102DF">
        <w:rPr>
          <w:lang w:val="fr-FR"/>
        </w:rPr>
        <w:t xml:space="preserve"> dont </w:t>
      </w:r>
      <w:r w:rsidRPr="001122F9">
        <w:rPr>
          <w:lang w:val="fr-FR"/>
        </w:rPr>
        <w:t>la vitesse maximale par construction ne dépasse pas</w:t>
      </w:r>
      <w:r w:rsidRPr="006102DF">
        <w:rPr>
          <w:i/>
          <w:iCs/>
          <w:lang w:val="fr-FR"/>
        </w:rPr>
        <w:t xml:space="preserve"> </w:t>
      </w:r>
      <w:r w:rsidRPr="006102DF">
        <w:rPr>
          <w:lang w:val="fr-FR"/>
        </w:rPr>
        <w:t>25</w:t>
      </w:r>
      <w:r>
        <w:rPr>
          <w:lang w:val="fr-FR"/>
        </w:rPr>
        <w:t> </w:t>
      </w:r>
      <w:r w:rsidRPr="006102DF">
        <w:rPr>
          <w:lang w:val="fr-FR"/>
        </w:rPr>
        <w:t>km/h).</w:t>
      </w:r>
    </w:p>
    <w:p w14:paraId="3ACC7454" w14:textId="77777777" w:rsidR="00DE61DA" w:rsidRPr="006102DF" w:rsidRDefault="00DE61DA" w:rsidP="00DE61DA">
      <w:pPr>
        <w:pStyle w:val="SingleTxtG"/>
        <w:rPr>
          <w:lang w:val="fr-FR"/>
        </w:rPr>
      </w:pPr>
      <w:r w:rsidRPr="006102DF">
        <w:rPr>
          <w:lang w:val="fr-FR"/>
        </w:rPr>
        <w:t>3.</w:t>
      </w:r>
      <w:r w:rsidRPr="006102DF">
        <w:rPr>
          <w:lang w:val="fr-FR"/>
        </w:rPr>
        <w:tab/>
        <w:t xml:space="preserve">Dans certaines </w:t>
      </w:r>
      <w:r w:rsidRPr="001122F9">
        <w:rPr>
          <w:lang w:val="fr-FR"/>
        </w:rPr>
        <w:t>Parties contractantes à l</w:t>
      </w:r>
      <w:r>
        <w:rPr>
          <w:lang w:val="fr-FR"/>
        </w:rPr>
        <w:t>’</w:t>
      </w:r>
      <w:r w:rsidRPr="001122F9">
        <w:rPr>
          <w:lang w:val="fr-FR"/>
        </w:rPr>
        <w:t>Accord de 1958</w:t>
      </w:r>
      <w:r w:rsidRPr="006102DF">
        <w:rPr>
          <w:lang w:val="fr-FR"/>
        </w:rPr>
        <w:t>, la catégorie</w:t>
      </w:r>
      <w:r>
        <w:rPr>
          <w:lang w:val="fr-FR"/>
        </w:rPr>
        <w:t> </w:t>
      </w:r>
      <w:r w:rsidRPr="006102DF">
        <w:rPr>
          <w:lang w:val="fr-FR"/>
        </w:rPr>
        <w:t>L</w:t>
      </w:r>
      <w:r w:rsidRPr="006102DF">
        <w:rPr>
          <w:vertAlign w:val="subscript"/>
          <w:lang w:val="fr-FR"/>
        </w:rPr>
        <w:t>1</w:t>
      </w:r>
      <w:r w:rsidRPr="006102DF">
        <w:rPr>
          <w:lang w:val="fr-FR"/>
        </w:rPr>
        <w:t xml:space="preserve"> inclut également les bicyclettes à entraînement auxiliaire électrique. En raison de la conception générale de ces véhicules, il est difficile d</w:t>
      </w:r>
      <w:r>
        <w:rPr>
          <w:lang w:val="fr-FR"/>
        </w:rPr>
        <w:t>’</w:t>
      </w:r>
      <w:r w:rsidRPr="006102DF">
        <w:rPr>
          <w:lang w:val="fr-FR"/>
        </w:rPr>
        <w:t>installer les indicateurs de direction arrière à l</w:t>
      </w:r>
      <w:r>
        <w:rPr>
          <w:lang w:val="fr-FR"/>
        </w:rPr>
        <w:t>’</w:t>
      </w:r>
      <w:r w:rsidRPr="006102DF">
        <w:rPr>
          <w:lang w:val="fr-FR"/>
        </w:rPr>
        <w:t xml:space="preserve">arrière du véhicule. </w:t>
      </w:r>
      <w:r>
        <w:rPr>
          <w:lang w:val="fr-FR"/>
        </w:rPr>
        <w:t>Par ailleurs</w:t>
      </w:r>
      <w:r w:rsidRPr="006102DF">
        <w:rPr>
          <w:lang w:val="fr-FR"/>
        </w:rPr>
        <w:t xml:space="preserve">, des essais sur le terrain ont montré que ces véhicules ont un </w:t>
      </w:r>
      <w:r w:rsidRPr="001122F9">
        <w:rPr>
          <w:lang w:val="fr-FR"/>
        </w:rPr>
        <w:t>angle de braquage</w:t>
      </w:r>
      <w:r w:rsidRPr="006102DF">
        <w:rPr>
          <w:lang w:val="fr-FR"/>
        </w:rPr>
        <w:t xml:space="preserve"> de </w:t>
      </w:r>
      <w:r>
        <w:rPr>
          <w:lang w:val="fr-FR"/>
        </w:rPr>
        <w:t xml:space="preserve">seulement </w:t>
      </w:r>
      <w:r w:rsidRPr="006102DF">
        <w:rPr>
          <w:lang w:val="fr-FR"/>
        </w:rPr>
        <w:t>3° au maximum dans des conditions normales d</w:t>
      </w:r>
      <w:r>
        <w:rPr>
          <w:lang w:val="fr-FR"/>
        </w:rPr>
        <w:t>’</w:t>
      </w:r>
      <w:r w:rsidRPr="006102DF">
        <w:rPr>
          <w:lang w:val="fr-FR"/>
        </w:rPr>
        <w:t xml:space="preserve">utilisation. Par conséquent, compte </w:t>
      </w:r>
      <w:r>
        <w:rPr>
          <w:lang w:val="fr-FR"/>
        </w:rPr>
        <w:t xml:space="preserve">tenu </w:t>
      </w:r>
      <w:r w:rsidRPr="006102DF">
        <w:rPr>
          <w:lang w:val="fr-FR"/>
        </w:rPr>
        <w:t>des exigences liées à la sécurité routière, il semble acceptable d</w:t>
      </w:r>
      <w:r>
        <w:rPr>
          <w:lang w:val="fr-FR"/>
        </w:rPr>
        <w:t>’</w:t>
      </w:r>
      <w:r w:rsidRPr="006102DF">
        <w:rPr>
          <w:lang w:val="fr-FR"/>
        </w:rPr>
        <w:t>installer des indicateurs de direction arrière facultatifs à l</w:t>
      </w:r>
      <w:r>
        <w:rPr>
          <w:lang w:val="fr-FR"/>
        </w:rPr>
        <w:t>’</w:t>
      </w:r>
      <w:r w:rsidRPr="006102DF">
        <w:rPr>
          <w:lang w:val="fr-FR"/>
        </w:rPr>
        <w:t>extrémité du guidon. Afin de s</w:t>
      </w:r>
      <w:r>
        <w:rPr>
          <w:lang w:val="fr-FR"/>
        </w:rPr>
        <w:t>’</w:t>
      </w:r>
      <w:r w:rsidRPr="006102DF">
        <w:rPr>
          <w:lang w:val="fr-FR"/>
        </w:rPr>
        <w:t>assurer que la visibilité géométrique reste suffisante, la distance minimale de 550</w:t>
      </w:r>
      <w:r>
        <w:rPr>
          <w:lang w:val="fr-FR"/>
        </w:rPr>
        <w:t> </w:t>
      </w:r>
      <w:r w:rsidRPr="006102DF">
        <w:rPr>
          <w:lang w:val="fr-FR"/>
        </w:rPr>
        <w:t>mm</w:t>
      </w:r>
      <w:r w:rsidRPr="006102DF">
        <w:rPr>
          <w:b/>
          <w:bCs/>
          <w:lang w:val="fr-FR"/>
        </w:rPr>
        <w:t xml:space="preserve"> </w:t>
      </w:r>
      <w:r w:rsidRPr="001122F9">
        <w:rPr>
          <w:lang w:val="fr-FR"/>
        </w:rPr>
        <w:t>avec le centre de référence de l</w:t>
      </w:r>
      <w:r>
        <w:rPr>
          <w:lang w:val="fr-FR"/>
        </w:rPr>
        <w:t>’</w:t>
      </w:r>
      <w:r w:rsidRPr="001122F9">
        <w:rPr>
          <w:lang w:val="fr-FR"/>
        </w:rPr>
        <w:t>indicateur arrière facultatif installé sur le guidon</w:t>
      </w:r>
      <w:r w:rsidRPr="006102DF">
        <w:rPr>
          <w:i/>
          <w:iCs/>
          <w:lang w:val="fr-FR"/>
        </w:rPr>
        <w:t xml:space="preserve"> </w:t>
      </w:r>
      <w:r w:rsidRPr="006102DF">
        <w:rPr>
          <w:lang w:val="fr-FR"/>
        </w:rPr>
        <w:t>deviendra obligatoire pour ce type d</w:t>
      </w:r>
      <w:r>
        <w:rPr>
          <w:lang w:val="fr-FR"/>
        </w:rPr>
        <w:t>’</w:t>
      </w:r>
      <w:r w:rsidRPr="006102DF">
        <w:rPr>
          <w:lang w:val="fr-FR"/>
        </w:rPr>
        <w:t>installation. La reconnaissance et la visibilité</w:t>
      </w:r>
      <w:r>
        <w:rPr>
          <w:lang w:val="fr-FR"/>
        </w:rPr>
        <w:t xml:space="preserve"> du véhicule</w:t>
      </w:r>
      <w:r w:rsidRPr="006102DF">
        <w:rPr>
          <w:lang w:val="fr-FR"/>
        </w:rPr>
        <w:t xml:space="preserve"> peuvent ainsi être </w:t>
      </w:r>
      <w:r>
        <w:rPr>
          <w:lang w:val="fr-FR"/>
        </w:rPr>
        <w:t>garanties</w:t>
      </w:r>
      <w:r w:rsidRPr="006102DF">
        <w:rPr>
          <w:lang w:val="fr-FR"/>
        </w:rPr>
        <w:t>.</w:t>
      </w:r>
    </w:p>
    <w:p w14:paraId="5097897D" w14:textId="5FEE88A4" w:rsidR="00DE61DA" w:rsidRPr="006102DF" w:rsidRDefault="00DE61DA" w:rsidP="00DE61DA">
      <w:pPr>
        <w:pStyle w:val="SingleTxtG"/>
        <w:rPr>
          <w:lang w:val="fr-FR"/>
        </w:rPr>
      </w:pPr>
      <w:r w:rsidRPr="006102DF">
        <w:rPr>
          <w:lang w:val="fr-FR"/>
        </w:rPr>
        <w:t>4.</w:t>
      </w:r>
      <w:r w:rsidRPr="006102DF">
        <w:rPr>
          <w:lang w:val="fr-FR"/>
        </w:rPr>
        <w:tab/>
        <w:t>La prescription énoncée au paragraphe</w:t>
      </w:r>
      <w:r>
        <w:rPr>
          <w:lang w:val="fr-FR"/>
        </w:rPr>
        <w:t> </w:t>
      </w:r>
      <w:r w:rsidRPr="006102DF">
        <w:rPr>
          <w:lang w:val="fr-FR"/>
        </w:rPr>
        <w:t xml:space="preserve">6.8.3.3 du Règlement ONU </w:t>
      </w:r>
      <w:r w:rsidR="007043C3" w:rsidRPr="007043C3">
        <w:rPr>
          <w:rFonts w:eastAsia="MS Mincho"/>
          <w:lang w:val="fr-FR"/>
        </w:rPr>
        <w:t>n</w:t>
      </w:r>
      <w:r w:rsidR="007043C3" w:rsidRPr="007043C3">
        <w:rPr>
          <w:rFonts w:eastAsia="MS Mincho"/>
          <w:vertAlign w:val="superscript"/>
          <w:lang w:val="fr-FR"/>
        </w:rPr>
        <w:t>o</w:t>
      </w:r>
      <w:r w:rsidR="007043C3">
        <w:rPr>
          <w:lang w:val="fr-FR"/>
        </w:rPr>
        <w:t xml:space="preserve"> </w:t>
      </w:r>
      <w:r w:rsidRPr="006102DF">
        <w:rPr>
          <w:lang w:val="fr-FR"/>
        </w:rPr>
        <w:t>74 n</w:t>
      </w:r>
      <w:r>
        <w:rPr>
          <w:lang w:val="fr-FR"/>
        </w:rPr>
        <w:t>’</w:t>
      </w:r>
      <w:r w:rsidRPr="006102DF">
        <w:rPr>
          <w:lang w:val="fr-FR"/>
        </w:rPr>
        <w:t>autorise pas l</w:t>
      </w:r>
      <w:r>
        <w:rPr>
          <w:lang w:val="fr-FR"/>
        </w:rPr>
        <w:t>’</w:t>
      </w:r>
      <w:r w:rsidRPr="006102DF">
        <w:rPr>
          <w:lang w:val="fr-FR"/>
        </w:rPr>
        <w:t>installation d</w:t>
      </w:r>
      <w:r>
        <w:rPr>
          <w:lang w:val="fr-FR"/>
        </w:rPr>
        <w:t>’</w:t>
      </w:r>
      <w:r w:rsidRPr="006102DF">
        <w:rPr>
          <w:lang w:val="fr-FR"/>
        </w:rPr>
        <w:t>un indicateur arrière si la distance entre le centre de référence de ce dispositif et le plan transversal correspondant à l</w:t>
      </w:r>
      <w:r>
        <w:rPr>
          <w:lang w:val="fr-FR"/>
        </w:rPr>
        <w:t>’</w:t>
      </w:r>
      <w:r w:rsidRPr="006102DF">
        <w:rPr>
          <w:lang w:val="fr-FR"/>
        </w:rPr>
        <w:t>extrémité arrière de la longueur hors tout du véhicule dépasse 300</w:t>
      </w:r>
      <w:r>
        <w:rPr>
          <w:lang w:val="fr-FR"/>
        </w:rPr>
        <w:t> </w:t>
      </w:r>
      <w:proofErr w:type="spellStart"/>
      <w:r w:rsidRPr="006102DF">
        <w:rPr>
          <w:lang w:val="fr-FR"/>
        </w:rPr>
        <w:t>mm.</w:t>
      </w:r>
      <w:proofErr w:type="spellEnd"/>
      <w:r w:rsidRPr="006102DF">
        <w:rPr>
          <w:lang w:val="fr-FR"/>
        </w:rPr>
        <w:t xml:space="preserve"> En conséquence, l</w:t>
      </w:r>
      <w:r>
        <w:rPr>
          <w:lang w:val="fr-FR"/>
        </w:rPr>
        <w:t>’</w:t>
      </w:r>
      <w:r w:rsidRPr="006102DF">
        <w:rPr>
          <w:lang w:val="fr-FR"/>
        </w:rPr>
        <w:t xml:space="preserve">homologation conformément au Règlement ONU </w:t>
      </w:r>
      <w:r w:rsidR="007043C3" w:rsidRPr="007043C3">
        <w:rPr>
          <w:rFonts w:eastAsia="MS Mincho"/>
          <w:lang w:val="fr-FR"/>
        </w:rPr>
        <w:t>n</w:t>
      </w:r>
      <w:r w:rsidR="007043C3" w:rsidRPr="007043C3">
        <w:rPr>
          <w:rFonts w:eastAsia="MS Mincho"/>
          <w:vertAlign w:val="superscript"/>
          <w:lang w:val="fr-FR"/>
        </w:rPr>
        <w:t>o</w:t>
      </w:r>
      <w:r w:rsidR="007043C3">
        <w:rPr>
          <w:lang w:val="fr-FR"/>
        </w:rPr>
        <w:t xml:space="preserve"> </w:t>
      </w:r>
      <w:r w:rsidRPr="006102DF">
        <w:rPr>
          <w:lang w:val="fr-FR"/>
        </w:rPr>
        <w:t>148 d</w:t>
      </w:r>
      <w:r>
        <w:rPr>
          <w:lang w:val="fr-FR"/>
        </w:rPr>
        <w:t>’</w:t>
      </w:r>
      <w:r w:rsidRPr="006102DF">
        <w:rPr>
          <w:lang w:val="fr-FR"/>
        </w:rPr>
        <w:t xml:space="preserve">un dispositif </w:t>
      </w:r>
      <w:r>
        <w:rPr>
          <w:lang w:val="fr-FR"/>
        </w:rPr>
        <w:t>qui comprend</w:t>
      </w:r>
      <w:r w:rsidRPr="006102DF">
        <w:rPr>
          <w:lang w:val="fr-FR"/>
        </w:rPr>
        <w:t xml:space="preserve"> un indicateur avant et un indicateur arrière pouvant être activés simultanément n</w:t>
      </w:r>
      <w:r>
        <w:rPr>
          <w:lang w:val="fr-FR"/>
        </w:rPr>
        <w:t>’</w:t>
      </w:r>
      <w:r w:rsidRPr="006102DF">
        <w:rPr>
          <w:lang w:val="fr-FR"/>
        </w:rPr>
        <w:t>est pas autorisée. C</w:t>
      </w:r>
      <w:r>
        <w:rPr>
          <w:lang w:val="fr-FR"/>
        </w:rPr>
        <w:t>’</w:t>
      </w:r>
      <w:r w:rsidRPr="006102DF">
        <w:rPr>
          <w:lang w:val="fr-FR"/>
        </w:rPr>
        <w:t xml:space="preserve">est </w:t>
      </w:r>
      <w:r>
        <w:rPr>
          <w:lang w:val="fr-FR"/>
        </w:rPr>
        <w:t xml:space="preserve">la </w:t>
      </w:r>
      <w:r w:rsidRPr="006102DF">
        <w:rPr>
          <w:lang w:val="fr-FR"/>
        </w:rPr>
        <w:t xml:space="preserve">raison </w:t>
      </w:r>
      <w:r w:rsidRPr="001122F9">
        <w:rPr>
          <w:lang w:val="fr-FR"/>
        </w:rPr>
        <w:t xml:space="preserve">pour </w:t>
      </w:r>
      <w:r>
        <w:rPr>
          <w:lang w:val="fr-FR"/>
        </w:rPr>
        <w:t xml:space="preserve">laquelle la présente proposition prévoit que </w:t>
      </w:r>
      <w:r w:rsidRPr="006102DF">
        <w:rPr>
          <w:lang w:val="fr-FR"/>
        </w:rPr>
        <w:t>la prescription énoncée au paragraphe</w:t>
      </w:r>
      <w:r>
        <w:rPr>
          <w:lang w:val="fr-FR"/>
        </w:rPr>
        <w:t> </w:t>
      </w:r>
      <w:r w:rsidRPr="006102DF">
        <w:rPr>
          <w:lang w:val="fr-FR"/>
        </w:rPr>
        <w:t>6.8.3.3 ne s</w:t>
      </w:r>
      <w:r>
        <w:rPr>
          <w:lang w:val="fr-FR"/>
        </w:rPr>
        <w:t>’</w:t>
      </w:r>
      <w:r w:rsidRPr="006102DF">
        <w:rPr>
          <w:lang w:val="fr-FR"/>
        </w:rPr>
        <w:t>applique pas aux indicateurs arrière facultatifs.</w:t>
      </w:r>
    </w:p>
    <w:p w14:paraId="60826B7B" w14:textId="683183A1" w:rsidR="00DE61DA" w:rsidRPr="006102DF" w:rsidRDefault="00DE61DA" w:rsidP="00DE61DA">
      <w:pPr>
        <w:pStyle w:val="SingleTxtG"/>
        <w:rPr>
          <w:lang w:val="fr-FR"/>
        </w:rPr>
      </w:pPr>
      <w:r w:rsidRPr="006102DF">
        <w:rPr>
          <w:lang w:val="fr-FR"/>
        </w:rPr>
        <w:t>5.</w:t>
      </w:r>
      <w:r w:rsidRPr="006102DF">
        <w:rPr>
          <w:lang w:val="fr-FR"/>
        </w:rPr>
        <w:tab/>
        <w:t>Afin de faire la distinction entre un dispositif qui satisfait à la prescription s</w:t>
      </w:r>
      <w:r>
        <w:rPr>
          <w:lang w:val="fr-FR"/>
        </w:rPr>
        <w:t>’</w:t>
      </w:r>
      <w:r w:rsidRPr="006102DF">
        <w:rPr>
          <w:lang w:val="fr-FR"/>
        </w:rPr>
        <w:t>appliquant aux indicateurs avant de la catégorie</w:t>
      </w:r>
      <w:r>
        <w:rPr>
          <w:lang w:val="fr-FR"/>
        </w:rPr>
        <w:t> </w:t>
      </w:r>
      <w:r w:rsidRPr="006102DF">
        <w:rPr>
          <w:lang w:val="fr-FR"/>
        </w:rPr>
        <w:t>11 et aux indicateurs arrière de la catégorie</w:t>
      </w:r>
      <w:r>
        <w:rPr>
          <w:lang w:val="fr-FR"/>
        </w:rPr>
        <w:t> </w:t>
      </w:r>
      <w:r w:rsidRPr="006102DF">
        <w:rPr>
          <w:lang w:val="fr-FR"/>
        </w:rPr>
        <w:t>12</w:t>
      </w:r>
      <w:r>
        <w:rPr>
          <w:lang w:val="fr-FR"/>
        </w:rPr>
        <w:t xml:space="preserve">, sans que </w:t>
      </w:r>
      <w:r w:rsidRPr="006102DF">
        <w:rPr>
          <w:lang w:val="fr-FR"/>
        </w:rPr>
        <w:t xml:space="preserve">ceux-ci </w:t>
      </w:r>
      <w:r>
        <w:rPr>
          <w:lang w:val="fr-FR"/>
        </w:rPr>
        <w:t>puissent</w:t>
      </w:r>
      <w:r w:rsidRPr="006102DF">
        <w:rPr>
          <w:lang w:val="fr-FR"/>
        </w:rPr>
        <w:t xml:space="preserve"> être activés simultanément, et un dispositif </w:t>
      </w:r>
      <w:r>
        <w:rPr>
          <w:lang w:val="fr-FR"/>
        </w:rPr>
        <w:t>dont</w:t>
      </w:r>
      <w:r w:rsidRPr="006102DF">
        <w:rPr>
          <w:lang w:val="fr-FR"/>
        </w:rPr>
        <w:t xml:space="preserve"> les indicateurs peuvent être activés simultanément, </w:t>
      </w:r>
      <w:r>
        <w:rPr>
          <w:lang w:val="fr-FR"/>
        </w:rPr>
        <w:t>les experts</w:t>
      </w:r>
      <w:r w:rsidRPr="006102DF">
        <w:rPr>
          <w:lang w:val="fr-FR"/>
        </w:rPr>
        <w:t xml:space="preserve"> de l</w:t>
      </w:r>
      <w:r>
        <w:rPr>
          <w:lang w:val="fr-FR"/>
        </w:rPr>
        <w:t>’</w:t>
      </w:r>
      <w:r w:rsidRPr="006102DF">
        <w:rPr>
          <w:lang w:val="fr-FR"/>
        </w:rPr>
        <w:t>Allemagne estime</w:t>
      </w:r>
      <w:r>
        <w:rPr>
          <w:lang w:val="fr-FR"/>
        </w:rPr>
        <w:t>nt</w:t>
      </w:r>
      <w:r w:rsidRPr="006102DF">
        <w:rPr>
          <w:lang w:val="fr-FR"/>
        </w:rPr>
        <w:t xml:space="preserve"> nécessaire d</w:t>
      </w:r>
      <w:r>
        <w:rPr>
          <w:lang w:val="fr-FR"/>
        </w:rPr>
        <w:t xml:space="preserve">’ajouter le </w:t>
      </w:r>
      <w:r w:rsidRPr="006102DF">
        <w:rPr>
          <w:lang w:val="fr-FR"/>
        </w:rPr>
        <w:t xml:space="preserve">symbole </w:t>
      </w:r>
      <w:r>
        <w:rPr>
          <w:lang w:val="fr-FR"/>
        </w:rPr>
        <w:t>« </w:t>
      </w:r>
      <w:r w:rsidRPr="006102DF">
        <w:rPr>
          <w:lang w:val="fr-FR"/>
        </w:rPr>
        <w:t>-</w:t>
      </w:r>
      <w:r>
        <w:rPr>
          <w:lang w:val="fr-FR"/>
        </w:rPr>
        <w:t>»</w:t>
      </w:r>
      <w:r w:rsidRPr="006102DF">
        <w:rPr>
          <w:lang w:val="fr-FR"/>
        </w:rPr>
        <w:t xml:space="preserve"> entre les symboles indiquant les fonctions du dispositif et de </w:t>
      </w:r>
      <w:r>
        <w:rPr>
          <w:lang w:val="fr-FR"/>
        </w:rPr>
        <w:t>proposer que le</w:t>
      </w:r>
      <w:r w:rsidRPr="006102DF">
        <w:rPr>
          <w:b/>
          <w:bCs/>
          <w:lang w:val="fr-FR"/>
        </w:rPr>
        <w:t xml:space="preserve"> </w:t>
      </w:r>
      <w:r w:rsidRPr="006102DF">
        <w:rPr>
          <w:lang w:val="fr-FR"/>
        </w:rPr>
        <w:t xml:space="preserve">Règlement ONU </w:t>
      </w:r>
      <w:r w:rsidR="007043C3" w:rsidRPr="007043C3">
        <w:rPr>
          <w:rFonts w:eastAsia="MS Mincho"/>
          <w:lang w:val="fr-FR"/>
        </w:rPr>
        <w:t>n</w:t>
      </w:r>
      <w:r w:rsidR="007043C3" w:rsidRPr="007043C3">
        <w:rPr>
          <w:rFonts w:eastAsia="MS Mincho"/>
          <w:vertAlign w:val="superscript"/>
          <w:lang w:val="fr-FR"/>
        </w:rPr>
        <w:t>o</w:t>
      </w:r>
      <w:r w:rsidR="007043C3">
        <w:rPr>
          <w:lang w:val="fr-FR"/>
        </w:rPr>
        <w:t xml:space="preserve"> </w:t>
      </w:r>
      <w:r w:rsidRPr="006102DF">
        <w:rPr>
          <w:lang w:val="fr-FR"/>
        </w:rPr>
        <w:t>148</w:t>
      </w:r>
      <w:r>
        <w:rPr>
          <w:lang w:val="fr-FR"/>
        </w:rPr>
        <w:t xml:space="preserve"> soit modifié dans ce sens</w:t>
      </w:r>
      <w:r w:rsidRPr="006102DF">
        <w:rPr>
          <w:lang w:val="fr-FR"/>
        </w:rPr>
        <w:t>.</w:t>
      </w:r>
    </w:p>
    <w:p w14:paraId="0C5C4191" w14:textId="2CB58F79" w:rsidR="00DE61DA" w:rsidRPr="00DE61DA" w:rsidRDefault="00DE61DA" w:rsidP="00DE61DA">
      <w:pPr>
        <w:spacing w:before="240"/>
        <w:jc w:val="center"/>
        <w:rPr>
          <w:u w:val="single"/>
          <w:lang w:val="fr-FR"/>
        </w:rPr>
      </w:pPr>
      <w:r w:rsidRPr="006102DF">
        <w:rPr>
          <w:rFonts w:asciiTheme="majorBidi" w:hAnsiTheme="majorBidi"/>
          <w:u w:val="single"/>
          <w:lang w:val="fr-FR"/>
        </w:rPr>
        <w:tab/>
      </w:r>
      <w:r w:rsidRPr="006102DF">
        <w:rPr>
          <w:rFonts w:asciiTheme="majorBidi" w:hAnsiTheme="majorBidi"/>
          <w:u w:val="single"/>
          <w:lang w:val="fr-FR"/>
        </w:rPr>
        <w:tab/>
      </w:r>
      <w:r w:rsidRPr="006102DF">
        <w:rPr>
          <w:rFonts w:asciiTheme="majorBidi" w:hAnsiTheme="majorBidi"/>
          <w:u w:val="single"/>
          <w:lang w:val="fr-FR"/>
        </w:rPr>
        <w:tab/>
      </w:r>
      <w:bookmarkEnd w:id="1"/>
    </w:p>
    <w:sectPr w:rsidR="00DE61DA" w:rsidRPr="00DE61DA" w:rsidSect="00DE61D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757C1" w14:textId="77777777" w:rsidR="00F31636" w:rsidRDefault="00F31636" w:rsidP="00F95C08">
      <w:pPr>
        <w:spacing w:line="240" w:lineRule="auto"/>
      </w:pPr>
    </w:p>
  </w:endnote>
  <w:endnote w:type="continuationSeparator" w:id="0">
    <w:p w14:paraId="0DAF2A68" w14:textId="77777777" w:rsidR="00F31636" w:rsidRPr="00AC3823" w:rsidRDefault="00F31636" w:rsidP="00AC3823">
      <w:pPr>
        <w:pStyle w:val="Pieddepage"/>
      </w:pPr>
    </w:p>
  </w:endnote>
  <w:endnote w:type="continuationNotice" w:id="1">
    <w:p w14:paraId="0F66A183" w14:textId="77777777" w:rsidR="00F31636" w:rsidRDefault="00F316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9EE6" w14:textId="351E7A76" w:rsidR="00DE61DA" w:rsidRPr="00DE61DA" w:rsidRDefault="00DE61DA" w:rsidP="00DE61DA">
    <w:pPr>
      <w:pStyle w:val="Pieddepage"/>
      <w:tabs>
        <w:tab w:val="right" w:pos="9638"/>
      </w:tabs>
    </w:pPr>
    <w:r w:rsidRPr="00DE61DA">
      <w:rPr>
        <w:b/>
        <w:sz w:val="18"/>
      </w:rPr>
      <w:fldChar w:fldCharType="begin"/>
    </w:r>
    <w:r w:rsidRPr="00DE61DA">
      <w:rPr>
        <w:b/>
        <w:sz w:val="18"/>
      </w:rPr>
      <w:instrText xml:space="preserve"> PAGE  \* MERGEFORMAT </w:instrText>
    </w:r>
    <w:r w:rsidRPr="00DE61DA">
      <w:rPr>
        <w:b/>
        <w:sz w:val="18"/>
      </w:rPr>
      <w:fldChar w:fldCharType="separate"/>
    </w:r>
    <w:r w:rsidRPr="00DE61DA">
      <w:rPr>
        <w:b/>
        <w:noProof/>
        <w:sz w:val="18"/>
      </w:rPr>
      <w:t>2</w:t>
    </w:r>
    <w:r w:rsidRPr="00DE61DA">
      <w:rPr>
        <w:b/>
        <w:sz w:val="18"/>
      </w:rPr>
      <w:fldChar w:fldCharType="end"/>
    </w:r>
    <w:r>
      <w:rPr>
        <w:b/>
        <w:sz w:val="18"/>
      </w:rPr>
      <w:tab/>
    </w:r>
    <w:r>
      <w:t>GE.24-02669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7BAF" w14:textId="7EF65C29" w:rsidR="00DE61DA" w:rsidRPr="00DE61DA" w:rsidRDefault="00DE61DA" w:rsidP="00DE61DA">
    <w:pPr>
      <w:pStyle w:val="Pieddepage"/>
      <w:tabs>
        <w:tab w:val="right" w:pos="9638"/>
      </w:tabs>
      <w:rPr>
        <w:b/>
        <w:sz w:val="18"/>
      </w:rPr>
    </w:pPr>
    <w:r>
      <w:t>GE.24-02669</w:t>
    </w:r>
    <w:r>
      <w:tab/>
    </w:r>
    <w:r w:rsidRPr="00DE61DA">
      <w:rPr>
        <w:b/>
        <w:sz w:val="18"/>
      </w:rPr>
      <w:fldChar w:fldCharType="begin"/>
    </w:r>
    <w:r w:rsidRPr="00DE61DA">
      <w:rPr>
        <w:b/>
        <w:sz w:val="18"/>
      </w:rPr>
      <w:instrText xml:space="preserve"> PAGE  \* MERGEFORMAT </w:instrText>
    </w:r>
    <w:r w:rsidRPr="00DE61DA">
      <w:rPr>
        <w:b/>
        <w:sz w:val="18"/>
      </w:rPr>
      <w:fldChar w:fldCharType="separate"/>
    </w:r>
    <w:r w:rsidRPr="00DE61DA">
      <w:rPr>
        <w:b/>
        <w:noProof/>
        <w:sz w:val="18"/>
      </w:rPr>
      <w:t>3</w:t>
    </w:r>
    <w:r w:rsidRPr="00DE61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E1E6" w14:textId="2809CDB4" w:rsidR="007F20FA" w:rsidRPr="00DE61DA" w:rsidRDefault="00DE61DA" w:rsidP="00DE61D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9B9588D" wp14:editId="4D6D7D3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24-02669  (F)</w:t>
    </w:r>
    <w:r>
      <w:rPr>
        <w:noProof/>
        <w:sz w:val="20"/>
      </w:rPr>
      <w:drawing>
        <wp:anchor distT="0" distB="0" distL="114300" distR="114300" simplePos="0" relativeHeight="251660288" behindDoc="0" locked="0" layoutInCell="1" allowOverlap="1" wp14:anchorId="311171A5" wp14:editId="4F5D1832">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080324    080324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8D6EF" w14:textId="77777777" w:rsidR="00F31636" w:rsidRPr="00AC3823" w:rsidRDefault="00F31636" w:rsidP="00AC3823">
      <w:pPr>
        <w:pStyle w:val="Pieddepage"/>
        <w:tabs>
          <w:tab w:val="right" w:pos="2155"/>
        </w:tabs>
        <w:spacing w:after="80" w:line="240" w:lineRule="atLeast"/>
        <w:ind w:left="680"/>
        <w:rPr>
          <w:u w:val="single"/>
        </w:rPr>
      </w:pPr>
      <w:r>
        <w:rPr>
          <w:u w:val="single"/>
        </w:rPr>
        <w:tab/>
      </w:r>
    </w:p>
  </w:footnote>
  <w:footnote w:type="continuationSeparator" w:id="0">
    <w:p w14:paraId="169CDA5C" w14:textId="77777777" w:rsidR="00F31636" w:rsidRPr="00AC3823" w:rsidRDefault="00F31636" w:rsidP="00AC3823">
      <w:pPr>
        <w:pStyle w:val="Pieddepage"/>
        <w:tabs>
          <w:tab w:val="right" w:pos="2155"/>
        </w:tabs>
        <w:spacing w:after="80" w:line="240" w:lineRule="atLeast"/>
        <w:ind w:left="680"/>
        <w:rPr>
          <w:u w:val="single"/>
        </w:rPr>
      </w:pPr>
      <w:r>
        <w:rPr>
          <w:u w:val="single"/>
        </w:rPr>
        <w:tab/>
      </w:r>
    </w:p>
  </w:footnote>
  <w:footnote w:type="continuationNotice" w:id="1">
    <w:p w14:paraId="182CA9C3" w14:textId="77777777" w:rsidR="00F31636" w:rsidRPr="00AC3823" w:rsidRDefault="00F31636">
      <w:pPr>
        <w:spacing w:line="240" w:lineRule="auto"/>
        <w:rPr>
          <w:sz w:val="2"/>
          <w:szCs w:val="2"/>
        </w:rPr>
      </w:pPr>
    </w:p>
  </w:footnote>
  <w:footnote w:id="2">
    <w:p w14:paraId="393A4B87" w14:textId="77777777" w:rsidR="00DE61DA" w:rsidRPr="00790D97" w:rsidRDefault="00DE61DA" w:rsidP="00DE61DA">
      <w:pPr>
        <w:pStyle w:val="Notedebasdepage"/>
      </w:pPr>
      <w:r>
        <w:rPr>
          <w:lang w:val="fr-FR"/>
        </w:rPr>
        <w:tab/>
      </w:r>
      <w:r w:rsidRPr="00DE61DA">
        <w:rPr>
          <w:lang w:val="fr-FR"/>
        </w:rPr>
        <w:t>*</w:t>
      </w:r>
      <w:r>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E30D" w14:textId="7D0A91B8" w:rsidR="00DE61DA" w:rsidRPr="00DE61DA" w:rsidRDefault="00DE61DA">
    <w:pPr>
      <w:pStyle w:val="En-tte"/>
    </w:pPr>
    <w:fldSimple w:instr=" TITLE  \* MERGEFORMAT ">
      <w:r>
        <w:t>ECE/TRANS/WP.29/GRE/2024/9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F9D6" w14:textId="283EBACD" w:rsidR="00DE61DA" w:rsidRPr="00DE61DA" w:rsidRDefault="00DE61DA" w:rsidP="00DE61DA">
    <w:pPr>
      <w:pStyle w:val="En-tte"/>
      <w:jc w:val="right"/>
    </w:pPr>
    <w:fldSimple w:instr=" TITLE  \* MERGEFORMAT ">
      <w:r>
        <w:t>ECE/TRANS/WP.29/GRE/2024/9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26934739">
    <w:abstractNumId w:val="12"/>
  </w:num>
  <w:num w:numId="2" w16cid:durableId="1973974158">
    <w:abstractNumId w:val="11"/>
  </w:num>
  <w:num w:numId="3" w16cid:durableId="198396330">
    <w:abstractNumId w:val="10"/>
  </w:num>
  <w:num w:numId="4" w16cid:durableId="1204053456">
    <w:abstractNumId w:val="8"/>
  </w:num>
  <w:num w:numId="5" w16cid:durableId="1301111105">
    <w:abstractNumId w:val="3"/>
  </w:num>
  <w:num w:numId="6" w16cid:durableId="338000438">
    <w:abstractNumId w:val="2"/>
  </w:num>
  <w:num w:numId="7" w16cid:durableId="1466002761">
    <w:abstractNumId w:val="1"/>
  </w:num>
  <w:num w:numId="8" w16cid:durableId="1857574796">
    <w:abstractNumId w:val="0"/>
  </w:num>
  <w:num w:numId="9" w16cid:durableId="1620070783">
    <w:abstractNumId w:val="9"/>
  </w:num>
  <w:num w:numId="10" w16cid:durableId="656956695">
    <w:abstractNumId w:val="7"/>
  </w:num>
  <w:num w:numId="11" w16cid:durableId="659777079">
    <w:abstractNumId w:val="6"/>
  </w:num>
  <w:num w:numId="12" w16cid:durableId="761608419">
    <w:abstractNumId w:val="5"/>
  </w:num>
  <w:num w:numId="13" w16cid:durableId="1909412211">
    <w:abstractNumId w:val="4"/>
  </w:num>
  <w:num w:numId="14" w16cid:durableId="1938903136">
    <w:abstractNumId w:val="12"/>
  </w:num>
  <w:num w:numId="15" w16cid:durableId="80612327">
    <w:abstractNumId w:val="11"/>
  </w:num>
  <w:num w:numId="16" w16cid:durableId="17090629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36"/>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D1AD2"/>
    <w:rsid w:val="007043C3"/>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E61DA"/>
    <w:rsid w:val="00DF6678"/>
    <w:rsid w:val="00E0299A"/>
    <w:rsid w:val="00E85C74"/>
    <w:rsid w:val="00EA6547"/>
    <w:rsid w:val="00ED7237"/>
    <w:rsid w:val="00EF2E22"/>
    <w:rsid w:val="00F31636"/>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BBA44"/>
  <w15:docId w15:val="{C36B7184-3A3A-4251-87F3-F1551D30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5_GR"/>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5_GR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DE61DA"/>
    <w:rPr>
      <w:rFonts w:ascii="Times New Roman" w:eastAsiaTheme="minorHAnsi" w:hAnsi="Times New Roman" w:cs="Times New Roman"/>
      <w:b/>
      <w:sz w:val="28"/>
      <w:szCs w:val="20"/>
      <w:lang w:eastAsia="en-US"/>
    </w:rPr>
  </w:style>
  <w:style w:type="character" w:customStyle="1" w:styleId="H1GChar">
    <w:name w:val="_ H_1_G Char"/>
    <w:link w:val="H1G"/>
    <w:rsid w:val="00DE61DA"/>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DE61D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5FF069-FEAF-4372-969A-403941278A28}">
  <ds:schemaRefs>
    <ds:schemaRef ds:uri="http://schemas.openxmlformats.org/officeDocument/2006/bibliography"/>
  </ds:schemaRefs>
</ds:datastoreItem>
</file>

<file path=customXml/itemProps2.xml><?xml version="1.0" encoding="utf-8"?>
<ds:datastoreItem xmlns:ds="http://schemas.openxmlformats.org/officeDocument/2006/customXml" ds:itemID="{BFCAAD86-11B8-4C86-B16D-2D637C6F1435}"/>
</file>

<file path=customXml/itemProps3.xml><?xml version="1.0" encoding="utf-8"?>
<ds:datastoreItem xmlns:ds="http://schemas.openxmlformats.org/officeDocument/2006/customXml" ds:itemID="{54C6F83B-2648-41E2-AEA6-29D7971E6603}"/>
</file>

<file path=docProps/app.xml><?xml version="1.0" encoding="utf-8"?>
<Properties xmlns="http://schemas.openxmlformats.org/officeDocument/2006/extended-properties" xmlns:vt="http://schemas.openxmlformats.org/officeDocument/2006/docPropsVTypes">
  <Template>ECE_TRANS.dotm</Template>
  <TotalTime>1</TotalTime>
  <Pages>4</Pages>
  <Words>1100</Words>
  <Characters>7701</Characters>
  <Application>Microsoft Office Word</Application>
  <DocSecurity>0</DocSecurity>
  <Lines>641</Lines>
  <Paragraphs>352</Paragraphs>
  <ScaleCrop>false</ScaleCrop>
  <HeadingPairs>
    <vt:vector size="2" baseType="variant">
      <vt:variant>
        <vt:lpstr>Titre</vt:lpstr>
      </vt:variant>
      <vt:variant>
        <vt:i4>1</vt:i4>
      </vt:variant>
    </vt:vector>
  </HeadingPairs>
  <TitlesOfParts>
    <vt:vector size="1" baseType="lpstr">
      <vt:lpstr>ECE/TRANS/WP.29/GRE/2024/9</vt:lpstr>
    </vt:vector>
  </TitlesOfParts>
  <Company>DCM</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ECE/TRANS/WP.29/GRE/2024/9</dc:title>
  <dc:subject/>
  <dc:creator>Sandrine CLERE</dc:creator>
  <cp:keywords/>
  <cp:lastModifiedBy>Sandrine Clere</cp:lastModifiedBy>
  <cp:revision>2</cp:revision>
  <cp:lastPrinted>2014-05-14T10:59:00Z</cp:lastPrinted>
  <dcterms:created xsi:type="dcterms:W3CDTF">2024-03-08T14:22:00Z</dcterms:created>
  <dcterms:modified xsi:type="dcterms:W3CDTF">2024-03-08T14:22:00Z</dcterms:modified>
</cp:coreProperties>
</file>