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130DD2A" w14:textId="77777777" w:rsidTr="00C97039">
        <w:trPr>
          <w:trHeight w:hRule="exact" w:val="851"/>
        </w:trPr>
        <w:tc>
          <w:tcPr>
            <w:tcW w:w="1276" w:type="dxa"/>
            <w:tcBorders>
              <w:bottom w:val="single" w:sz="4" w:space="0" w:color="auto"/>
            </w:tcBorders>
          </w:tcPr>
          <w:p w14:paraId="7E479E37" w14:textId="77777777" w:rsidR="00F35BAF" w:rsidRPr="00DB58B5" w:rsidRDefault="00F35BAF" w:rsidP="007910D5"/>
        </w:tc>
        <w:tc>
          <w:tcPr>
            <w:tcW w:w="2268" w:type="dxa"/>
            <w:tcBorders>
              <w:bottom w:val="single" w:sz="4" w:space="0" w:color="auto"/>
            </w:tcBorders>
            <w:vAlign w:val="bottom"/>
          </w:tcPr>
          <w:p w14:paraId="1C8D9D1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CF5D07" w14:textId="78C7FFB1" w:rsidR="00F35BAF" w:rsidRPr="00DB58B5" w:rsidRDefault="007910D5" w:rsidP="007910D5">
            <w:pPr>
              <w:jc w:val="right"/>
            </w:pPr>
            <w:r w:rsidRPr="007910D5">
              <w:rPr>
                <w:sz w:val="40"/>
              </w:rPr>
              <w:t>ECE</w:t>
            </w:r>
            <w:r>
              <w:t>/TRANS/WP.29/GRE/2024/1</w:t>
            </w:r>
          </w:p>
        </w:tc>
      </w:tr>
      <w:tr w:rsidR="00F35BAF" w:rsidRPr="00DB58B5" w14:paraId="255E92A5" w14:textId="77777777" w:rsidTr="00C97039">
        <w:trPr>
          <w:trHeight w:hRule="exact" w:val="2835"/>
        </w:trPr>
        <w:tc>
          <w:tcPr>
            <w:tcW w:w="1276" w:type="dxa"/>
            <w:tcBorders>
              <w:top w:val="single" w:sz="4" w:space="0" w:color="auto"/>
              <w:bottom w:val="single" w:sz="12" w:space="0" w:color="auto"/>
            </w:tcBorders>
          </w:tcPr>
          <w:p w14:paraId="5AA16567" w14:textId="77777777" w:rsidR="00F35BAF" w:rsidRPr="00DB58B5" w:rsidRDefault="00F35BAF" w:rsidP="00C97039">
            <w:pPr>
              <w:spacing w:before="120"/>
              <w:jc w:val="center"/>
            </w:pPr>
            <w:r>
              <w:rPr>
                <w:noProof/>
                <w:lang w:eastAsia="fr-CH"/>
              </w:rPr>
              <w:drawing>
                <wp:inline distT="0" distB="0" distL="0" distR="0" wp14:anchorId="2B2E68BF" wp14:editId="2E753C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BC15C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61A7280" w14:textId="77777777" w:rsidR="00F35BAF" w:rsidRDefault="007910D5" w:rsidP="00C97039">
            <w:pPr>
              <w:spacing w:before="240"/>
            </w:pPr>
            <w:r>
              <w:t>Distr. générale</w:t>
            </w:r>
          </w:p>
          <w:p w14:paraId="7C13B91E" w14:textId="77777777" w:rsidR="007910D5" w:rsidRDefault="007910D5" w:rsidP="007910D5">
            <w:pPr>
              <w:spacing w:line="240" w:lineRule="exact"/>
            </w:pPr>
            <w:r>
              <w:t>12 février 2024</w:t>
            </w:r>
          </w:p>
          <w:p w14:paraId="0409A0BB" w14:textId="77777777" w:rsidR="007910D5" w:rsidRDefault="007910D5" w:rsidP="007910D5">
            <w:pPr>
              <w:spacing w:line="240" w:lineRule="exact"/>
            </w:pPr>
            <w:r>
              <w:t>Français</w:t>
            </w:r>
          </w:p>
          <w:p w14:paraId="569B782F" w14:textId="2A5A2AD6" w:rsidR="007910D5" w:rsidRPr="00DB58B5" w:rsidRDefault="007910D5" w:rsidP="007910D5">
            <w:pPr>
              <w:spacing w:line="240" w:lineRule="exact"/>
            </w:pPr>
            <w:r>
              <w:t>Original : anglais</w:t>
            </w:r>
          </w:p>
        </w:tc>
      </w:tr>
    </w:tbl>
    <w:p w14:paraId="382C892D" w14:textId="77777777" w:rsidR="007F20FA" w:rsidRPr="000312C0" w:rsidRDefault="007F20FA" w:rsidP="007F20FA">
      <w:pPr>
        <w:spacing w:before="120"/>
        <w:rPr>
          <w:b/>
          <w:sz w:val="28"/>
          <w:szCs w:val="28"/>
        </w:rPr>
      </w:pPr>
      <w:r w:rsidRPr="000312C0">
        <w:rPr>
          <w:b/>
          <w:sz w:val="28"/>
          <w:szCs w:val="28"/>
        </w:rPr>
        <w:t>Commission économique pour l’Europe</w:t>
      </w:r>
    </w:p>
    <w:p w14:paraId="1F9756E5" w14:textId="77777777" w:rsidR="007F20FA" w:rsidRDefault="007F20FA" w:rsidP="007F20FA">
      <w:pPr>
        <w:spacing w:before="120"/>
        <w:rPr>
          <w:sz w:val="28"/>
          <w:szCs w:val="28"/>
        </w:rPr>
      </w:pPr>
      <w:r w:rsidRPr="00685843">
        <w:rPr>
          <w:sz w:val="28"/>
          <w:szCs w:val="28"/>
        </w:rPr>
        <w:t>Comité des transports intérieurs</w:t>
      </w:r>
    </w:p>
    <w:p w14:paraId="11E8A2B2" w14:textId="77777777" w:rsidR="007910D5" w:rsidRDefault="007910D5"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4B64B60" w14:textId="77777777" w:rsidR="007910D5" w:rsidRDefault="007910D5" w:rsidP="00257168">
      <w:pPr>
        <w:spacing w:before="120" w:after="120" w:line="240" w:lineRule="exact"/>
        <w:rPr>
          <w:b/>
        </w:rPr>
      </w:pPr>
      <w:r>
        <w:rPr>
          <w:b/>
        </w:rPr>
        <w:t>Groupe de travail de l’éclairage et de la signalisation lumineuse</w:t>
      </w:r>
    </w:p>
    <w:p w14:paraId="625B9787" w14:textId="77777777" w:rsidR="007910D5" w:rsidRPr="00780E14" w:rsidRDefault="007910D5" w:rsidP="007910D5">
      <w:pPr>
        <w:spacing w:before="120"/>
        <w:rPr>
          <w:b/>
        </w:rPr>
      </w:pPr>
      <w:r>
        <w:rPr>
          <w:b/>
          <w:bCs/>
          <w:lang w:val="fr-FR"/>
        </w:rPr>
        <w:t>Quatre-vingt-dixième session</w:t>
      </w:r>
    </w:p>
    <w:p w14:paraId="6ED10D7A" w14:textId="5FFCB279" w:rsidR="007910D5" w:rsidRPr="00780E14" w:rsidRDefault="007910D5" w:rsidP="007910D5">
      <w:pPr>
        <w:ind w:right="1134"/>
      </w:pPr>
      <w:r>
        <w:rPr>
          <w:lang w:val="fr-FR"/>
        </w:rPr>
        <w:t>Genève, 29</w:t>
      </w:r>
      <w:r>
        <w:rPr>
          <w:lang w:val="fr-FR"/>
        </w:rPr>
        <w:t> </w:t>
      </w:r>
      <w:r>
        <w:rPr>
          <w:lang w:val="fr-FR"/>
        </w:rPr>
        <w:t>avril-3 mai 2024</w:t>
      </w:r>
    </w:p>
    <w:p w14:paraId="64FEEFB0" w14:textId="4D79E700" w:rsidR="007910D5" w:rsidRPr="00780E14" w:rsidRDefault="007910D5" w:rsidP="007910D5">
      <w:r>
        <w:rPr>
          <w:lang w:val="fr-FR"/>
        </w:rPr>
        <w:t>Point</w:t>
      </w:r>
      <w:r>
        <w:rPr>
          <w:lang w:val="fr-FR"/>
        </w:rPr>
        <w:t> </w:t>
      </w:r>
      <w:r>
        <w:rPr>
          <w:lang w:val="fr-FR"/>
        </w:rPr>
        <w:t>1 de l’ordre du jour provisoire</w:t>
      </w:r>
    </w:p>
    <w:p w14:paraId="233E2235" w14:textId="77777777" w:rsidR="007910D5" w:rsidRPr="00780E14" w:rsidRDefault="007910D5" w:rsidP="007910D5">
      <w:pPr>
        <w:rPr>
          <w:b/>
        </w:rPr>
      </w:pPr>
      <w:r>
        <w:rPr>
          <w:b/>
          <w:bCs/>
          <w:lang w:val="fr-FR"/>
        </w:rPr>
        <w:t>Adoption de l’ordre du jour</w:t>
      </w:r>
    </w:p>
    <w:p w14:paraId="21B31AFB" w14:textId="62FE811B" w:rsidR="007910D5" w:rsidRPr="00780E14" w:rsidRDefault="007910D5" w:rsidP="00680AF9">
      <w:pPr>
        <w:pStyle w:val="HChG"/>
      </w:pPr>
      <w:bookmarkStart w:id="0" w:name="OLE_LINK2"/>
      <w:r>
        <w:rPr>
          <w:lang w:val="fr-FR"/>
        </w:rPr>
        <w:tab/>
      </w:r>
      <w:r>
        <w:rPr>
          <w:lang w:val="fr-FR"/>
        </w:rPr>
        <w:tab/>
        <w:t>Ordre du jour provisoire annoté de la quatre-vingt-dixième session</w:t>
      </w:r>
      <w:r w:rsidRPr="00680AF9">
        <w:rPr>
          <w:rStyle w:val="Appelnotedebasdep"/>
          <w:b w:val="0"/>
          <w:sz w:val="20"/>
          <w:vertAlign w:val="baseline"/>
          <w:lang w:val="fr-FR"/>
        </w:rPr>
        <w:footnoteReference w:customMarkFollows="1" w:id="2"/>
        <w:t>*</w:t>
      </w:r>
      <w:r w:rsidR="00680AF9" w:rsidRPr="00680AF9">
        <w:rPr>
          <w:rStyle w:val="Appelnotedebasdep"/>
          <w:b w:val="0"/>
          <w:sz w:val="20"/>
          <w:lang w:val="fr-FR"/>
        </w:rPr>
        <w:t>,</w:t>
      </w:r>
      <w:r w:rsidR="00680AF9" w:rsidRPr="00680AF9">
        <w:rPr>
          <w:b w:val="0"/>
          <w:sz w:val="20"/>
          <w:lang w:val="fr-FR"/>
        </w:rPr>
        <w:t xml:space="preserve"> </w:t>
      </w:r>
      <w:r w:rsidRPr="00680AF9">
        <w:rPr>
          <w:rStyle w:val="Appelnotedebasdep"/>
          <w:b w:val="0"/>
          <w:sz w:val="20"/>
          <w:vertAlign w:val="baseline"/>
          <w:lang w:val="fr-FR"/>
        </w:rPr>
        <w:footnoteReference w:customMarkFollows="1" w:id="3"/>
        <w:t>**</w:t>
      </w:r>
      <w:r>
        <w:rPr>
          <w:lang w:val="fr-FR"/>
        </w:rPr>
        <w:t xml:space="preserve"> </w:t>
      </w:r>
      <w:bookmarkEnd w:id="0"/>
    </w:p>
    <w:p w14:paraId="6F1ECCD9" w14:textId="7252C7BE" w:rsidR="007910D5" w:rsidRPr="00780E14" w:rsidRDefault="007910D5" w:rsidP="007910D5">
      <w:pPr>
        <w:pStyle w:val="H56G"/>
      </w:pPr>
      <w:r>
        <w:rPr>
          <w:lang w:val="fr-FR"/>
        </w:rPr>
        <w:tab/>
      </w:r>
      <w:r>
        <w:rPr>
          <w:lang w:val="fr-FR"/>
        </w:rPr>
        <w:tab/>
        <w:t>Q</w:t>
      </w:r>
      <w:r>
        <w:rPr>
          <w:lang w:val="fr-FR"/>
        </w:rPr>
        <w:t>ui se tiendra du 29</w:t>
      </w:r>
      <w:r>
        <w:rPr>
          <w:lang w:val="fr-FR"/>
        </w:rPr>
        <w:t> </w:t>
      </w:r>
      <w:r>
        <w:rPr>
          <w:lang w:val="fr-FR"/>
        </w:rPr>
        <w:t>avril 2024 à 14 h 30 au 3</w:t>
      </w:r>
      <w:r>
        <w:rPr>
          <w:lang w:val="fr-FR"/>
        </w:rPr>
        <w:t> </w:t>
      </w:r>
      <w:r>
        <w:rPr>
          <w:lang w:val="fr-FR"/>
        </w:rPr>
        <w:t>mai 2024 à 12 h 30</w:t>
      </w:r>
    </w:p>
    <w:p w14:paraId="0BA58D7B" w14:textId="017B6A4F" w:rsidR="007910D5" w:rsidRPr="00780E14" w:rsidRDefault="007910D5" w:rsidP="007910D5">
      <w:pPr>
        <w:pStyle w:val="HChG"/>
      </w:pPr>
      <w:r>
        <w:rPr>
          <w:bCs/>
          <w:lang w:val="fr-FR"/>
        </w:rPr>
        <w:tab/>
      </w:r>
      <w:r>
        <w:rPr>
          <w:bCs/>
          <w:lang w:val="fr-FR"/>
        </w:rPr>
        <w:t>I.</w:t>
      </w:r>
      <w:r>
        <w:rPr>
          <w:lang w:val="fr-FR"/>
        </w:rPr>
        <w:tab/>
        <w:t>Ordre du jour provisoire</w:t>
      </w:r>
    </w:p>
    <w:p w14:paraId="693169D8" w14:textId="77777777" w:rsidR="007910D5" w:rsidRPr="00780E14" w:rsidRDefault="007910D5" w:rsidP="007910D5">
      <w:pPr>
        <w:pStyle w:val="SingleTxtG"/>
        <w:ind w:left="1701" w:hanging="567"/>
      </w:pPr>
      <w:r>
        <w:rPr>
          <w:lang w:val="fr-FR"/>
        </w:rPr>
        <w:t>1.</w:t>
      </w:r>
      <w:r>
        <w:rPr>
          <w:lang w:val="fr-FR"/>
        </w:rPr>
        <w:tab/>
        <w:t>Adoption de l’ordre du jour.</w:t>
      </w:r>
    </w:p>
    <w:p w14:paraId="27B66C38" w14:textId="77777777" w:rsidR="007910D5" w:rsidRPr="00780E14" w:rsidRDefault="007910D5" w:rsidP="007910D5">
      <w:pPr>
        <w:pStyle w:val="SingleTxtG"/>
        <w:ind w:left="1701" w:hanging="567"/>
      </w:pPr>
      <w:r>
        <w:rPr>
          <w:lang w:val="fr-FR"/>
        </w:rPr>
        <w:t>2.</w:t>
      </w:r>
      <w:r>
        <w:rPr>
          <w:lang w:val="fr-FR"/>
        </w:rPr>
        <w:tab/>
        <w:t>Accord de 1998 − Règlements techniques mondiaux ONU : Élaboration.</w:t>
      </w:r>
    </w:p>
    <w:p w14:paraId="1C6277A3" w14:textId="77777777" w:rsidR="007910D5" w:rsidRPr="00780E14" w:rsidRDefault="007910D5" w:rsidP="007910D5">
      <w:pPr>
        <w:pStyle w:val="SingleTxtG"/>
        <w:ind w:left="1701" w:hanging="567"/>
      </w:pPr>
      <w:r>
        <w:rPr>
          <w:lang w:val="fr-FR"/>
        </w:rPr>
        <w:t>3.</w:t>
      </w:r>
      <w:r>
        <w:rPr>
          <w:lang w:val="fr-FR"/>
        </w:rPr>
        <w:tab/>
        <w:t>Accord de 1997 − Règles : Élaboration.</w:t>
      </w:r>
    </w:p>
    <w:p w14:paraId="08947326" w14:textId="6D3B53A7" w:rsidR="007910D5" w:rsidRPr="00780E14" w:rsidRDefault="007910D5" w:rsidP="007910D5">
      <w:pPr>
        <w:pStyle w:val="SingleTxtG"/>
        <w:ind w:left="1701" w:hanging="567"/>
      </w:pPr>
      <w:r>
        <w:rPr>
          <w:lang w:val="fr-FR"/>
        </w:rPr>
        <w:t>4.</w:t>
      </w:r>
      <w:r>
        <w:rPr>
          <w:lang w:val="fr-FR"/>
        </w:rPr>
        <w:tab/>
        <w:t>Simplification des Règlements ONU relatifs à l’éclairage et à la signalisation lumineuse.</w:t>
      </w:r>
    </w:p>
    <w:p w14:paraId="42121E7E" w14:textId="77777777" w:rsidR="007910D5" w:rsidRPr="00780E14" w:rsidRDefault="007910D5" w:rsidP="007910D5">
      <w:pPr>
        <w:pStyle w:val="SingleTxtG"/>
        <w:ind w:left="1701" w:hanging="567"/>
      </w:pPr>
      <w:r>
        <w:rPr>
          <w:lang w:val="fr-FR"/>
        </w:rPr>
        <w:t>5.</w:t>
      </w:r>
      <w:r>
        <w:rPr>
          <w:lang w:val="fr-FR"/>
        </w:rPr>
        <w:tab/>
        <w:t>Règlements ONU concernant les sources lumineuses et Résolution d’ensemble sur une spécification commune des catégories de sources lumineuses.</w:t>
      </w:r>
    </w:p>
    <w:p w14:paraId="4C28AFA0" w14:textId="77777777" w:rsidR="007910D5" w:rsidRPr="00780E14" w:rsidRDefault="007910D5" w:rsidP="007910D5">
      <w:pPr>
        <w:pStyle w:val="SingleTxtG"/>
        <w:ind w:left="1701" w:hanging="567"/>
      </w:pPr>
      <w:r>
        <w:rPr>
          <w:lang w:val="fr-FR"/>
        </w:rPr>
        <w:t>6.</w:t>
      </w:r>
      <w:r>
        <w:rPr>
          <w:lang w:val="fr-FR"/>
        </w:rPr>
        <w:tab/>
        <w:t xml:space="preserve">Règlements ONU concernant l’installation :  </w:t>
      </w:r>
    </w:p>
    <w:p w14:paraId="4FE65D86" w14:textId="2BE01B95" w:rsidR="007910D5" w:rsidRPr="00780E14" w:rsidRDefault="007910D5" w:rsidP="007910D5">
      <w:pPr>
        <w:pStyle w:val="SingleTxtG"/>
        <w:ind w:left="2268" w:hanging="567"/>
      </w:pPr>
      <w:r>
        <w:rPr>
          <w:lang w:val="fr-FR"/>
        </w:rPr>
        <w:t>a)</w:t>
      </w:r>
      <w:r>
        <w:rPr>
          <w:lang w:val="fr-FR"/>
        </w:rPr>
        <w:tab/>
        <w:t xml:space="preserve">Règlement ONU </w:t>
      </w:r>
      <w:r w:rsidR="00680AF9" w:rsidRPr="00680AF9">
        <w:rPr>
          <w:rFonts w:eastAsia="MS Mincho"/>
          <w:lang w:val="fr-FR"/>
        </w:rPr>
        <w:t>n</w:t>
      </w:r>
      <w:r w:rsidR="00680AF9" w:rsidRPr="00680AF9">
        <w:rPr>
          <w:rFonts w:eastAsia="MS Mincho"/>
          <w:vertAlign w:val="superscript"/>
          <w:lang w:val="fr-FR"/>
        </w:rPr>
        <w:t>o</w:t>
      </w:r>
      <w:r w:rsidR="00680AF9">
        <w:rPr>
          <w:lang w:val="fr-FR"/>
        </w:rPr>
        <w:t xml:space="preserve"> </w:t>
      </w:r>
      <w:r>
        <w:rPr>
          <w:lang w:val="fr-FR"/>
        </w:rPr>
        <w:t>48 (Installation des dispositifs d’éclairage et de signalisation lumineuse)</w:t>
      </w:r>
      <w:r>
        <w:rPr>
          <w:lang w:val="fr-FR"/>
        </w:rPr>
        <w:t> </w:t>
      </w:r>
      <w:r>
        <w:rPr>
          <w:lang w:val="fr-FR"/>
        </w:rPr>
        <w:t>;</w:t>
      </w:r>
    </w:p>
    <w:p w14:paraId="539EB3B2" w14:textId="02BC0992" w:rsidR="007910D5" w:rsidRPr="00780E14" w:rsidRDefault="007910D5" w:rsidP="007910D5">
      <w:pPr>
        <w:pStyle w:val="SingleTxtG"/>
        <w:ind w:left="2268" w:hanging="567"/>
      </w:pPr>
      <w:r>
        <w:rPr>
          <w:lang w:val="fr-FR"/>
        </w:rPr>
        <w:lastRenderedPageBreak/>
        <w:t>b)</w:t>
      </w:r>
      <w:r>
        <w:rPr>
          <w:lang w:val="fr-FR"/>
        </w:rPr>
        <w:tab/>
        <w:t xml:space="preserve">Règlement ONU </w:t>
      </w:r>
      <w:r w:rsidR="00680AF9" w:rsidRPr="00680AF9">
        <w:rPr>
          <w:rFonts w:eastAsia="MS Mincho"/>
          <w:lang w:val="fr-FR"/>
        </w:rPr>
        <w:t>n</w:t>
      </w:r>
      <w:r w:rsidR="00680AF9" w:rsidRPr="00680AF9">
        <w:rPr>
          <w:rFonts w:eastAsia="MS Mincho"/>
          <w:vertAlign w:val="superscript"/>
          <w:lang w:val="fr-FR"/>
        </w:rPr>
        <w:t>o</w:t>
      </w:r>
      <w:r w:rsidR="00680AF9">
        <w:rPr>
          <w:lang w:val="fr-FR"/>
        </w:rPr>
        <w:t xml:space="preserve"> </w:t>
      </w:r>
      <w:r>
        <w:rPr>
          <w:lang w:val="fr-FR"/>
        </w:rPr>
        <w:t>74 (Installation des dispositifs d’éclairage et de signalisation lumineuse sur les cyclomoteurs)</w:t>
      </w:r>
      <w:r>
        <w:rPr>
          <w:lang w:val="fr-FR"/>
        </w:rPr>
        <w:t> </w:t>
      </w:r>
      <w:r>
        <w:rPr>
          <w:lang w:val="fr-FR"/>
        </w:rPr>
        <w:t>;</w:t>
      </w:r>
    </w:p>
    <w:p w14:paraId="0A60A196" w14:textId="49A59144" w:rsidR="007910D5" w:rsidRPr="00780E14" w:rsidRDefault="007910D5" w:rsidP="007910D5">
      <w:pPr>
        <w:pStyle w:val="SingleTxtG"/>
        <w:ind w:left="2268" w:hanging="567"/>
      </w:pPr>
      <w:r>
        <w:rPr>
          <w:lang w:val="fr-FR"/>
        </w:rPr>
        <w:t>c)</w:t>
      </w:r>
      <w:r>
        <w:rPr>
          <w:lang w:val="fr-FR"/>
        </w:rPr>
        <w:tab/>
        <w:t xml:space="preserve">Règlement ONU </w:t>
      </w:r>
      <w:r w:rsidR="00680AF9" w:rsidRPr="00680AF9">
        <w:rPr>
          <w:rFonts w:eastAsia="MS Mincho"/>
          <w:lang w:val="fr-FR"/>
        </w:rPr>
        <w:t>n</w:t>
      </w:r>
      <w:r w:rsidR="00680AF9" w:rsidRPr="00680AF9">
        <w:rPr>
          <w:rFonts w:eastAsia="MS Mincho"/>
          <w:vertAlign w:val="superscript"/>
          <w:lang w:val="fr-FR"/>
        </w:rPr>
        <w:t>o</w:t>
      </w:r>
      <w:r w:rsidR="00680AF9">
        <w:rPr>
          <w:lang w:val="fr-FR"/>
        </w:rPr>
        <w:t xml:space="preserve"> </w:t>
      </w:r>
      <w:r>
        <w:rPr>
          <w:lang w:val="fr-FR"/>
        </w:rPr>
        <w:t>86 (Installation des dispositifs d’éclairage et de signalisation lumineuse sur les véhicules agricoles).</w:t>
      </w:r>
    </w:p>
    <w:p w14:paraId="3823BCE0" w14:textId="77777777" w:rsidR="007910D5" w:rsidRPr="00780E14" w:rsidRDefault="007910D5" w:rsidP="007910D5">
      <w:pPr>
        <w:pStyle w:val="SingleTxtG"/>
        <w:ind w:left="1701" w:hanging="567"/>
      </w:pPr>
      <w:r>
        <w:rPr>
          <w:lang w:val="fr-FR"/>
        </w:rPr>
        <w:t>7.</w:t>
      </w:r>
      <w:r>
        <w:rPr>
          <w:lang w:val="fr-FR"/>
        </w:rPr>
        <w:tab/>
        <w:t>Règlements ONU concernant les dispositifs :</w:t>
      </w:r>
    </w:p>
    <w:p w14:paraId="4E11BEDB" w14:textId="6BD8A88A" w:rsidR="007910D5" w:rsidRPr="00780E14" w:rsidRDefault="007910D5" w:rsidP="007910D5">
      <w:pPr>
        <w:pStyle w:val="SingleTxtG"/>
        <w:ind w:left="2268" w:hanging="567"/>
      </w:pPr>
      <w:r>
        <w:rPr>
          <w:lang w:val="fr-FR"/>
        </w:rPr>
        <w:t>a)</w:t>
      </w:r>
      <w:r>
        <w:rPr>
          <w:lang w:val="fr-FR"/>
        </w:rPr>
        <w:tab/>
        <w:t xml:space="preserve">Règlement ONU </w:t>
      </w:r>
      <w:r w:rsidR="00680AF9" w:rsidRPr="00680AF9">
        <w:rPr>
          <w:rFonts w:eastAsia="MS Mincho"/>
          <w:lang w:val="fr-FR"/>
        </w:rPr>
        <w:t>n</w:t>
      </w:r>
      <w:r w:rsidR="00680AF9" w:rsidRPr="00680AF9">
        <w:rPr>
          <w:rFonts w:eastAsia="MS Mincho"/>
          <w:vertAlign w:val="superscript"/>
          <w:lang w:val="fr-FR"/>
        </w:rPr>
        <w:t>o</w:t>
      </w:r>
      <w:r w:rsidR="00680AF9">
        <w:rPr>
          <w:lang w:val="fr-FR"/>
        </w:rPr>
        <w:t xml:space="preserve"> </w:t>
      </w:r>
      <w:r>
        <w:rPr>
          <w:lang w:val="fr-FR"/>
        </w:rPr>
        <w:t>148 (Dispositifs de signalisation lumineuse)</w:t>
      </w:r>
      <w:r>
        <w:rPr>
          <w:lang w:val="fr-FR"/>
        </w:rPr>
        <w:t> </w:t>
      </w:r>
      <w:r>
        <w:rPr>
          <w:lang w:val="fr-FR"/>
        </w:rPr>
        <w:t>;</w:t>
      </w:r>
    </w:p>
    <w:p w14:paraId="19D3BD77" w14:textId="39C470CE" w:rsidR="007910D5" w:rsidRPr="00780E14" w:rsidRDefault="007910D5" w:rsidP="007910D5">
      <w:pPr>
        <w:pStyle w:val="SingleTxtG"/>
        <w:ind w:left="2268" w:hanging="567"/>
      </w:pPr>
      <w:r>
        <w:rPr>
          <w:lang w:val="fr-FR"/>
        </w:rPr>
        <w:t>b)</w:t>
      </w:r>
      <w:r>
        <w:rPr>
          <w:lang w:val="fr-FR"/>
        </w:rPr>
        <w:tab/>
        <w:t xml:space="preserve">Règlement ONU </w:t>
      </w:r>
      <w:r w:rsidR="00680AF9" w:rsidRPr="00680AF9">
        <w:rPr>
          <w:rFonts w:eastAsia="MS Mincho"/>
          <w:lang w:val="fr-FR"/>
        </w:rPr>
        <w:t>n</w:t>
      </w:r>
      <w:r w:rsidR="00680AF9" w:rsidRPr="00680AF9">
        <w:rPr>
          <w:rFonts w:eastAsia="MS Mincho"/>
          <w:vertAlign w:val="superscript"/>
          <w:lang w:val="fr-FR"/>
        </w:rPr>
        <w:t>o</w:t>
      </w:r>
      <w:r w:rsidR="00680AF9">
        <w:rPr>
          <w:lang w:val="fr-FR"/>
        </w:rPr>
        <w:t xml:space="preserve"> </w:t>
      </w:r>
      <w:r>
        <w:rPr>
          <w:lang w:val="fr-FR"/>
        </w:rPr>
        <w:t>149 (Dispositifs d’éclairage de la route).</w:t>
      </w:r>
    </w:p>
    <w:p w14:paraId="6B1832E7" w14:textId="1A1D90EF" w:rsidR="007910D5" w:rsidRPr="00780E14" w:rsidRDefault="007910D5" w:rsidP="007910D5">
      <w:pPr>
        <w:pStyle w:val="SingleTxtG"/>
        <w:ind w:left="1701" w:hanging="567"/>
      </w:pPr>
      <w:r>
        <w:rPr>
          <w:lang w:val="fr-FR"/>
        </w:rPr>
        <w:t>8.</w:t>
      </w:r>
      <w:r>
        <w:rPr>
          <w:lang w:val="fr-FR"/>
        </w:rPr>
        <w:tab/>
        <w:t xml:space="preserve">Règlement ONU </w:t>
      </w:r>
      <w:r w:rsidR="00680AF9" w:rsidRPr="00680AF9">
        <w:rPr>
          <w:rFonts w:eastAsia="MS Mincho"/>
          <w:lang w:val="fr-FR"/>
        </w:rPr>
        <w:t>n</w:t>
      </w:r>
      <w:r w:rsidR="00680AF9" w:rsidRPr="00680AF9">
        <w:rPr>
          <w:rFonts w:eastAsia="MS Mincho"/>
          <w:vertAlign w:val="superscript"/>
          <w:lang w:val="fr-FR"/>
        </w:rPr>
        <w:t>o</w:t>
      </w:r>
      <w:r w:rsidR="00680AF9">
        <w:rPr>
          <w:lang w:val="fr-FR"/>
        </w:rPr>
        <w:t xml:space="preserve"> </w:t>
      </w:r>
      <w:r>
        <w:rPr>
          <w:lang w:val="fr-FR"/>
        </w:rPr>
        <w:t>10 (Compatibilité électromagnétique).</w:t>
      </w:r>
    </w:p>
    <w:p w14:paraId="1A65BC5C" w14:textId="77777777" w:rsidR="007910D5" w:rsidRPr="00780E14" w:rsidRDefault="007910D5" w:rsidP="007910D5">
      <w:pPr>
        <w:pStyle w:val="SingleTxtG"/>
        <w:ind w:left="1701" w:hanging="567"/>
      </w:pPr>
      <w:r>
        <w:rPr>
          <w:lang w:val="fr-FR"/>
        </w:rPr>
        <w:t>9.</w:t>
      </w:r>
      <w:r>
        <w:rPr>
          <w:lang w:val="fr-FR"/>
        </w:rPr>
        <w:tab/>
        <w:t>Autres Règlements ONU.</w:t>
      </w:r>
    </w:p>
    <w:p w14:paraId="4BF7D363" w14:textId="77777777" w:rsidR="007910D5" w:rsidRPr="00780E14" w:rsidRDefault="007910D5" w:rsidP="007910D5">
      <w:pPr>
        <w:pStyle w:val="SingleTxtG"/>
        <w:ind w:left="1701" w:hanging="567"/>
      </w:pPr>
      <w:r>
        <w:rPr>
          <w:lang w:val="fr-FR"/>
        </w:rPr>
        <w:t>10.</w:t>
      </w:r>
      <w:r>
        <w:rPr>
          <w:lang w:val="fr-FR"/>
        </w:rPr>
        <w:tab/>
        <w:t xml:space="preserve">Propositions d’amendements en cours d’examen.  </w:t>
      </w:r>
    </w:p>
    <w:p w14:paraId="7D755F1E" w14:textId="77777777" w:rsidR="007910D5" w:rsidRPr="00780E14" w:rsidRDefault="007910D5" w:rsidP="007910D5">
      <w:pPr>
        <w:pStyle w:val="SingleTxtG"/>
        <w:ind w:left="1701" w:hanging="567"/>
      </w:pPr>
      <w:r>
        <w:rPr>
          <w:lang w:val="fr-FR"/>
        </w:rPr>
        <w:t>11.</w:t>
      </w:r>
      <w:r>
        <w:rPr>
          <w:lang w:val="fr-FR"/>
        </w:rPr>
        <w:tab/>
        <w:t>Questions diverses :</w:t>
      </w:r>
    </w:p>
    <w:p w14:paraId="1ACF0028" w14:textId="5FE68E39" w:rsidR="007910D5" w:rsidRPr="00780E14" w:rsidRDefault="007910D5" w:rsidP="007910D5">
      <w:pPr>
        <w:pStyle w:val="SingleTxtG"/>
        <w:ind w:left="2268" w:hanging="567"/>
      </w:pPr>
      <w:r>
        <w:rPr>
          <w:lang w:val="fr-FR"/>
        </w:rPr>
        <w:t>a)</w:t>
      </w:r>
      <w:r>
        <w:rPr>
          <w:lang w:val="fr-FR"/>
        </w:rPr>
        <w:tab/>
        <w:t>Mise au point d’une homologation de type internationale de l’ensemble du véhicule</w:t>
      </w:r>
      <w:r>
        <w:rPr>
          <w:lang w:val="fr-FR"/>
        </w:rPr>
        <w:t> </w:t>
      </w:r>
      <w:r>
        <w:rPr>
          <w:lang w:val="fr-FR"/>
        </w:rPr>
        <w:t>;</w:t>
      </w:r>
    </w:p>
    <w:p w14:paraId="1245B48F" w14:textId="14D9B02E" w:rsidR="007910D5" w:rsidRPr="00780E14" w:rsidRDefault="007910D5" w:rsidP="007910D5">
      <w:pPr>
        <w:pStyle w:val="SingleTxtG"/>
        <w:ind w:left="2268" w:hanging="567"/>
      </w:pPr>
      <w:r>
        <w:rPr>
          <w:lang w:val="fr-FR"/>
        </w:rPr>
        <w:t>b)</w:t>
      </w:r>
      <w:r>
        <w:rPr>
          <w:lang w:val="fr-FR"/>
        </w:rPr>
        <w:tab/>
        <w:t>Amendements à la Convention sur la circulation routière (Vienne, 1968)</w:t>
      </w:r>
      <w:r>
        <w:rPr>
          <w:lang w:val="fr-FR"/>
        </w:rPr>
        <w:t> </w:t>
      </w:r>
      <w:r>
        <w:rPr>
          <w:lang w:val="fr-FR"/>
        </w:rPr>
        <w:t>;</w:t>
      </w:r>
    </w:p>
    <w:p w14:paraId="172C8401" w14:textId="77777777" w:rsidR="007910D5" w:rsidRPr="00780E14" w:rsidRDefault="007910D5" w:rsidP="007910D5">
      <w:pPr>
        <w:pStyle w:val="SingleTxtG"/>
        <w:ind w:left="2268" w:hanging="567"/>
      </w:pPr>
      <w:r>
        <w:rPr>
          <w:lang w:val="fr-FR"/>
        </w:rPr>
        <w:t>c)</w:t>
      </w:r>
      <w:r>
        <w:rPr>
          <w:lang w:val="fr-FR"/>
        </w:rPr>
        <w:tab/>
        <w:t>Autres questions.</w:t>
      </w:r>
    </w:p>
    <w:p w14:paraId="21D0DABB" w14:textId="77777777" w:rsidR="007910D5" w:rsidRPr="00780E14" w:rsidRDefault="007910D5" w:rsidP="007910D5">
      <w:pPr>
        <w:pStyle w:val="SingleTxtG"/>
        <w:ind w:left="1701" w:hanging="567"/>
      </w:pPr>
      <w:r>
        <w:rPr>
          <w:lang w:val="fr-FR"/>
        </w:rPr>
        <w:t>12.</w:t>
      </w:r>
      <w:r>
        <w:rPr>
          <w:lang w:val="fr-FR"/>
        </w:rPr>
        <w:tab/>
        <w:t>Orientation des travaux futurs du Groupe de travail de l’éclairage et de la signalisation lumineuse.</w:t>
      </w:r>
    </w:p>
    <w:p w14:paraId="6463EC88" w14:textId="77777777" w:rsidR="007910D5" w:rsidRPr="00780E14" w:rsidRDefault="007910D5" w:rsidP="007910D5">
      <w:pPr>
        <w:pStyle w:val="SingleTxtG"/>
        <w:ind w:left="1701" w:hanging="567"/>
      </w:pPr>
      <w:r>
        <w:rPr>
          <w:lang w:val="fr-FR"/>
        </w:rPr>
        <w:t>13.</w:t>
      </w:r>
      <w:r>
        <w:rPr>
          <w:lang w:val="fr-FR"/>
        </w:rPr>
        <w:tab/>
        <w:t xml:space="preserve">Ordre du jour provisoire de la prochaine session. </w:t>
      </w:r>
    </w:p>
    <w:p w14:paraId="68760AE0" w14:textId="3A88613C" w:rsidR="007910D5" w:rsidRPr="00780E14" w:rsidRDefault="007910D5" w:rsidP="007910D5">
      <w:pPr>
        <w:pStyle w:val="HChG"/>
      </w:pPr>
      <w:r>
        <w:rPr>
          <w:lang w:val="fr-FR"/>
        </w:rPr>
        <w:tab/>
      </w:r>
      <w:r>
        <w:rPr>
          <w:lang w:val="fr-FR"/>
        </w:rPr>
        <w:t>II.</w:t>
      </w:r>
      <w:r>
        <w:rPr>
          <w:lang w:val="fr-FR"/>
        </w:rPr>
        <w:tab/>
        <w:t>Annotations</w:t>
      </w:r>
    </w:p>
    <w:p w14:paraId="138C1BAE" w14:textId="1D07129E" w:rsidR="007910D5" w:rsidRPr="00780E14" w:rsidRDefault="007910D5" w:rsidP="007910D5">
      <w:pPr>
        <w:pStyle w:val="H1G"/>
      </w:pPr>
      <w:r>
        <w:rPr>
          <w:lang w:val="fr-FR"/>
        </w:rPr>
        <w:tab/>
      </w:r>
      <w:r>
        <w:rPr>
          <w:lang w:val="fr-FR"/>
        </w:rPr>
        <w:t>1.</w:t>
      </w:r>
      <w:r>
        <w:rPr>
          <w:lang w:val="fr-FR"/>
        </w:rPr>
        <w:tab/>
        <w:t>Adoption de l’ordre du jour</w:t>
      </w:r>
    </w:p>
    <w:p w14:paraId="010E8FB2" w14:textId="4F58FAF4" w:rsidR="007910D5" w:rsidRPr="00780E14" w:rsidRDefault="007910D5" w:rsidP="007910D5">
      <w:pPr>
        <w:pStyle w:val="SingleTxtG"/>
        <w:ind w:firstLine="567"/>
      </w:pPr>
      <w:r>
        <w:rPr>
          <w:lang w:val="fr-FR"/>
        </w:rPr>
        <w:t>Conformément à l’article</w:t>
      </w:r>
      <w:r>
        <w:rPr>
          <w:lang w:val="fr-FR"/>
        </w:rPr>
        <w:t> </w:t>
      </w:r>
      <w:r>
        <w:rPr>
          <w:lang w:val="fr-FR"/>
        </w:rPr>
        <w:t>7 du chapitre</w:t>
      </w:r>
      <w:r>
        <w:rPr>
          <w:lang w:val="fr-FR"/>
        </w:rPr>
        <w:t> </w:t>
      </w:r>
      <w:r>
        <w:rPr>
          <w:lang w:val="fr-FR"/>
        </w:rPr>
        <w:t>III du Règlement intérieur du Forum mondial de l’harmonisation des Règlements concernant les véhicules (WP.29) (TRANS/WP.29/690/Rev.2), le premier point de l’ordre du jour provisoire est son adoption.</w:t>
      </w:r>
    </w:p>
    <w:p w14:paraId="26AB5CF5" w14:textId="77777777" w:rsidR="007910D5" w:rsidRPr="00780E14" w:rsidRDefault="007910D5" w:rsidP="007910D5">
      <w:pPr>
        <w:pStyle w:val="SingleTxtG"/>
        <w:ind w:left="2835" w:hanging="1701"/>
      </w:pPr>
      <w:r>
        <w:rPr>
          <w:b/>
          <w:bCs/>
          <w:lang w:val="fr-FR"/>
        </w:rPr>
        <w:t>Document(s) :</w:t>
      </w:r>
      <w:r>
        <w:rPr>
          <w:lang w:val="fr-FR"/>
        </w:rPr>
        <w:t xml:space="preserve"> </w:t>
      </w:r>
      <w:r>
        <w:rPr>
          <w:lang w:val="fr-FR"/>
        </w:rPr>
        <w:tab/>
        <w:t>ECE/TRANS/WP.29/GRE/2024/1</w:t>
      </w:r>
    </w:p>
    <w:p w14:paraId="1719ECD0" w14:textId="41DA917A" w:rsidR="007910D5" w:rsidRPr="00780E14" w:rsidRDefault="007910D5" w:rsidP="007910D5">
      <w:pPr>
        <w:pStyle w:val="H1G"/>
      </w:pPr>
      <w:r>
        <w:rPr>
          <w:lang w:val="fr-FR"/>
        </w:rPr>
        <w:tab/>
      </w:r>
      <w:r>
        <w:rPr>
          <w:lang w:val="fr-FR"/>
        </w:rPr>
        <w:t>2.</w:t>
      </w:r>
      <w:r>
        <w:rPr>
          <w:lang w:val="fr-FR"/>
        </w:rPr>
        <w:tab/>
        <w:t>Accord de 1998 − Règlements techniques mondiaux ONU : Élaboration</w:t>
      </w:r>
    </w:p>
    <w:p w14:paraId="589EA351" w14:textId="77777777" w:rsidR="007910D5" w:rsidRPr="00780E14" w:rsidRDefault="007910D5" w:rsidP="007910D5">
      <w:pPr>
        <w:pStyle w:val="SingleTxtG"/>
        <w:ind w:firstLine="567"/>
      </w:pPr>
      <w:r>
        <w:rPr>
          <w:lang w:val="fr-FR"/>
        </w:rPr>
        <w:t>Le Groupe de travail de l’éclairage et de la signalisation lumineuse (GRE) souhaitera sans doute reprendre l’examen de cette question. Il attend que de nouvelles propositions soient formulées et que des contributeurs se manifestent pour élaborer un Règlement technique mondial ONU (RTM ONU).</w:t>
      </w:r>
    </w:p>
    <w:p w14:paraId="58EC4203" w14:textId="790BD839" w:rsidR="007910D5" w:rsidRPr="00780E14" w:rsidRDefault="007910D5" w:rsidP="007910D5">
      <w:pPr>
        <w:pStyle w:val="H1G"/>
      </w:pPr>
      <w:r>
        <w:rPr>
          <w:lang w:val="fr-FR"/>
        </w:rPr>
        <w:tab/>
      </w:r>
      <w:r>
        <w:rPr>
          <w:lang w:val="fr-FR"/>
        </w:rPr>
        <w:t>3.</w:t>
      </w:r>
      <w:r>
        <w:rPr>
          <w:lang w:val="fr-FR"/>
        </w:rPr>
        <w:tab/>
        <w:t>Accord de 1997 − Règles : Élaboration</w:t>
      </w:r>
    </w:p>
    <w:p w14:paraId="7AAD5EAE" w14:textId="77777777" w:rsidR="007910D5" w:rsidRPr="00780E14" w:rsidRDefault="007910D5" w:rsidP="007910D5">
      <w:pPr>
        <w:pStyle w:val="SingleTxtG"/>
        <w:ind w:firstLine="567"/>
        <w:rPr>
          <w:color w:val="000000"/>
        </w:rPr>
      </w:pPr>
      <w:r>
        <w:rPr>
          <w:lang w:val="fr-FR"/>
        </w:rPr>
        <w:t xml:space="preserve">Le GRE se souviendra qu’à sa quatre-vingt-sixième session, il avait soutenu la notion de conformité des véhicules pendant leur durée de vie, élaborée par le groupe de travail informel du contrôle technique périodique (groupe PTI). Le GRE sera informé des résultats des réflexions du WP.29 sur cette notion. </w:t>
      </w:r>
    </w:p>
    <w:p w14:paraId="68162122" w14:textId="77777777" w:rsidR="007910D5" w:rsidRPr="00780E14" w:rsidRDefault="007910D5" w:rsidP="007910D5">
      <w:pPr>
        <w:pStyle w:val="SingleTxtG"/>
      </w:pPr>
      <w:r>
        <w:rPr>
          <w:b/>
          <w:bCs/>
          <w:lang w:val="fr-FR"/>
        </w:rPr>
        <w:t>Document(s) :</w:t>
      </w:r>
      <w:r>
        <w:rPr>
          <w:lang w:val="fr-FR"/>
        </w:rPr>
        <w:tab/>
        <w:t xml:space="preserve">ECE/TRANS/WP.29/2023/89 </w:t>
      </w:r>
    </w:p>
    <w:p w14:paraId="34021328" w14:textId="7B4DF005" w:rsidR="007910D5" w:rsidRPr="00780E14" w:rsidRDefault="007910D5" w:rsidP="007910D5">
      <w:pPr>
        <w:pStyle w:val="H1G"/>
      </w:pPr>
      <w:r>
        <w:rPr>
          <w:lang w:val="fr-FR"/>
        </w:rPr>
        <w:tab/>
      </w:r>
      <w:r>
        <w:rPr>
          <w:lang w:val="fr-FR"/>
        </w:rPr>
        <w:t>4.</w:t>
      </w:r>
      <w:r>
        <w:rPr>
          <w:lang w:val="fr-FR"/>
        </w:rPr>
        <w:tab/>
        <w:t xml:space="preserve">Simplification des Règlements ONU relatifs à l’éclairage </w:t>
      </w:r>
      <w:r w:rsidR="00680AF9">
        <w:rPr>
          <w:lang w:val="fr-FR"/>
        </w:rPr>
        <w:br/>
      </w:r>
      <w:r>
        <w:rPr>
          <w:lang w:val="fr-FR"/>
        </w:rPr>
        <w:t>et à la signalisation lumineuse</w:t>
      </w:r>
    </w:p>
    <w:p w14:paraId="4EA5BE65" w14:textId="77777777" w:rsidR="007910D5" w:rsidRPr="00780E14" w:rsidRDefault="007910D5" w:rsidP="007910D5">
      <w:pPr>
        <w:pStyle w:val="SingleTxtG"/>
        <w:ind w:firstLine="567"/>
      </w:pPr>
      <w:r>
        <w:rPr>
          <w:lang w:val="fr-FR"/>
        </w:rPr>
        <w:t xml:space="preserve">Le GRE sera informé de l’état d’avancement des travaux du groupe de travail informel de la simplification des Règlements ONU relatifs à l’éclairage et à la signalisation lumineuse </w:t>
      </w:r>
      <w:r>
        <w:rPr>
          <w:lang w:val="fr-FR"/>
        </w:rPr>
        <w:lastRenderedPageBreak/>
        <w:t xml:space="preserve">(groupe SLR) et examinera les propositions d’amendements préparées par le groupe SLR, le cas échéant.  </w:t>
      </w:r>
    </w:p>
    <w:p w14:paraId="478612DD" w14:textId="77777777" w:rsidR="007910D5" w:rsidRPr="00780E14" w:rsidRDefault="007910D5" w:rsidP="007910D5">
      <w:pPr>
        <w:pStyle w:val="SingleTxtG"/>
        <w:ind w:firstLine="567"/>
        <w:rPr>
          <w:color w:val="000000"/>
        </w:rPr>
      </w:pPr>
      <w:r>
        <w:rPr>
          <w:lang w:val="fr-FR"/>
        </w:rPr>
        <w:t>Le GRE est également invité à poursuivre ses débats sur l’utilisation de l’identifiant unique (UI) dans les Règlements ONU relevant de sa compétence.</w:t>
      </w:r>
    </w:p>
    <w:p w14:paraId="7D8E90E2" w14:textId="77777777" w:rsidR="007910D5" w:rsidRPr="00780E14" w:rsidRDefault="007910D5" w:rsidP="007910D5">
      <w:pPr>
        <w:pStyle w:val="SingleTxtG"/>
        <w:ind w:left="2835" w:hanging="1701"/>
        <w:rPr>
          <w:color w:val="000000"/>
        </w:rPr>
      </w:pPr>
      <w:r>
        <w:rPr>
          <w:b/>
          <w:bCs/>
          <w:lang w:val="fr-FR"/>
        </w:rPr>
        <w:t>Document(s) :</w:t>
      </w:r>
      <w:r>
        <w:rPr>
          <w:lang w:val="fr-FR"/>
        </w:rPr>
        <w:tab/>
        <w:t>Documents informels GRE-89-03 et GRE-89-11</w:t>
      </w:r>
    </w:p>
    <w:p w14:paraId="61591DD1" w14:textId="77FDEFCA" w:rsidR="007910D5" w:rsidRPr="00780E14" w:rsidRDefault="007910D5" w:rsidP="007910D5">
      <w:pPr>
        <w:pStyle w:val="H1G"/>
      </w:pPr>
      <w:r>
        <w:rPr>
          <w:lang w:val="fr-FR"/>
        </w:rPr>
        <w:tab/>
      </w:r>
      <w:r>
        <w:rPr>
          <w:lang w:val="fr-FR"/>
        </w:rPr>
        <w:t>5.</w:t>
      </w:r>
      <w:r>
        <w:rPr>
          <w:lang w:val="fr-FR"/>
        </w:rPr>
        <w:tab/>
        <w:t xml:space="preserve">Règlements ONU concernant les sources lumineuses et Résolution d’ensemble sur une spécification commune des catégories </w:t>
      </w:r>
      <w:r w:rsidR="00680AF9">
        <w:rPr>
          <w:lang w:val="fr-FR"/>
        </w:rPr>
        <w:br/>
      </w:r>
      <w:r>
        <w:rPr>
          <w:lang w:val="fr-FR"/>
        </w:rPr>
        <w:t xml:space="preserve">de sources lumineuses </w:t>
      </w:r>
    </w:p>
    <w:p w14:paraId="32D9D489" w14:textId="77777777" w:rsidR="007910D5" w:rsidRPr="00780E14" w:rsidRDefault="007910D5" w:rsidP="007910D5">
      <w:pPr>
        <w:pStyle w:val="SingleTxtG"/>
        <w:ind w:firstLine="567"/>
      </w:pPr>
      <w:r>
        <w:rPr>
          <w:lang w:val="fr-FR"/>
        </w:rPr>
        <w:t xml:space="preserve">Le GRE examinera des propositions d’amendements à la Résolution d’ensemble sur une spécification commune des catégories de sources lumineuses (R.E.5) élaborées par les experts de l’équipe spéciale des sources lumineuses de remplacement ou de conversion (équipe SR). </w:t>
      </w:r>
    </w:p>
    <w:p w14:paraId="69BB5E0A" w14:textId="77777777" w:rsidR="007910D5" w:rsidRPr="00780E14" w:rsidRDefault="007910D5" w:rsidP="007910D5">
      <w:pPr>
        <w:pStyle w:val="SingleTxtG"/>
        <w:ind w:left="2835" w:hanging="1701"/>
      </w:pPr>
      <w:r>
        <w:rPr>
          <w:b/>
          <w:bCs/>
          <w:lang w:val="fr-FR"/>
        </w:rPr>
        <w:t>Document(s) :</w:t>
      </w:r>
      <w:r>
        <w:rPr>
          <w:lang w:val="fr-FR"/>
        </w:rPr>
        <w:tab/>
        <w:t xml:space="preserve">ECE/TRANS/WP.29/GRE/2024/2, document informel GRE-90-02 </w:t>
      </w:r>
    </w:p>
    <w:p w14:paraId="54139068" w14:textId="075A9A3D" w:rsidR="007910D5" w:rsidRPr="00780E14" w:rsidRDefault="007910D5" w:rsidP="007910D5">
      <w:pPr>
        <w:pStyle w:val="SingleTxtG"/>
        <w:ind w:firstLine="567"/>
      </w:pPr>
      <w:r>
        <w:rPr>
          <w:lang w:val="fr-FR"/>
        </w:rPr>
        <w:t>Lors de la dernière session du GRE, les experts de la Commission électrotechnique internationale (CEI) ont mis en lumière les avantages des diodes électroluminescentes (DEL) en matière de consommation d’énergie électrique et de réduction des émissions de gaz à effet de serre, alors que les experts du Groupe de travail «</w:t>
      </w:r>
      <w:r>
        <w:rPr>
          <w:lang w:val="fr-FR"/>
        </w:rPr>
        <w:t> </w:t>
      </w:r>
      <w:r>
        <w:rPr>
          <w:lang w:val="fr-FR"/>
        </w:rPr>
        <w:t>Bruxelles</w:t>
      </w:r>
      <w:r>
        <w:rPr>
          <w:lang w:val="fr-FR"/>
        </w:rPr>
        <w:t> </w:t>
      </w:r>
      <w:r>
        <w:rPr>
          <w:lang w:val="fr-FR"/>
        </w:rPr>
        <w:t>1952</w:t>
      </w:r>
      <w:r>
        <w:rPr>
          <w:lang w:val="fr-FR"/>
        </w:rPr>
        <w:t> </w:t>
      </w:r>
      <w:r>
        <w:rPr>
          <w:lang w:val="fr-FR"/>
        </w:rPr>
        <w:t>» (GTB) ont mentionné l’étude en cours sur ce sujet, dont les résultats devraient être communiqués lors de la session faisant l’objet du présent ordre du jour.</w:t>
      </w:r>
    </w:p>
    <w:p w14:paraId="0D97B968" w14:textId="77777777" w:rsidR="007910D5" w:rsidRPr="00780E14" w:rsidRDefault="007910D5" w:rsidP="007910D5">
      <w:pPr>
        <w:pStyle w:val="SingleTxtG"/>
      </w:pPr>
      <w:r>
        <w:rPr>
          <w:b/>
          <w:bCs/>
          <w:lang w:val="fr-FR"/>
        </w:rPr>
        <w:t>Document(s) :</w:t>
      </w:r>
      <w:r>
        <w:rPr>
          <w:lang w:val="fr-FR"/>
        </w:rPr>
        <w:tab/>
        <w:t>Document informel GRE-89-22</w:t>
      </w:r>
    </w:p>
    <w:p w14:paraId="10B0732C" w14:textId="0BECC9D9" w:rsidR="007910D5" w:rsidRPr="00465018" w:rsidRDefault="007910D5" w:rsidP="007910D5">
      <w:pPr>
        <w:pStyle w:val="H1G"/>
      </w:pPr>
      <w:r w:rsidRPr="00973895">
        <w:tab/>
      </w:r>
      <w:r>
        <w:rPr>
          <w:lang w:val="fr-FR"/>
        </w:rPr>
        <w:t>6.</w:t>
      </w:r>
      <w:r>
        <w:rPr>
          <w:lang w:val="fr-FR"/>
        </w:rPr>
        <w:tab/>
        <w:t>Règlements ONU concernant l’installation</w:t>
      </w:r>
    </w:p>
    <w:p w14:paraId="5C3F0ECA" w14:textId="17BB2991" w:rsidR="007910D5" w:rsidRPr="00465018" w:rsidRDefault="007910D5" w:rsidP="007910D5">
      <w:pPr>
        <w:pStyle w:val="H23G"/>
        <w:rPr>
          <w:color w:val="000000"/>
        </w:rPr>
      </w:pPr>
      <w:r>
        <w:rPr>
          <w:lang w:val="fr-FR"/>
        </w:rPr>
        <w:tab/>
      </w:r>
      <w:r>
        <w:rPr>
          <w:lang w:val="fr-FR"/>
        </w:rPr>
        <w:t>a)</w:t>
      </w:r>
      <w:r>
        <w:rPr>
          <w:lang w:val="fr-FR"/>
        </w:rPr>
        <w:tab/>
        <w:t xml:space="preserve">Règlement ONU </w:t>
      </w:r>
      <w:r w:rsidR="00680AF9" w:rsidRPr="00680AF9">
        <w:rPr>
          <w:rFonts w:eastAsia="MS Mincho"/>
          <w:lang w:val="fr-FR"/>
        </w:rPr>
        <w:t>n</w:t>
      </w:r>
      <w:r w:rsidR="00680AF9" w:rsidRPr="00680AF9">
        <w:rPr>
          <w:rFonts w:eastAsia="MS Mincho"/>
          <w:vertAlign w:val="superscript"/>
          <w:lang w:val="fr-FR"/>
        </w:rPr>
        <w:t>o</w:t>
      </w:r>
      <w:r w:rsidR="00680AF9">
        <w:rPr>
          <w:lang w:val="fr-FR"/>
        </w:rPr>
        <w:t xml:space="preserve"> </w:t>
      </w:r>
      <w:r>
        <w:rPr>
          <w:lang w:val="fr-FR"/>
        </w:rPr>
        <w:t xml:space="preserve">48 (Installation des dispositifs d’éclairage et de signalisation lumineuse) </w:t>
      </w:r>
    </w:p>
    <w:p w14:paraId="7A2730DF" w14:textId="5632666E" w:rsidR="007910D5" w:rsidRPr="00465018" w:rsidRDefault="007910D5" w:rsidP="007910D5">
      <w:pPr>
        <w:pStyle w:val="SingleTxtG"/>
        <w:ind w:firstLine="567"/>
        <w:rPr>
          <w:color w:val="000000"/>
        </w:rPr>
      </w:pPr>
      <w:r>
        <w:rPr>
          <w:lang w:val="fr-FR"/>
        </w:rPr>
        <w:t xml:space="preserve">Le GRE examinera une proposition élaborée par les experts du GTB, visant à aligner le Règlement ONU </w:t>
      </w:r>
      <w:r w:rsidRPr="00B32B61">
        <w:rPr>
          <w:lang w:val="fr-FR"/>
        </w:rPr>
        <w:t>n</w:t>
      </w:r>
      <w:r w:rsidRPr="00B32B61">
        <w:rPr>
          <w:vertAlign w:val="superscript"/>
          <w:lang w:val="fr-FR"/>
        </w:rPr>
        <w:t>o</w:t>
      </w:r>
      <w:r>
        <w:rPr>
          <w:lang w:val="fr-FR"/>
        </w:rPr>
        <w:t xml:space="preserve"> 48 avec les prescriptions mises à jour dans le Règlement ONU </w:t>
      </w:r>
      <w:r w:rsidR="00680AF9" w:rsidRPr="00680AF9">
        <w:rPr>
          <w:rFonts w:eastAsia="MS Mincho"/>
          <w:lang w:val="fr-FR"/>
        </w:rPr>
        <w:t>n</w:t>
      </w:r>
      <w:r w:rsidR="00680AF9" w:rsidRPr="00680AF9">
        <w:rPr>
          <w:rFonts w:eastAsia="MS Mincho"/>
          <w:vertAlign w:val="superscript"/>
          <w:lang w:val="fr-FR"/>
        </w:rPr>
        <w:t>o</w:t>
      </w:r>
      <w:r w:rsidR="00680AF9">
        <w:rPr>
          <w:lang w:val="fr-FR"/>
        </w:rPr>
        <w:t xml:space="preserve"> </w:t>
      </w:r>
      <w:r>
        <w:rPr>
          <w:lang w:val="fr-FR"/>
        </w:rPr>
        <w:t xml:space="preserve">149. </w:t>
      </w:r>
    </w:p>
    <w:p w14:paraId="4C8AE4E1" w14:textId="0A157A79" w:rsidR="007910D5" w:rsidRPr="00465018" w:rsidRDefault="007910D5" w:rsidP="007910D5">
      <w:pPr>
        <w:pStyle w:val="SingleTxtG"/>
      </w:pPr>
      <w:r>
        <w:rPr>
          <w:b/>
          <w:bCs/>
          <w:lang w:val="fr-FR"/>
        </w:rPr>
        <w:t>Document(s)</w:t>
      </w:r>
      <w:r>
        <w:rPr>
          <w:b/>
          <w:bCs/>
          <w:lang w:val="fr-FR"/>
        </w:rPr>
        <w:t> </w:t>
      </w:r>
      <w:r>
        <w:rPr>
          <w:b/>
          <w:bCs/>
          <w:lang w:val="fr-FR"/>
        </w:rPr>
        <w:t>:</w:t>
      </w:r>
      <w:r>
        <w:rPr>
          <w:lang w:val="fr-FR"/>
        </w:rPr>
        <w:tab/>
        <w:t>ECE/TRANS/WP.29/GRE/2024/3</w:t>
      </w:r>
    </w:p>
    <w:p w14:paraId="077B6DF9" w14:textId="6B280B75" w:rsidR="007910D5" w:rsidRPr="00465018" w:rsidRDefault="007910D5" w:rsidP="007910D5">
      <w:pPr>
        <w:pStyle w:val="SingleTxtG"/>
        <w:ind w:firstLine="567"/>
        <w:rPr>
          <w:color w:val="000000"/>
        </w:rPr>
      </w:pPr>
      <w:r>
        <w:rPr>
          <w:lang w:val="fr-FR"/>
        </w:rPr>
        <w:t>Le GRE examinera une proposition des experts du GTB qui vise à harmoniser les prescriptions relatives à l’inclinaison verticale du faisceau de croisement pour les véhicules tout-terrain figurant dans les séries</w:t>
      </w:r>
      <w:r>
        <w:rPr>
          <w:lang w:val="fr-FR"/>
        </w:rPr>
        <w:t> </w:t>
      </w:r>
      <w:r>
        <w:rPr>
          <w:lang w:val="fr-FR"/>
        </w:rPr>
        <w:t xml:space="preserve">06, 07, 08 d’amendements au Règlement ONU </w:t>
      </w:r>
      <w:r w:rsidRPr="0047356B">
        <w:rPr>
          <w:lang w:val="fr-FR"/>
        </w:rPr>
        <w:t>n</w:t>
      </w:r>
      <w:r w:rsidRPr="0047356B">
        <w:rPr>
          <w:vertAlign w:val="superscript"/>
          <w:lang w:val="fr-FR"/>
        </w:rPr>
        <w:t>o</w:t>
      </w:r>
      <w:r>
        <w:rPr>
          <w:lang w:val="fr-FR"/>
        </w:rPr>
        <w:t> 48 avec celles de la série</w:t>
      </w:r>
      <w:r>
        <w:rPr>
          <w:lang w:val="fr-FR"/>
        </w:rPr>
        <w:t> </w:t>
      </w:r>
      <w:r>
        <w:rPr>
          <w:lang w:val="fr-FR"/>
        </w:rPr>
        <w:t xml:space="preserve">09 d’amendements. </w:t>
      </w:r>
    </w:p>
    <w:p w14:paraId="2536A1F4" w14:textId="632D5173" w:rsidR="007910D5" w:rsidRPr="00465018" w:rsidRDefault="007910D5" w:rsidP="007910D5">
      <w:pPr>
        <w:pStyle w:val="SingleTxtG"/>
      </w:pPr>
      <w:r>
        <w:rPr>
          <w:b/>
          <w:bCs/>
          <w:lang w:val="fr-FR"/>
        </w:rPr>
        <w:t>Document(s)</w:t>
      </w:r>
      <w:r>
        <w:rPr>
          <w:b/>
          <w:bCs/>
          <w:lang w:val="fr-FR"/>
        </w:rPr>
        <w:t> </w:t>
      </w:r>
      <w:r>
        <w:rPr>
          <w:b/>
          <w:bCs/>
          <w:lang w:val="fr-FR"/>
        </w:rPr>
        <w:t>:</w:t>
      </w:r>
      <w:r>
        <w:rPr>
          <w:lang w:val="fr-FR"/>
        </w:rPr>
        <w:tab/>
        <w:t>ECE/TRANS/WP.29/GRE/2024/4</w:t>
      </w:r>
    </w:p>
    <w:p w14:paraId="3BEFE5D5" w14:textId="77777777" w:rsidR="007910D5" w:rsidRPr="00465018" w:rsidRDefault="007910D5" w:rsidP="007910D5">
      <w:pPr>
        <w:pStyle w:val="SingleTxtG"/>
        <w:ind w:firstLine="567"/>
        <w:rPr>
          <w:color w:val="000000"/>
        </w:rPr>
      </w:pPr>
      <w:r>
        <w:rPr>
          <w:lang w:val="fr-FR"/>
        </w:rPr>
        <w:t>Le GRE examinera une proposition des experts du GTB visant à éviter que l’intensité maximale totale des feux de route soit dépassée.</w:t>
      </w:r>
    </w:p>
    <w:p w14:paraId="7D50EE32" w14:textId="31DED30D" w:rsidR="007910D5" w:rsidRPr="00465018" w:rsidRDefault="007910D5" w:rsidP="007910D5">
      <w:pPr>
        <w:pStyle w:val="SingleTxtG"/>
      </w:pPr>
      <w:r>
        <w:rPr>
          <w:b/>
          <w:bCs/>
          <w:lang w:val="fr-FR"/>
        </w:rPr>
        <w:t>Document(s)</w:t>
      </w:r>
      <w:r>
        <w:rPr>
          <w:b/>
          <w:bCs/>
          <w:lang w:val="fr-FR"/>
        </w:rPr>
        <w:t> </w:t>
      </w:r>
      <w:r>
        <w:rPr>
          <w:b/>
          <w:bCs/>
          <w:lang w:val="fr-FR"/>
        </w:rPr>
        <w:t>:</w:t>
      </w:r>
      <w:r>
        <w:rPr>
          <w:lang w:val="fr-FR"/>
        </w:rPr>
        <w:tab/>
        <w:t>ECE/TRANS/WP.29/GRE/2024/5</w:t>
      </w:r>
    </w:p>
    <w:p w14:paraId="24CF01DB" w14:textId="77777777" w:rsidR="007910D5" w:rsidRPr="00465018" w:rsidRDefault="007910D5" w:rsidP="007910D5">
      <w:pPr>
        <w:pStyle w:val="SingleTxtG"/>
        <w:ind w:firstLine="567"/>
        <w:rPr>
          <w:bCs/>
        </w:rPr>
      </w:pPr>
      <w:r>
        <w:rPr>
          <w:lang w:val="fr-FR"/>
        </w:rPr>
        <w:t xml:space="preserve">Le GRE est invité à examiner une proposition d’amendements révisée, qui a été élaborée par l’équipe spéciale des prescriptions de signalisation pour les véhicules automatisés/autonomes (équipe AVSR). </w:t>
      </w:r>
    </w:p>
    <w:p w14:paraId="3486F49E" w14:textId="351B544D" w:rsidR="007910D5" w:rsidRPr="00465018" w:rsidRDefault="007910D5" w:rsidP="007910D5">
      <w:pPr>
        <w:pStyle w:val="SingleTxtG"/>
      </w:pPr>
      <w:r>
        <w:rPr>
          <w:b/>
          <w:bCs/>
          <w:lang w:val="fr-FR"/>
        </w:rPr>
        <w:t>Document(s)</w:t>
      </w:r>
      <w:r>
        <w:rPr>
          <w:b/>
          <w:bCs/>
          <w:lang w:val="fr-FR"/>
        </w:rPr>
        <w:t> </w:t>
      </w:r>
      <w:r>
        <w:rPr>
          <w:b/>
          <w:bCs/>
          <w:lang w:val="fr-FR"/>
        </w:rPr>
        <w:t>:</w:t>
      </w:r>
      <w:r>
        <w:rPr>
          <w:lang w:val="fr-FR"/>
        </w:rPr>
        <w:tab/>
        <w:t>ECE/TRANS/WP.29/GRE/2023/9/Rev.2</w:t>
      </w:r>
    </w:p>
    <w:p w14:paraId="386324DF" w14:textId="77777777" w:rsidR="007910D5" w:rsidRPr="00465018" w:rsidRDefault="007910D5" w:rsidP="007910D5">
      <w:pPr>
        <w:pStyle w:val="SingleTxtG"/>
        <w:ind w:firstLine="567"/>
      </w:pPr>
      <w:r>
        <w:rPr>
          <w:lang w:val="fr-FR"/>
        </w:rPr>
        <w:t xml:space="preserve">Le GRE sera informé des activités de l’équipe spéciale des feux des véhicules en stationnement (équipe LUPC) et examinera son projet de mandat et de règlement intérieur. </w:t>
      </w:r>
    </w:p>
    <w:p w14:paraId="4E8A3FD3" w14:textId="71EC3DC2" w:rsidR="007910D5" w:rsidRPr="00465018" w:rsidRDefault="007910D5" w:rsidP="007910D5">
      <w:pPr>
        <w:pStyle w:val="SingleTxtG"/>
      </w:pPr>
      <w:r>
        <w:rPr>
          <w:b/>
          <w:bCs/>
          <w:lang w:val="fr-FR"/>
        </w:rPr>
        <w:t>Document(s)</w:t>
      </w:r>
      <w:r>
        <w:rPr>
          <w:b/>
          <w:bCs/>
          <w:lang w:val="fr-FR"/>
        </w:rPr>
        <w:t> </w:t>
      </w:r>
      <w:r>
        <w:rPr>
          <w:b/>
          <w:bCs/>
          <w:lang w:val="fr-FR"/>
        </w:rPr>
        <w:t>:</w:t>
      </w:r>
      <w:r>
        <w:rPr>
          <w:lang w:val="fr-FR"/>
        </w:rPr>
        <w:tab/>
        <w:t>Document informel</w:t>
      </w:r>
      <w:r>
        <w:rPr>
          <w:lang w:val="fr-FR"/>
        </w:rPr>
        <w:t> </w:t>
      </w:r>
      <w:r>
        <w:rPr>
          <w:lang w:val="fr-FR"/>
        </w:rPr>
        <w:t>GRE-90-03</w:t>
      </w:r>
    </w:p>
    <w:p w14:paraId="28BF6010" w14:textId="46934D7C" w:rsidR="007910D5" w:rsidRPr="00465018" w:rsidRDefault="007910D5" w:rsidP="007910D5">
      <w:pPr>
        <w:pStyle w:val="SingleTxtG"/>
        <w:ind w:firstLine="567"/>
      </w:pPr>
      <w:r>
        <w:rPr>
          <w:lang w:val="fr-FR"/>
        </w:rPr>
        <w:t>À sa dernière session, le GRE a décidé de maintenir à l’ordre du jour la question des projecteurs de travail soulevée par l’expert de la France.</w:t>
      </w:r>
    </w:p>
    <w:p w14:paraId="50D51A8E" w14:textId="0BEEDB5C" w:rsidR="007910D5" w:rsidRPr="00465018" w:rsidRDefault="007910D5" w:rsidP="007910D5">
      <w:pPr>
        <w:pStyle w:val="SingleTxtG"/>
      </w:pPr>
      <w:r>
        <w:rPr>
          <w:b/>
          <w:bCs/>
          <w:lang w:val="fr-FR"/>
        </w:rPr>
        <w:t>Document(s)</w:t>
      </w:r>
      <w:r>
        <w:rPr>
          <w:b/>
          <w:bCs/>
          <w:lang w:val="fr-FR"/>
        </w:rPr>
        <w:t> </w:t>
      </w:r>
      <w:r>
        <w:rPr>
          <w:b/>
          <w:bCs/>
          <w:lang w:val="fr-FR"/>
        </w:rPr>
        <w:t>:</w:t>
      </w:r>
      <w:r>
        <w:rPr>
          <w:lang w:val="fr-FR"/>
        </w:rPr>
        <w:tab/>
        <w:t>Document informel</w:t>
      </w:r>
      <w:r>
        <w:rPr>
          <w:lang w:val="fr-FR"/>
        </w:rPr>
        <w:t> </w:t>
      </w:r>
      <w:r>
        <w:rPr>
          <w:lang w:val="fr-FR"/>
        </w:rPr>
        <w:t>GRE-89-21</w:t>
      </w:r>
    </w:p>
    <w:p w14:paraId="1A68A423" w14:textId="1C10686A" w:rsidR="007910D5" w:rsidRPr="00465018" w:rsidRDefault="007910D5" w:rsidP="007910D5">
      <w:pPr>
        <w:pStyle w:val="SingleTxtG"/>
        <w:ind w:firstLine="567"/>
      </w:pPr>
      <w:r>
        <w:rPr>
          <w:lang w:val="fr-FR"/>
        </w:rPr>
        <w:lastRenderedPageBreak/>
        <w:t xml:space="preserve">De même, le GRE a décidé de se pencher à nouveau sur le problème de la lumière blanche émise par les unités d’éclairage avant et perçue comme bleue, dont avait fait état l’expert de la France. </w:t>
      </w:r>
    </w:p>
    <w:p w14:paraId="3B6D916E" w14:textId="539434D3" w:rsidR="007910D5" w:rsidRPr="00465018" w:rsidRDefault="007910D5" w:rsidP="007910D5">
      <w:pPr>
        <w:pStyle w:val="SingleTxtG"/>
      </w:pPr>
      <w:r>
        <w:rPr>
          <w:b/>
          <w:bCs/>
          <w:lang w:val="fr-FR"/>
        </w:rPr>
        <w:t>Document(s)</w:t>
      </w:r>
      <w:r>
        <w:rPr>
          <w:b/>
          <w:bCs/>
          <w:lang w:val="fr-FR"/>
        </w:rPr>
        <w:t> </w:t>
      </w:r>
      <w:r>
        <w:rPr>
          <w:b/>
          <w:bCs/>
          <w:lang w:val="fr-FR"/>
        </w:rPr>
        <w:t>:</w:t>
      </w:r>
      <w:r>
        <w:rPr>
          <w:lang w:val="fr-FR"/>
        </w:rPr>
        <w:tab/>
        <w:t>Document informel</w:t>
      </w:r>
      <w:r>
        <w:rPr>
          <w:lang w:val="fr-FR"/>
        </w:rPr>
        <w:t> </w:t>
      </w:r>
      <w:r>
        <w:rPr>
          <w:lang w:val="fr-FR"/>
        </w:rPr>
        <w:t xml:space="preserve">GRE-89-24 </w:t>
      </w:r>
    </w:p>
    <w:p w14:paraId="75710412" w14:textId="1EEF8A60" w:rsidR="007910D5" w:rsidRPr="00465018" w:rsidRDefault="007910D5" w:rsidP="007910D5">
      <w:pPr>
        <w:pStyle w:val="H23G"/>
        <w:rPr>
          <w:color w:val="000000"/>
        </w:rPr>
      </w:pPr>
      <w:r>
        <w:rPr>
          <w:lang w:val="fr-FR"/>
        </w:rPr>
        <w:tab/>
      </w:r>
      <w:r>
        <w:rPr>
          <w:lang w:val="fr-FR"/>
        </w:rPr>
        <w:t>b)</w:t>
      </w:r>
      <w:r>
        <w:rPr>
          <w:lang w:val="fr-FR"/>
        </w:rPr>
        <w:tab/>
        <w:t xml:space="preserve">Règlement ONU </w:t>
      </w:r>
      <w:r w:rsidR="00680AF9" w:rsidRPr="00680AF9">
        <w:rPr>
          <w:rFonts w:eastAsia="MS Mincho"/>
          <w:lang w:val="fr-FR"/>
        </w:rPr>
        <w:t>n</w:t>
      </w:r>
      <w:r w:rsidR="00680AF9" w:rsidRPr="00680AF9">
        <w:rPr>
          <w:rFonts w:eastAsia="MS Mincho"/>
          <w:vertAlign w:val="superscript"/>
          <w:lang w:val="fr-FR"/>
        </w:rPr>
        <w:t>o</w:t>
      </w:r>
      <w:r w:rsidR="00680AF9">
        <w:rPr>
          <w:lang w:val="fr-FR"/>
        </w:rPr>
        <w:t xml:space="preserve"> </w:t>
      </w:r>
      <w:r>
        <w:rPr>
          <w:lang w:val="fr-FR"/>
        </w:rPr>
        <w:t>74 (Installation des dispositifs d’éclairage et de signalisation lumineuse sur les cyclomoteurs)</w:t>
      </w:r>
      <w:bookmarkStart w:id="1" w:name="_Hlk78980131"/>
      <w:bookmarkEnd w:id="1"/>
    </w:p>
    <w:p w14:paraId="0BB621F3" w14:textId="77777777" w:rsidR="007910D5" w:rsidRPr="00465018" w:rsidRDefault="007910D5" w:rsidP="007910D5">
      <w:pPr>
        <w:pStyle w:val="SingleTxtG"/>
        <w:ind w:firstLine="567"/>
      </w:pPr>
      <w:r>
        <w:rPr>
          <w:lang w:val="fr-FR"/>
        </w:rPr>
        <w:t>Le GRE examinera les propositions d’amendement aux Règlements ONU n</w:t>
      </w:r>
      <w:r w:rsidRPr="00680AF9">
        <w:rPr>
          <w:vertAlign w:val="superscript"/>
          <w:lang w:val="fr-FR"/>
        </w:rPr>
        <w:t>os</w:t>
      </w:r>
      <w:r>
        <w:rPr>
          <w:lang w:val="fr-FR"/>
        </w:rPr>
        <w:t xml:space="preserve"> 74 et 148 qui ont été soumises par l’expert de l’Allemagne en vue de permettre l’homologation des indicateurs avant et arrière qui peuvent être activés simultanément. </w:t>
      </w:r>
    </w:p>
    <w:p w14:paraId="6541210C" w14:textId="2850D924" w:rsidR="007910D5" w:rsidRPr="00465018" w:rsidRDefault="007910D5" w:rsidP="007910D5">
      <w:pPr>
        <w:pStyle w:val="SingleTxtG"/>
        <w:rPr>
          <w:color w:val="000000"/>
        </w:rPr>
      </w:pPr>
      <w:r>
        <w:rPr>
          <w:b/>
          <w:bCs/>
          <w:lang w:val="fr-FR"/>
        </w:rPr>
        <w:t>Document(s)</w:t>
      </w:r>
      <w:r>
        <w:rPr>
          <w:b/>
          <w:bCs/>
          <w:lang w:val="fr-FR"/>
        </w:rPr>
        <w:t> </w:t>
      </w:r>
      <w:r>
        <w:rPr>
          <w:b/>
          <w:bCs/>
          <w:lang w:val="fr-FR"/>
        </w:rPr>
        <w:t>:</w:t>
      </w:r>
      <w:r>
        <w:rPr>
          <w:lang w:val="fr-FR"/>
        </w:rPr>
        <w:tab/>
        <w:t>ECE/TRANS/WP.29/GRE/2024/9</w:t>
      </w:r>
    </w:p>
    <w:p w14:paraId="0E9DA4ED" w14:textId="4F39B0C0" w:rsidR="007910D5" w:rsidRPr="00465018" w:rsidRDefault="007910D5" w:rsidP="007910D5">
      <w:pPr>
        <w:pStyle w:val="H23G"/>
        <w:rPr>
          <w:color w:val="000000"/>
        </w:rPr>
      </w:pPr>
      <w:r>
        <w:rPr>
          <w:lang w:val="fr-FR"/>
        </w:rPr>
        <w:tab/>
      </w:r>
      <w:r>
        <w:rPr>
          <w:lang w:val="fr-FR"/>
        </w:rPr>
        <w:t>c)</w:t>
      </w:r>
      <w:r>
        <w:rPr>
          <w:lang w:val="fr-FR"/>
        </w:rPr>
        <w:tab/>
        <w:t xml:space="preserve">Règlement ONU </w:t>
      </w:r>
      <w:r w:rsidR="00680AF9" w:rsidRPr="00680AF9">
        <w:rPr>
          <w:rFonts w:eastAsia="MS Mincho"/>
          <w:lang w:val="fr-FR"/>
        </w:rPr>
        <w:t>n</w:t>
      </w:r>
      <w:r w:rsidR="00680AF9" w:rsidRPr="00680AF9">
        <w:rPr>
          <w:rFonts w:eastAsia="MS Mincho"/>
          <w:vertAlign w:val="superscript"/>
          <w:lang w:val="fr-FR"/>
        </w:rPr>
        <w:t>o</w:t>
      </w:r>
      <w:r w:rsidR="00680AF9">
        <w:rPr>
          <w:lang w:val="fr-FR"/>
        </w:rPr>
        <w:t xml:space="preserve"> </w:t>
      </w:r>
      <w:r>
        <w:rPr>
          <w:lang w:val="fr-FR"/>
        </w:rPr>
        <w:t xml:space="preserve">86 (Installation des dispositifs d’éclairage et de signalisation lumineuse sur les véhicules agricoles) </w:t>
      </w:r>
    </w:p>
    <w:p w14:paraId="50CCCA39" w14:textId="503F2055" w:rsidR="007910D5" w:rsidRPr="00465018" w:rsidRDefault="007910D5" w:rsidP="007910D5">
      <w:pPr>
        <w:pStyle w:val="SingleTxtG"/>
        <w:ind w:firstLine="567"/>
        <w:rPr>
          <w:bCs/>
        </w:rPr>
      </w:pPr>
      <w:r>
        <w:rPr>
          <w:lang w:val="fr-FR"/>
        </w:rPr>
        <w:t>Le GRE est invité à examiner les propositions d’amendements aux séries</w:t>
      </w:r>
      <w:r>
        <w:rPr>
          <w:lang w:val="fr-FR"/>
        </w:rPr>
        <w:t> </w:t>
      </w:r>
      <w:r>
        <w:rPr>
          <w:lang w:val="fr-FR"/>
        </w:rPr>
        <w:t xml:space="preserve">02 et 03 d’amendements au Règlement ONU </w:t>
      </w:r>
      <w:r w:rsidR="00680AF9" w:rsidRPr="00680AF9">
        <w:rPr>
          <w:rFonts w:eastAsia="MS Mincho"/>
          <w:lang w:val="fr-FR"/>
        </w:rPr>
        <w:t>n</w:t>
      </w:r>
      <w:r w:rsidR="00680AF9" w:rsidRPr="00680AF9">
        <w:rPr>
          <w:rFonts w:eastAsia="MS Mincho"/>
          <w:vertAlign w:val="superscript"/>
          <w:lang w:val="fr-FR"/>
        </w:rPr>
        <w:t>o</w:t>
      </w:r>
      <w:r w:rsidR="00680AF9">
        <w:rPr>
          <w:lang w:val="fr-FR"/>
        </w:rPr>
        <w:t xml:space="preserve"> </w:t>
      </w:r>
      <w:r>
        <w:rPr>
          <w:lang w:val="fr-FR"/>
        </w:rPr>
        <w:t>86 soumises par les experts du Comité européen des groupements de constructeurs du machinisme agricole (CEMA), qui visent à couvrir les véhicules agricoles de toutes dimensions et à apporter des précisions techniques ainsi que des corrections d’ordre rédactionnel.</w:t>
      </w:r>
    </w:p>
    <w:p w14:paraId="5B76DA67" w14:textId="5C060AD5" w:rsidR="007910D5" w:rsidRPr="00465018" w:rsidRDefault="007910D5" w:rsidP="007910D5">
      <w:pPr>
        <w:pStyle w:val="SingleTxtG"/>
        <w:ind w:left="2835" w:hanging="1701"/>
      </w:pPr>
      <w:r>
        <w:rPr>
          <w:b/>
          <w:bCs/>
          <w:lang w:val="fr-FR"/>
        </w:rPr>
        <w:t>Document(s)</w:t>
      </w:r>
      <w:r>
        <w:rPr>
          <w:b/>
          <w:bCs/>
          <w:lang w:val="fr-FR"/>
        </w:rPr>
        <w:t> </w:t>
      </w:r>
      <w:r>
        <w:rPr>
          <w:b/>
          <w:bCs/>
          <w:lang w:val="fr-FR"/>
        </w:rPr>
        <w:t>:</w:t>
      </w:r>
      <w:r>
        <w:rPr>
          <w:lang w:val="fr-FR"/>
        </w:rPr>
        <w:tab/>
        <w:t>ECE/TRANS/WP.29/GRE/2023/12/Rev.1 ECE/TRANS/WP.29/GRE/2024/10</w:t>
      </w:r>
    </w:p>
    <w:p w14:paraId="79A57842" w14:textId="0AB4C6C2" w:rsidR="007910D5" w:rsidRPr="00465018" w:rsidRDefault="007910D5" w:rsidP="007910D5">
      <w:pPr>
        <w:pStyle w:val="H1G"/>
      </w:pPr>
      <w:r>
        <w:rPr>
          <w:lang w:val="fr-FR"/>
        </w:rPr>
        <w:tab/>
      </w:r>
      <w:r>
        <w:rPr>
          <w:lang w:val="fr-FR"/>
        </w:rPr>
        <w:t>7.</w:t>
      </w:r>
      <w:r>
        <w:rPr>
          <w:lang w:val="fr-FR"/>
        </w:rPr>
        <w:tab/>
        <w:t xml:space="preserve">Règlements ONU concernant les dispositifs </w:t>
      </w:r>
    </w:p>
    <w:p w14:paraId="5C0369D2" w14:textId="5D8BF636" w:rsidR="007910D5" w:rsidRPr="00465018" w:rsidRDefault="007910D5" w:rsidP="007910D5">
      <w:pPr>
        <w:pStyle w:val="H23G"/>
        <w:rPr>
          <w:color w:val="000000"/>
        </w:rPr>
      </w:pPr>
      <w:r>
        <w:rPr>
          <w:lang w:val="fr-FR"/>
        </w:rPr>
        <w:tab/>
      </w:r>
      <w:r>
        <w:rPr>
          <w:lang w:val="fr-FR"/>
        </w:rPr>
        <w:t>a)</w:t>
      </w:r>
      <w:r>
        <w:rPr>
          <w:lang w:val="fr-FR"/>
        </w:rPr>
        <w:tab/>
        <w:t xml:space="preserve">Règlement ONU </w:t>
      </w:r>
      <w:r w:rsidR="00576D4E" w:rsidRPr="00576D4E">
        <w:rPr>
          <w:rFonts w:eastAsia="MS Mincho"/>
          <w:lang w:val="fr-FR"/>
        </w:rPr>
        <w:t>n</w:t>
      </w:r>
      <w:r w:rsidR="00576D4E" w:rsidRPr="00576D4E">
        <w:rPr>
          <w:rFonts w:eastAsia="MS Mincho"/>
          <w:vertAlign w:val="superscript"/>
          <w:lang w:val="fr-FR"/>
        </w:rPr>
        <w:t>o</w:t>
      </w:r>
      <w:r w:rsidR="00576D4E">
        <w:rPr>
          <w:lang w:val="fr-FR"/>
        </w:rPr>
        <w:t xml:space="preserve"> </w:t>
      </w:r>
      <w:r>
        <w:rPr>
          <w:lang w:val="fr-FR"/>
        </w:rPr>
        <w:t>148 (Dispositifs de signalisation lumineuse)</w:t>
      </w:r>
    </w:p>
    <w:p w14:paraId="09FF8239" w14:textId="77777777" w:rsidR="007910D5" w:rsidRPr="00465018" w:rsidRDefault="007910D5" w:rsidP="007910D5">
      <w:pPr>
        <w:pStyle w:val="SingleTxtG"/>
        <w:ind w:firstLine="567"/>
      </w:pPr>
      <w:r>
        <w:rPr>
          <w:lang w:val="fr-FR"/>
        </w:rPr>
        <w:t>Le GRE est invité à examiner une proposition élaborée par les experts du GTB en vue de corriger et de clarifier la fiche de communication.</w:t>
      </w:r>
    </w:p>
    <w:p w14:paraId="2A336B86" w14:textId="0907C2AF" w:rsidR="007910D5" w:rsidRPr="00465018" w:rsidRDefault="007910D5" w:rsidP="007910D5">
      <w:pPr>
        <w:pStyle w:val="SingleTxtG"/>
      </w:pPr>
      <w:r>
        <w:rPr>
          <w:b/>
          <w:bCs/>
          <w:lang w:val="fr-FR"/>
        </w:rPr>
        <w:t>Document(s)</w:t>
      </w:r>
      <w:r>
        <w:rPr>
          <w:b/>
          <w:bCs/>
          <w:lang w:val="fr-FR"/>
        </w:rPr>
        <w:t> </w:t>
      </w:r>
      <w:r>
        <w:rPr>
          <w:b/>
          <w:bCs/>
          <w:lang w:val="fr-FR"/>
        </w:rPr>
        <w:t>:</w:t>
      </w:r>
      <w:r>
        <w:rPr>
          <w:lang w:val="fr-FR"/>
        </w:rPr>
        <w:tab/>
        <w:t>ECE/TRANS/WP.29/GRE/2024/6</w:t>
      </w:r>
    </w:p>
    <w:p w14:paraId="11B0AA9B" w14:textId="0A80728F" w:rsidR="007910D5" w:rsidRPr="00465018" w:rsidRDefault="007910D5" w:rsidP="007910D5">
      <w:pPr>
        <w:pStyle w:val="H23G"/>
        <w:rPr>
          <w:color w:val="000000"/>
        </w:rPr>
      </w:pPr>
      <w:r>
        <w:rPr>
          <w:lang w:val="fr-FR"/>
        </w:rPr>
        <w:tab/>
      </w:r>
      <w:r>
        <w:rPr>
          <w:lang w:val="fr-FR"/>
        </w:rPr>
        <w:t>b)</w:t>
      </w:r>
      <w:r>
        <w:rPr>
          <w:lang w:val="fr-FR"/>
        </w:rPr>
        <w:tab/>
        <w:t xml:space="preserve">Règlement ONU </w:t>
      </w:r>
      <w:r w:rsidR="00576D4E" w:rsidRPr="00576D4E">
        <w:rPr>
          <w:rFonts w:eastAsia="MS Mincho"/>
          <w:lang w:val="fr-FR"/>
        </w:rPr>
        <w:t>n</w:t>
      </w:r>
      <w:r w:rsidR="00576D4E" w:rsidRPr="00576D4E">
        <w:rPr>
          <w:rFonts w:eastAsia="MS Mincho"/>
          <w:vertAlign w:val="superscript"/>
          <w:lang w:val="fr-FR"/>
        </w:rPr>
        <w:t>o</w:t>
      </w:r>
      <w:r w:rsidR="00576D4E">
        <w:rPr>
          <w:lang w:val="fr-FR"/>
        </w:rPr>
        <w:t xml:space="preserve"> </w:t>
      </w:r>
      <w:r>
        <w:rPr>
          <w:lang w:val="fr-FR"/>
        </w:rPr>
        <w:t>149 (Dispositifs d’éclairage de la route)</w:t>
      </w:r>
    </w:p>
    <w:p w14:paraId="418DB541" w14:textId="51DE582A" w:rsidR="007910D5" w:rsidRPr="00465018" w:rsidRDefault="007910D5" w:rsidP="007910D5">
      <w:pPr>
        <w:pStyle w:val="SingleTxtG"/>
        <w:ind w:firstLine="567"/>
      </w:pPr>
      <w:r>
        <w:rPr>
          <w:lang w:val="fr-FR"/>
        </w:rPr>
        <w:t>Le GRE examinera une proposition élaborée par les experts du GTB qui clarifie la mesure de la qualité de la ligne de coupure</w:t>
      </w:r>
      <w:r w:rsidR="00576D4E">
        <w:rPr>
          <w:lang w:val="fr-FR"/>
        </w:rPr>
        <w:t>.</w:t>
      </w:r>
    </w:p>
    <w:p w14:paraId="746F5A3F" w14:textId="2D7C4195" w:rsidR="007910D5" w:rsidRPr="00465018" w:rsidRDefault="007910D5" w:rsidP="007910D5">
      <w:pPr>
        <w:pStyle w:val="SingleTxtG"/>
      </w:pPr>
      <w:r>
        <w:rPr>
          <w:b/>
          <w:bCs/>
          <w:lang w:val="fr-FR"/>
        </w:rPr>
        <w:t>Document(s)</w:t>
      </w:r>
      <w:r>
        <w:rPr>
          <w:b/>
          <w:bCs/>
          <w:lang w:val="fr-FR"/>
        </w:rPr>
        <w:t> </w:t>
      </w:r>
      <w:r>
        <w:rPr>
          <w:b/>
          <w:bCs/>
          <w:lang w:val="fr-FR"/>
        </w:rPr>
        <w:t>:</w:t>
      </w:r>
      <w:r>
        <w:rPr>
          <w:lang w:val="fr-FR"/>
        </w:rPr>
        <w:tab/>
        <w:t>ECE/TRANS/WP.29/GRE/2024/7</w:t>
      </w:r>
    </w:p>
    <w:p w14:paraId="6EE628B5" w14:textId="77777777" w:rsidR="007910D5" w:rsidRPr="00465018" w:rsidRDefault="007910D5" w:rsidP="007910D5">
      <w:pPr>
        <w:pStyle w:val="SingleTxtG"/>
        <w:ind w:firstLine="567"/>
      </w:pPr>
      <w:r>
        <w:rPr>
          <w:lang w:val="fr-FR"/>
        </w:rPr>
        <w:t>Le GRE est invité à examiner une proposition élaborée par les experts du GTB en vue de mieux préciser les marques à apposer.</w:t>
      </w:r>
    </w:p>
    <w:p w14:paraId="0EB4917B" w14:textId="59E92F9A" w:rsidR="007910D5" w:rsidRPr="00465018" w:rsidRDefault="007910D5" w:rsidP="007910D5">
      <w:pPr>
        <w:pStyle w:val="SingleTxtG"/>
      </w:pPr>
      <w:r>
        <w:rPr>
          <w:b/>
          <w:bCs/>
          <w:lang w:val="fr-FR"/>
        </w:rPr>
        <w:t>Document(s)</w:t>
      </w:r>
      <w:r>
        <w:rPr>
          <w:b/>
          <w:bCs/>
          <w:lang w:val="fr-FR"/>
        </w:rPr>
        <w:t> </w:t>
      </w:r>
      <w:r>
        <w:rPr>
          <w:b/>
          <w:bCs/>
          <w:lang w:val="fr-FR"/>
        </w:rPr>
        <w:t>:</w:t>
      </w:r>
      <w:r>
        <w:rPr>
          <w:lang w:val="fr-FR"/>
        </w:rPr>
        <w:tab/>
        <w:t>ECE/TRANS/WP.29/GRE/2024/8</w:t>
      </w:r>
    </w:p>
    <w:p w14:paraId="403DDA8C" w14:textId="3F29EB40" w:rsidR="007910D5" w:rsidRPr="00465018" w:rsidRDefault="007910D5" w:rsidP="007910D5">
      <w:pPr>
        <w:pStyle w:val="H1G"/>
      </w:pPr>
      <w:r>
        <w:rPr>
          <w:lang w:val="fr-FR"/>
        </w:rPr>
        <w:tab/>
      </w:r>
      <w:r>
        <w:rPr>
          <w:lang w:val="fr-FR"/>
        </w:rPr>
        <w:t>8.</w:t>
      </w:r>
      <w:r>
        <w:rPr>
          <w:lang w:val="fr-FR"/>
        </w:rPr>
        <w:tab/>
        <w:t xml:space="preserve">Règlement ONU </w:t>
      </w:r>
      <w:r w:rsidR="00576D4E" w:rsidRPr="00576D4E">
        <w:rPr>
          <w:rFonts w:eastAsia="MS Mincho"/>
          <w:lang w:val="fr-FR"/>
        </w:rPr>
        <w:t>n</w:t>
      </w:r>
      <w:r w:rsidR="00576D4E" w:rsidRPr="00576D4E">
        <w:rPr>
          <w:rFonts w:eastAsia="MS Mincho"/>
          <w:vertAlign w:val="superscript"/>
          <w:lang w:val="fr-FR"/>
        </w:rPr>
        <w:t>o</w:t>
      </w:r>
      <w:r w:rsidR="00576D4E">
        <w:rPr>
          <w:lang w:val="fr-FR"/>
        </w:rPr>
        <w:t xml:space="preserve"> </w:t>
      </w:r>
      <w:r>
        <w:rPr>
          <w:lang w:val="fr-FR"/>
        </w:rPr>
        <w:t xml:space="preserve">10 (Compatibilité électromagnétique) </w:t>
      </w:r>
    </w:p>
    <w:p w14:paraId="1FF615E9" w14:textId="7A1CFA4A" w:rsidR="007910D5" w:rsidRPr="00465018" w:rsidRDefault="007910D5" w:rsidP="007910D5">
      <w:pPr>
        <w:pStyle w:val="SingleTxtG"/>
        <w:ind w:firstLine="567"/>
      </w:pPr>
      <w:r>
        <w:rPr>
          <w:lang w:val="fr-FR"/>
        </w:rPr>
        <w:t>Le GRE sera informé de l’état d’avancement des activités du groupe de travail informel de la compatibilité électromagnétique (groupe EMC) et examinera un projet révisé de série</w:t>
      </w:r>
      <w:r>
        <w:rPr>
          <w:lang w:val="fr-FR"/>
        </w:rPr>
        <w:t> </w:t>
      </w:r>
      <w:r>
        <w:rPr>
          <w:lang w:val="fr-FR"/>
        </w:rPr>
        <w:t xml:space="preserve">07 d’amendements au Règlement ONU </w:t>
      </w:r>
      <w:r w:rsidR="00576D4E" w:rsidRPr="00576D4E">
        <w:rPr>
          <w:rFonts w:eastAsia="MS Mincho"/>
          <w:lang w:val="fr-FR"/>
        </w:rPr>
        <w:t>n</w:t>
      </w:r>
      <w:r w:rsidR="00576D4E" w:rsidRPr="00576D4E">
        <w:rPr>
          <w:rFonts w:eastAsia="MS Mincho"/>
          <w:vertAlign w:val="superscript"/>
          <w:lang w:val="fr-FR"/>
        </w:rPr>
        <w:t>o</w:t>
      </w:r>
      <w:r w:rsidR="00576D4E">
        <w:rPr>
          <w:lang w:val="fr-FR"/>
        </w:rPr>
        <w:t xml:space="preserve"> </w:t>
      </w:r>
      <w:r>
        <w:rPr>
          <w:lang w:val="fr-FR"/>
        </w:rPr>
        <w:t xml:space="preserve">10 élaboré par le groupe EMC. </w:t>
      </w:r>
    </w:p>
    <w:p w14:paraId="3EB35872" w14:textId="5D364579" w:rsidR="007910D5" w:rsidRPr="00465018" w:rsidRDefault="007910D5" w:rsidP="007910D5">
      <w:pPr>
        <w:pStyle w:val="SingleTxtG"/>
      </w:pPr>
      <w:r>
        <w:rPr>
          <w:b/>
          <w:bCs/>
          <w:lang w:val="fr-FR"/>
        </w:rPr>
        <w:t>Document(s)</w:t>
      </w:r>
      <w:r>
        <w:rPr>
          <w:b/>
          <w:bCs/>
          <w:lang w:val="fr-FR"/>
        </w:rPr>
        <w:t> </w:t>
      </w:r>
      <w:r>
        <w:rPr>
          <w:b/>
          <w:bCs/>
          <w:lang w:val="fr-FR"/>
        </w:rPr>
        <w:t>:</w:t>
      </w:r>
      <w:r>
        <w:rPr>
          <w:lang w:val="fr-FR"/>
        </w:rPr>
        <w:tab/>
        <w:t>ECE/TRANS/WP.29/GRE/2023/27/Rev.1</w:t>
      </w:r>
    </w:p>
    <w:p w14:paraId="0154EE3A" w14:textId="624E8D79" w:rsidR="007910D5" w:rsidRPr="00465018" w:rsidRDefault="007910D5" w:rsidP="007910D5">
      <w:pPr>
        <w:pStyle w:val="H1G"/>
      </w:pPr>
      <w:r>
        <w:rPr>
          <w:lang w:val="fr-FR"/>
        </w:rPr>
        <w:tab/>
      </w:r>
      <w:r>
        <w:rPr>
          <w:lang w:val="fr-FR"/>
        </w:rPr>
        <w:t>9.</w:t>
      </w:r>
      <w:r>
        <w:rPr>
          <w:lang w:val="fr-FR"/>
        </w:rPr>
        <w:tab/>
        <w:t>Autres Règlements ONU</w:t>
      </w:r>
    </w:p>
    <w:p w14:paraId="3243CE42" w14:textId="526FD899" w:rsidR="007910D5" w:rsidRPr="00465018" w:rsidRDefault="007910D5" w:rsidP="007910D5">
      <w:pPr>
        <w:pStyle w:val="SingleTxtG"/>
        <w:ind w:firstLine="567"/>
      </w:pPr>
      <w:r>
        <w:rPr>
          <w:lang w:val="fr-FR"/>
        </w:rPr>
        <w:t>Le GRE examinera les propositions d’amendements à d’autres Règlements ONU, si elles sont disponibles.</w:t>
      </w:r>
    </w:p>
    <w:p w14:paraId="6E4C93BD" w14:textId="7A964F64" w:rsidR="007910D5" w:rsidRPr="00465018" w:rsidRDefault="007910D5" w:rsidP="007910D5">
      <w:pPr>
        <w:pStyle w:val="H1G"/>
      </w:pPr>
      <w:r>
        <w:rPr>
          <w:lang w:val="fr-FR"/>
        </w:rPr>
        <w:lastRenderedPageBreak/>
        <w:tab/>
      </w:r>
      <w:r>
        <w:rPr>
          <w:lang w:val="fr-FR"/>
        </w:rPr>
        <w:t>10.</w:t>
      </w:r>
      <w:r>
        <w:rPr>
          <w:lang w:val="fr-FR"/>
        </w:rPr>
        <w:tab/>
        <w:t>Propositions d’amendements en cours d’examen</w:t>
      </w:r>
    </w:p>
    <w:p w14:paraId="0ACCB63B" w14:textId="29563AB8" w:rsidR="007910D5" w:rsidRPr="00465018" w:rsidRDefault="007910D5" w:rsidP="007910D5">
      <w:pPr>
        <w:pStyle w:val="SingleTxtG"/>
        <w:ind w:firstLine="567"/>
      </w:pPr>
      <w:r>
        <w:rPr>
          <w:lang w:val="fr-FR"/>
        </w:rPr>
        <w:t>Le GRE se souviendra qu’à ses sessions précédentes, il a adopté des projets de compléments aux séries</w:t>
      </w:r>
      <w:r>
        <w:rPr>
          <w:lang w:val="fr-FR"/>
        </w:rPr>
        <w:t> </w:t>
      </w:r>
      <w:r>
        <w:rPr>
          <w:lang w:val="fr-FR"/>
        </w:rPr>
        <w:t xml:space="preserve">03, 04 et 05 d’amendements au Règlement ONU </w:t>
      </w:r>
      <w:r w:rsidR="00576D4E" w:rsidRPr="00576D4E">
        <w:rPr>
          <w:rFonts w:eastAsia="MS Mincho"/>
          <w:lang w:val="fr-FR"/>
        </w:rPr>
        <w:t>n</w:t>
      </w:r>
      <w:r w:rsidR="00576D4E" w:rsidRPr="00576D4E">
        <w:rPr>
          <w:rFonts w:eastAsia="MS Mincho"/>
          <w:vertAlign w:val="superscript"/>
          <w:lang w:val="fr-FR"/>
        </w:rPr>
        <w:t>o</w:t>
      </w:r>
      <w:r w:rsidR="00576D4E">
        <w:rPr>
          <w:lang w:val="fr-FR"/>
        </w:rPr>
        <w:t xml:space="preserve"> </w:t>
      </w:r>
      <w:r>
        <w:rPr>
          <w:lang w:val="fr-FR"/>
        </w:rPr>
        <w:t xml:space="preserve">48, mais qu’il a décidé de remettre à plus tard leur soumission au WP.29, afin de les combiner avec de futures propositions d’amendement aux mêmes séries d’amendements. </w:t>
      </w:r>
    </w:p>
    <w:p w14:paraId="6A77BB57" w14:textId="6AB951FC" w:rsidR="007910D5" w:rsidRPr="00465018" w:rsidRDefault="007910D5" w:rsidP="007910D5">
      <w:pPr>
        <w:pStyle w:val="SingleTxtG"/>
      </w:pPr>
      <w:r>
        <w:rPr>
          <w:b/>
          <w:bCs/>
          <w:lang w:val="fr-FR"/>
        </w:rPr>
        <w:t>Document(s)</w:t>
      </w:r>
      <w:r>
        <w:rPr>
          <w:b/>
          <w:bCs/>
          <w:lang w:val="fr-FR"/>
        </w:rPr>
        <w:t> </w:t>
      </w:r>
      <w:r>
        <w:rPr>
          <w:b/>
          <w:bCs/>
          <w:lang w:val="fr-FR"/>
        </w:rPr>
        <w:t>:</w:t>
      </w:r>
      <w:r>
        <w:rPr>
          <w:lang w:val="fr-FR"/>
        </w:rPr>
        <w:tab/>
        <w:t>ECE/TRANS/WP.29/GRE/2023/13, document informel</w:t>
      </w:r>
      <w:r>
        <w:rPr>
          <w:lang w:val="fr-FR"/>
        </w:rPr>
        <w:t> </w:t>
      </w:r>
      <w:r>
        <w:rPr>
          <w:lang w:val="fr-FR"/>
        </w:rPr>
        <w:t>GRE-88-17</w:t>
      </w:r>
    </w:p>
    <w:p w14:paraId="0E5AE481" w14:textId="7370B9DE" w:rsidR="007910D5" w:rsidRPr="00465018" w:rsidRDefault="007910D5" w:rsidP="007910D5">
      <w:pPr>
        <w:pStyle w:val="H1G"/>
      </w:pPr>
      <w:r>
        <w:rPr>
          <w:lang w:val="fr-FR"/>
        </w:rPr>
        <w:tab/>
      </w:r>
      <w:r>
        <w:rPr>
          <w:lang w:val="fr-FR"/>
        </w:rPr>
        <w:t>11.</w:t>
      </w:r>
      <w:r>
        <w:rPr>
          <w:lang w:val="fr-FR"/>
        </w:rPr>
        <w:tab/>
        <w:t>Questions diverses</w:t>
      </w:r>
    </w:p>
    <w:p w14:paraId="4FFCF1EB" w14:textId="4697744E" w:rsidR="007910D5" w:rsidRPr="00465018" w:rsidRDefault="007910D5" w:rsidP="007910D5">
      <w:pPr>
        <w:pStyle w:val="H23G"/>
        <w:rPr>
          <w:color w:val="000000"/>
        </w:rPr>
      </w:pPr>
      <w:r>
        <w:rPr>
          <w:lang w:val="fr-FR"/>
        </w:rPr>
        <w:tab/>
      </w:r>
      <w:r>
        <w:rPr>
          <w:lang w:val="fr-FR"/>
        </w:rPr>
        <w:t>a)</w:t>
      </w:r>
      <w:r>
        <w:rPr>
          <w:lang w:val="fr-FR"/>
        </w:rPr>
        <w:tab/>
        <w:t>Mise au point d’une homologation de type internationale de l’ensemble du véhicule</w:t>
      </w:r>
    </w:p>
    <w:p w14:paraId="35D9A208" w14:textId="5C32F371" w:rsidR="007910D5" w:rsidRPr="00465018" w:rsidRDefault="007910D5" w:rsidP="007910D5">
      <w:pPr>
        <w:pStyle w:val="SingleTxtG"/>
      </w:pPr>
      <w:r>
        <w:rPr>
          <w:lang w:val="fr-FR"/>
        </w:rPr>
        <w:tab/>
      </w:r>
      <w:r>
        <w:rPr>
          <w:lang w:val="fr-FR"/>
        </w:rPr>
        <w:tab/>
        <w:t>Le GRE sera informé de l’avancement des travaux du groupe de travail informel de l’homologation de type internationale de l’ensemble du véhicule (groupe IWVTA) et des progrès réalisés dans la création d’une base de données électronique pour l’échange d’informations concernant l’homologation de type (DETA), y compris l’utilisation de cette base dans le contexte de l’identifiant unique (UI).</w:t>
      </w:r>
      <w:bookmarkStart w:id="2" w:name="_Hlk109640904"/>
      <w:bookmarkEnd w:id="2"/>
    </w:p>
    <w:p w14:paraId="7929E8B1" w14:textId="5E47C602" w:rsidR="007910D5" w:rsidRPr="00465018" w:rsidRDefault="007910D5" w:rsidP="007910D5">
      <w:pPr>
        <w:pStyle w:val="H23G"/>
        <w:rPr>
          <w:color w:val="000000"/>
        </w:rPr>
      </w:pPr>
      <w:r>
        <w:rPr>
          <w:lang w:val="fr-FR"/>
        </w:rPr>
        <w:tab/>
      </w:r>
      <w:r>
        <w:rPr>
          <w:lang w:val="fr-FR"/>
        </w:rPr>
        <w:t>b)</w:t>
      </w:r>
      <w:r>
        <w:rPr>
          <w:lang w:val="fr-FR"/>
        </w:rPr>
        <w:tab/>
        <w:t>Amendements à la Convention sur la circulation routière (Vienne, 1968)</w:t>
      </w:r>
    </w:p>
    <w:p w14:paraId="57D0BBB2" w14:textId="77777777" w:rsidR="007910D5" w:rsidRPr="00465018" w:rsidRDefault="007910D5" w:rsidP="007910D5">
      <w:pPr>
        <w:pStyle w:val="SingleTxtG"/>
        <w:rPr>
          <w:rFonts w:eastAsia="MS Mincho"/>
        </w:rPr>
      </w:pPr>
      <w:r>
        <w:rPr>
          <w:lang w:val="fr-FR"/>
        </w:rPr>
        <w:tab/>
      </w:r>
      <w:r>
        <w:rPr>
          <w:lang w:val="fr-FR"/>
        </w:rPr>
        <w:tab/>
        <w:t>Le GRE sera informé des questions examinées par le Forum mondial de la sécurité routière (WP.1) à sa dernière session et de la coordination entre le GRE et le WP.1 sur les questions communes.</w:t>
      </w:r>
    </w:p>
    <w:p w14:paraId="7DBD7CFE" w14:textId="61FACDC2" w:rsidR="007910D5" w:rsidRPr="00465018" w:rsidRDefault="007910D5" w:rsidP="007910D5">
      <w:pPr>
        <w:pStyle w:val="H23G"/>
        <w:rPr>
          <w:color w:val="000000"/>
        </w:rPr>
      </w:pPr>
      <w:r>
        <w:rPr>
          <w:lang w:val="fr-FR"/>
        </w:rPr>
        <w:tab/>
      </w:r>
      <w:r>
        <w:rPr>
          <w:lang w:val="fr-FR"/>
        </w:rPr>
        <w:t>c)</w:t>
      </w:r>
      <w:r>
        <w:rPr>
          <w:lang w:val="fr-FR"/>
        </w:rPr>
        <w:tab/>
        <w:t xml:space="preserve">Autres questions </w:t>
      </w:r>
      <w:bookmarkStart w:id="3" w:name="_Hlk78963081"/>
      <w:bookmarkEnd w:id="3"/>
    </w:p>
    <w:p w14:paraId="69711A9A" w14:textId="77777777" w:rsidR="007910D5" w:rsidRPr="00465018" w:rsidRDefault="007910D5" w:rsidP="007910D5">
      <w:pPr>
        <w:pStyle w:val="SingleTxtG"/>
        <w:ind w:firstLine="567"/>
      </w:pPr>
      <w:r>
        <w:rPr>
          <w:lang w:val="fr-FR"/>
        </w:rPr>
        <w:t>Le GRE souhaitera peut-être examiner d’autres questions, ou des documents reçus après la soumission de l’ordre du jour provisoire annoté.</w:t>
      </w:r>
    </w:p>
    <w:p w14:paraId="33166960" w14:textId="29B22F36" w:rsidR="007910D5" w:rsidRPr="00465018" w:rsidRDefault="007910D5" w:rsidP="007910D5">
      <w:pPr>
        <w:pStyle w:val="H1G"/>
      </w:pPr>
      <w:r>
        <w:rPr>
          <w:lang w:val="fr-FR"/>
        </w:rPr>
        <w:tab/>
      </w:r>
      <w:r>
        <w:rPr>
          <w:lang w:val="fr-FR"/>
        </w:rPr>
        <w:t>12.</w:t>
      </w:r>
      <w:r>
        <w:rPr>
          <w:lang w:val="fr-FR"/>
        </w:rPr>
        <w:tab/>
        <w:t xml:space="preserve">Orientation des travaux futurs du Groupe de travail de l’éclairage </w:t>
      </w:r>
      <w:r w:rsidR="00576D4E">
        <w:rPr>
          <w:lang w:val="fr-FR"/>
        </w:rPr>
        <w:br/>
      </w:r>
      <w:r>
        <w:rPr>
          <w:lang w:val="fr-FR"/>
        </w:rPr>
        <w:t>et de la signalisation lumineuse</w:t>
      </w:r>
    </w:p>
    <w:p w14:paraId="7DD56322" w14:textId="3DDEB7BE" w:rsidR="007910D5" w:rsidRPr="00465018" w:rsidRDefault="007910D5" w:rsidP="007910D5">
      <w:pPr>
        <w:pStyle w:val="SingleTxtG"/>
      </w:pPr>
      <w:r>
        <w:rPr>
          <w:lang w:val="fr-FR"/>
        </w:rPr>
        <w:tab/>
      </w:r>
      <w:r>
        <w:rPr>
          <w:lang w:val="fr-FR"/>
        </w:rPr>
        <w:tab/>
        <w:t>Le GRE sera informé de l’état d’avancement des travaux de l’équipe AVSR sur les signaux optiques des véhicules équipés de systèmes de conduite automatisés. Le GRE se souviendra qu’à sa dernière session, à la suite d’une démonstration d’un véhicule d’essai équipé de feux intégrés automatiques indiquant qu’un système de conduite automatisé est activé, l’expert du groupe AVSR a indiqué qu’il soumettrait à la session faisant l’objet du présent ordre du jour un document informel au sujet de la couleur et de l’intensité des feux indiquant qu’un système de conduite automatisé est activé, des connexions électriques correspondantes et de l’interrupteur permettant de désactiver les feux dans les pays qui pourraient décider de ne pas autoriser ceux-ci sur les routes nationales.</w:t>
      </w:r>
    </w:p>
    <w:p w14:paraId="7E4918B1" w14:textId="243BD069" w:rsidR="007910D5" w:rsidRPr="00465018" w:rsidRDefault="007910D5" w:rsidP="007910D5">
      <w:pPr>
        <w:pStyle w:val="H1G"/>
      </w:pPr>
      <w:r>
        <w:rPr>
          <w:lang w:val="fr-FR"/>
        </w:rPr>
        <w:tab/>
      </w:r>
      <w:r>
        <w:rPr>
          <w:lang w:val="fr-FR"/>
        </w:rPr>
        <w:t>13.</w:t>
      </w:r>
      <w:r>
        <w:rPr>
          <w:lang w:val="fr-FR"/>
        </w:rPr>
        <w:tab/>
        <w:t>Ordre du jour provisoire de la prochaine session</w:t>
      </w:r>
    </w:p>
    <w:p w14:paraId="55453C8E" w14:textId="56F7642B" w:rsidR="007910D5" w:rsidRPr="00465018" w:rsidRDefault="007910D5" w:rsidP="007910D5">
      <w:pPr>
        <w:pStyle w:val="SingleTxtG"/>
      </w:pPr>
      <w:r>
        <w:rPr>
          <w:lang w:val="fr-FR"/>
        </w:rPr>
        <w:tab/>
      </w:r>
      <w:r>
        <w:rPr>
          <w:lang w:val="fr-FR"/>
        </w:rPr>
        <w:tab/>
        <w:t>Le GRE souhaitera sans doute donner des indications sur l’ordre du jour provisoire de la prochaine session.</w:t>
      </w:r>
    </w:p>
    <w:p w14:paraId="4DF248B1" w14:textId="3EFBCFA2" w:rsidR="00F9573C" w:rsidRPr="007910D5" w:rsidRDefault="007910D5" w:rsidP="007910D5">
      <w:pPr>
        <w:pStyle w:val="SingleTxtG"/>
        <w:spacing w:before="240" w:after="0"/>
        <w:jc w:val="center"/>
        <w:rPr>
          <w:u w:val="single"/>
        </w:rPr>
      </w:pPr>
      <w:r w:rsidRPr="00465018">
        <w:rPr>
          <w:color w:val="000000" w:themeColor="text1"/>
        </w:rPr>
        <w:tab/>
      </w:r>
      <w:r>
        <w:rPr>
          <w:u w:val="single"/>
        </w:rPr>
        <w:tab/>
      </w:r>
      <w:r>
        <w:rPr>
          <w:u w:val="single"/>
        </w:rPr>
        <w:tab/>
      </w:r>
      <w:r>
        <w:rPr>
          <w:u w:val="single"/>
        </w:rPr>
        <w:tab/>
      </w:r>
    </w:p>
    <w:sectPr w:rsidR="00F9573C" w:rsidRPr="007910D5" w:rsidSect="007910D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DF02" w14:textId="77777777" w:rsidR="00D506B2" w:rsidRDefault="00D506B2" w:rsidP="00F95C08">
      <w:pPr>
        <w:spacing w:line="240" w:lineRule="auto"/>
      </w:pPr>
    </w:p>
  </w:endnote>
  <w:endnote w:type="continuationSeparator" w:id="0">
    <w:p w14:paraId="4C004C0B" w14:textId="77777777" w:rsidR="00D506B2" w:rsidRPr="00AC3823" w:rsidRDefault="00D506B2" w:rsidP="00AC3823">
      <w:pPr>
        <w:pStyle w:val="Pieddepage"/>
      </w:pPr>
    </w:p>
  </w:endnote>
  <w:endnote w:type="continuationNotice" w:id="1">
    <w:p w14:paraId="31FE2BBF" w14:textId="77777777" w:rsidR="00D506B2" w:rsidRDefault="00D506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3132" w14:textId="30A40E63" w:rsidR="007910D5" w:rsidRPr="007910D5" w:rsidRDefault="007910D5" w:rsidP="007910D5">
    <w:pPr>
      <w:pStyle w:val="Pieddepage"/>
      <w:tabs>
        <w:tab w:val="right" w:pos="9638"/>
      </w:tabs>
    </w:pPr>
    <w:r w:rsidRPr="007910D5">
      <w:rPr>
        <w:b/>
        <w:sz w:val="18"/>
      </w:rPr>
      <w:fldChar w:fldCharType="begin"/>
    </w:r>
    <w:r w:rsidRPr="007910D5">
      <w:rPr>
        <w:b/>
        <w:sz w:val="18"/>
      </w:rPr>
      <w:instrText xml:space="preserve"> PAGE  \* MERGEFORMAT </w:instrText>
    </w:r>
    <w:r w:rsidRPr="007910D5">
      <w:rPr>
        <w:b/>
        <w:sz w:val="18"/>
      </w:rPr>
      <w:fldChar w:fldCharType="separate"/>
    </w:r>
    <w:r w:rsidRPr="007910D5">
      <w:rPr>
        <w:b/>
        <w:noProof/>
        <w:sz w:val="18"/>
      </w:rPr>
      <w:t>2</w:t>
    </w:r>
    <w:r w:rsidRPr="007910D5">
      <w:rPr>
        <w:b/>
        <w:sz w:val="18"/>
      </w:rPr>
      <w:fldChar w:fldCharType="end"/>
    </w:r>
    <w:r>
      <w:rPr>
        <w:b/>
        <w:sz w:val="18"/>
      </w:rPr>
      <w:tab/>
    </w:r>
    <w:r>
      <w:t>GE.24-02561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E173" w14:textId="53BFFE86" w:rsidR="007910D5" w:rsidRPr="007910D5" w:rsidRDefault="007910D5" w:rsidP="007910D5">
    <w:pPr>
      <w:pStyle w:val="Pieddepage"/>
      <w:tabs>
        <w:tab w:val="right" w:pos="9638"/>
      </w:tabs>
      <w:rPr>
        <w:b/>
        <w:sz w:val="18"/>
      </w:rPr>
    </w:pPr>
    <w:r>
      <w:t>GE.24-02561</w:t>
    </w:r>
    <w:r>
      <w:tab/>
    </w:r>
    <w:r w:rsidRPr="007910D5">
      <w:rPr>
        <w:b/>
        <w:sz w:val="18"/>
      </w:rPr>
      <w:fldChar w:fldCharType="begin"/>
    </w:r>
    <w:r w:rsidRPr="007910D5">
      <w:rPr>
        <w:b/>
        <w:sz w:val="18"/>
      </w:rPr>
      <w:instrText xml:space="preserve"> PAGE  \* MERGEFORMAT </w:instrText>
    </w:r>
    <w:r w:rsidRPr="007910D5">
      <w:rPr>
        <w:b/>
        <w:sz w:val="18"/>
      </w:rPr>
      <w:fldChar w:fldCharType="separate"/>
    </w:r>
    <w:r w:rsidRPr="007910D5">
      <w:rPr>
        <w:b/>
        <w:noProof/>
        <w:sz w:val="18"/>
      </w:rPr>
      <w:t>3</w:t>
    </w:r>
    <w:r w:rsidRPr="007910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369" w14:textId="490E162C" w:rsidR="007F20FA" w:rsidRPr="007910D5" w:rsidRDefault="007910D5" w:rsidP="007910D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D46785F" wp14:editId="14427B4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24-02561 (F)</w:t>
    </w:r>
    <w:r>
      <w:rPr>
        <w:noProof/>
        <w:sz w:val="20"/>
      </w:rPr>
      <w:drawing>
        <wp:anchor distT="0" distB="0" distL="114300" distR="114300" simplePos="0" relativeHeight="251660288" behindDoc="0" locked="0" layoutInCell="1" allowOverlap="1" wp14:anchorId="11ABEE67" wp14:editId="4485AAFE">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060324    060324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07E3" w14:textId="77777777" w:rsidR="00D506B2" w:rsidRPr="00AC3823" w:rsidRDefault="00D506B2" w:rsidP="00AC3823">
      <w:pPr>
        <w:pStyle w:val="Pieddepage"/>
        <w:tabs>
          <w:tab w:val="right" w:pos="2155"/>
        </w:tabs>
        <w:spacing w:after="80" w:line="240" w:lineRule="atLeast"/>
        <w:ind w:left="680"/>
        <w:rPr>
          <w:u w:val="single"/>
        </w:rPr>
      </w:pPr>
      <w:r>
        <w:rPr>
          <w:u w:val="single"/>
        </w:rPr>
        <w:tab/>
      </w:r>
    </w:p>
  </w:footnote>
  <w:footnote w:type="continuationSeparator" w:id="0">
    <w:p w14:paraId="047314F6" w14:textId="77777777" w:rsidR="00D506B2" w:rsidRPr="00AC3823" w:rsidRDefault="00D506B2" w:rsidP="00AC3823">
      <w:pPr>
        <w:pStyle w:val="Pieddepage"/>
        <w:tabs>
          <w:tab w:val="right" w:pos="2155"/>
        </w:tabs>
        <w:spacing w:after="80" w:line="240" w:lineRule="atLeast"/>
        <w:ind w:left="680"/>
        <w:rPr>
          <w:u w:val="single"/>
        </w:rPr>
      </w:pPr>
      <w:r>
        <w:rPr>
          <w:u w:val="single"/>
        </w:rPr>
        <w:tab/>
      </w:r>
    </w:p>
  </w:footnote>
  <w:footnote w:type="continuationNotice" w:id="1">
    <w:p w14:paraId="3A117898" w14:textId="77777777" w:rsidR="00D506B2" w:rsidRPr="00AC3823" w:rsidRDefault="00D506B2">
      <w:pPr>
        <w:spacing w:line="240" w:lineRule="auto"/>
        <w:rPr>
          <w:sz w:val="2"/>
          <w:szCs w:val="2"/>
        </w:rPr>
      </w:pPr>
    </w:p>
  </w:footnote>
  <w:footnote w:id="2">
    <w:p w14:paraId="423580BD" w14:textId="22814BE6" w:rsidR="007910D5" w:rsidRPr="00780E14" w:rsidRDefault="007910D5" w:rsidP="007910D5">
      <w:pPr>
        <w:pStyle w:val="Notedebasdepage"/>
      </w:pPr>
      <w:r>
        <w:rPr>
          <w:lang w:val="fr-FR"/>
        </w:rPr>
        <w:tab/>
      </w:r>
      <w:r w:rsidRPr="00576D4E">
        <w:rPr>
          <w:sz w:val="20"/>
          <w:lang w:val="fr-FR"/>
        </w:rPr>
        <w:t>*</w:t>
      </w:r>
      <w:r>
        <w:rPr>
          <w:lang w:val="fr-FR"/>
        </w:rPr>
        <w:tab/>
        <w:t>Pour des raisons d’économie, les représentantes et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00576D4E" w:rsidRPr="00B26B8C">
          <w:rPr>
            <w:rStyle w:val="Lienhypertexte"/>
            <w:lang w:val="fr-FR"/>
          </w:rPr>
          <w:t>https://unece.org/info/events/event/387733</w:t>
        </w:r>
      </w:hyperlink>
      <w:r>
        <w:rPr>
          <w:lang w:val="fr-FR"/>
        </w:rPr>
        <w:t>). Les versions traduites de ces documents sont disponibles en accès public sur le Système de diffusion électronique des documents (SEDOC) (</w:t>
      </w:r>
      <w:hyperlink r:id="rId2" w:history="1">
        <w:r w:rsidR="00576D4E" w:rsidRPr="00B26B8C">
          <w:rPr>
            <w:rStyle w:val="Lienhypertexte"/>
            <w:lang w:val="fr-FR"/>
          </w:rPr>
          <w:t>http://documents.un.org/</w:t>
        </w:r>
      </w:hyperlink>
      <w:r>
        <w:rPr>
          <w:lang w:val="fr-FR"/>
        </w:rPr>
        <w:t>).</w:t>
      </w:r>
    </w:p>
  </w:footnote>
  <w:footnote w:id="3">
    <w:p w14:paraId="1998ADA0" w14:textId="1E23EC95" w:rsidR="007910D5" w:rsidRPr="00780E14" w:rsidRDefault="007910D5" w:rsidP="007910D5">
      <w:pPr>
        <w:pStyle w:val="Notedebasdepage"/>
      </w:pPr>
      <w:r>
        <w:rPr>
          <w:lang w:val="fr-FR"/>
        </w:rPr>
        <w:tab/>
      </w:r>
      <w:r w:rsidRPr="00576D4E">
        <w:rPr>
          <w:sz w:val="20"/>
          <w:lang w:val="fr-FR"/>
        </w:rPr>
        <w:t>**</w:t>
      </w:r>
      <w:r>
        <w:rPr>
          <w:lang w:val="fr-FR"/>
        </w:rPr>
        <w:tab/>
        <w:t>Les représentantes et représentants sont priés de s’inscrire en ligne sur le site Web de la CEE (</w:t>
      </w:r>
      <w:hyperlink r:id="rId3" w:history="1">
        <w:r w:rsidR="00576D4E" w:rsidRPr="00B26B8C">
          <w:rPr>
            <w:rStyle w:val="Lienhypertexte"/>
            <w:lang w:val="fr-FR"/>
          </w:rPr>
          <w:t>https://indico.un.org/event/1007099/</w:t>
        </w:r>
      </w:hyperlink>
      <w:r>
        <w:rPr>
          <w:lang w:val="fr-FR"/>
        </w:rPr>
        <w:t xml:space="preserve">). À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sont invités à contacter le secrétariat par téléphone (poste</w:t>
      </w:r>
      <w:r>
        <w:rPr>
          <w:lang w:val="fr-FR"/>
        </w:rPr>
        <w:t> </w:t>
      </w:r>
      <w:r>
        <w:rPr>
          <w:lang w:val="fr-FR"/>
        </w:rPr>
        <w:t xml:space="preserve">74323). Un plan du Palais des Nations et d’autres renseignements utiles sont disponibles à l’adresse suivante : </w:t>
      </w:r>
      <w:hyperlink r:id="rId4" w:history="1">
        <w:r w:rsidR="00576D4E" w:rsidRPr="00B26B8C">
          <w:rPr>
            <w:rStyle w:val="Lienhypertexte"/>
            <w:lang w:val="fr-FR"/>
          </w:rPr>
          <w:t>www.unece.org/meetings/practical.htm</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8838" w14:textId="56DEC6C1" w:rsidR="007910D5" w:rsidRPr="007910D5" w:rsidRDefault="007910D5">
    <w:pPr>
      <w:pStyle w:val="En-tte"/>
    </w:pPr>
    <w:fldSimple w:instr=" TITLE  \* MERGEFORMAT ">
      <w:r>
        <w:t>ECE/TRANS/WP.29/GRE/2024/1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1B30" w14:textId="06E6D24C" w:rsidR="007910D5" w:rsidRPr="007910D5" w:rsidRDefault="007910D5" w:rsidP="007910D5">
    <w:pPr>
      <w:pStyle w:val="En-tte"/>
      <w:jc w:val="right"/>
    </w:pPr>
    <w:fldSimple w:instr=" TITLE  \* MERGEFORMAT ">
      <w:r>
        <w:t>ECE/TRANS/WP.29/GRE/2024/1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B4C0" w14:textId="77777777" w:rsidR="007910D5" w:rsidRDefault="007910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70005157">
    <w:abstractNumId w:val="12"/>
  </w:num>
  <w:num w:numId="2" w16cid:durableId="101994375">
    <w:abstractNumId w:val="11"/>
  </w:num>
  <w:num w:numId="3" w16cid:durableId="430054596">
    <w:abstractNumId w:val="10"/>
  </w:num>
  <w:num w:numId="4" w16cid:durableId="602542190">
    <w:abstractNumId w:val="8"/>
  </w:num>
  <w:num w:numId="5" w16cid:durableId="171721623">
    <w:abstractNumId w:val="3"/>
  </w:num>
  <w:num w:numId="6" w16cid:durableId="1603338957">
    <w:abstractNumId w:val="2"/>
  </w:num>
  <w:num w:numId="7" w16cid:durableId="442725204">
    <w:abstractNumId w:val="1"/>
  </w:num>
  <w:num w:numId="8" w16cid:durableId="597638996">
    <w:abstractNumId w:val="0"/>
  </w:num>
  <w:num w:numId="9" w16cid:durableId="37559424">
    <w:abstractNumId w:val="9"/>
  </w:num>
  <w:num w:numId="10" w16cid:durableId="666789976">
    <w:abstractNumId w:val="7"/>
  </w:num>
  <w:num w:numId="11" w16cid:durableId="1482233650">
    <w:abstractNumId w:val="6"/>
  </w:num>
  <w:num w:numId="12" w16cid:durableId="1002245309">
    <w:abstractNumId w:val="5"/>
  </w:num>
  <w:num w:numId="13" w16cid:durableId="711418854">
    <w:abstractNumId w:val="4"/>
  </w:num>
  <w:num w:numId="14" w16cid:durableId="635795854">
    <w:abstractNumId w:val="12"/>
  </w:num>
  <w:num w:numId="15" w16cid:durableId="324742613">
    <w:abstractNumId w:val="11"/>
  </w:num>
  <w:num w:numId="16" w16cid:durableId="14881293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B2"/>
    <w:rsid w:val="00017F94"/>
    <w:rsid w:val="00023842"/>
    <w:rsid w:val="000334F9"/>
    <w:rsid w:val="00045FEB"/>
    <w:rsid w:val="0007796D"/>
    <w:rsid w:val="000B7790"/>
    <w:rsid w:val="00111F2F"/>
    <w:rsid w:val="0014365E"/>
    <w:rsid w:val="00143C66"/>
    <w:rsid w:val="00176178"/>
    <w:rsid w:val="001F525A"/>
    <w:rsid w:val="00201148"/>
    <w:rsid w:val="00223272"/>
    <w:rsid w:val="002314DE"/>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76D4E"/>
    <w:rsid w:val="00586ED3"/>
    <w:rsid w:val="00596AA9"/>
    <w:rsid w:val="00680AF9"/>
    <w:rsid w:val="0071601D"/>
    <w:rsid w:val="007910D5"/>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F4498"/>
    <w:rsid w:val="00C02897"/>
    <w:rsid w:val="00C97039"/>
    <w:rsid w:val="00D3439C"/>
    <w:rsid w:val="00D506B2"/>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C1B85"/>
  <w15:docId w15:val="{E73AC83C-6C01-41D9-9FB6-9A861CAD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7910D5"/>
    <w:rPr>
      <w:rFonts w:ascii="Times New Roman" w:eastAsiaTheme="minorHAnsi" w:hAnsi="Times New Roman" w:cs="Times New Roman"/>
      <w:sz w:val="20"/>
      <w:szCs w:val="20"/>
      <w:lang w:eastAsia="en-US"/>
    </w:rPr>
  </w:style>
  <w:style w:type="character" w:customStyle="1" w:styleId="H1GChar">
    <w:name w:val="_ H_1_G Char"/>
    <w:link w:val="H1G"/>
    <w:rsid w:val="007910D5"/>
    <w:rPr>
      <w:rFonts w:ascii="Times New Roman" w:eastAsiaTheme="minorHAnsi" w:hAnsi="Times New Roman" w:cs="Times New Roman"/>
      <w:b/>
      <w:sz w:val="24"/>
      <w:szCs w:val="20"/>
      <w:lang w:eastAsia="en-US"/>
    </w:rPr>
  </w:style>
  <w:style w:type="character" w:customStyle="1" w:styleId="HChGChar">
    <w:name w:val="_ H _Ch_G Char"/>
    <w:link w:val="HChG"/>
    <w:rsid w:val="007910D5"/>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576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7099/" TargetMode="External"/><Relationship Id="rId2" Type="http://schemas.openxmlformats.org/officeDocument/2006/relationships/hyperlink" Target="http://documents.un.org/" TargetMode="External"/><Relationship Id="rId1" Type="http://schemas.openxmlformats.org/officeDocument/2006/relationships/hyperlink" Target="https://unece.org/info/events/event/387733" TargetMode="External"/><Relationship Id="rId4"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12BE6-EC84-4C2F-BE2D-84ADD69CDE1A}"/>
</file>

<file path=customXml/itemProps2.xml><?xml version="1.0" encoding="utf-8"?>
<ds:datastoreItem xmlns:ds="http://schemas.openxmlformats.org/officeDocument/2006/customXml" ds:itemID="{8F2C9CDC-7F40-41C0-A7D9-C4C72EBBD2FA}"/>
</file>

<file path=docProps/app.xml><?xml version="1.0" encoding="utf-8"?>
<Properties xmlns="http://schemas.openxmlformats.org/officeDocument/2006/extended-properties" xmlns:vt="http://schemas.openxmlformats.org/officeDocument/2006/docPropsVTypes">
  <Template>ECE_TRANS.dotm</Template>
  <TotalTime>0</TotalTime>
  <Pages>5</Pages>
  <Words>1389</Words>
  <Characters>9729</Characters>
  <Application>Microsoft Office Word</Application>
  <DocSecurity>0</DocSecurity>
  <Lines>810</Lines>
  <Paragraphs>444</Paragraphs>
  <ScaleCrop>false</ScaleCrop>
  <HeadingPairs>
    <vt:vector size="2" baseType="variant">
      <vt:variant>
        <vt:lpstr>Titre</vt:lpstr>
      </vt:variant>
      <vt:variant>
        <vt:i4>1</vt:i4>
      </vt:variant>
    </vt:vector>
  </HeadingPairs>
  <TitlesOfParts>
    <vt:vector size="1" baseType="lpstr">
      <vt:lpstr>ECE/TRANS/WP.29/GRE/2024/1</vt:lpstr>
    </vt:vector>
  </TitlesOfParts>
  <Company>DCM</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ECE/TRANS/WP.29/GRE/2024/1</dc:title>
  <dc:subject/>
  <dc:creator>Sandrine CLERE</dc:creator>
  <cp:keywords/>
  <cp:lastModifiedBy>Sandrine Clere</cp:lastModifiedBy>
  <cp:revision>2</cp:revision>
  <cp:lastPrinted>2014-05-14T10:59:00Z</cp:lastPrinted>
  <dcterms:created xsi:type="dcterms:W3CDTF">2024-03-06T09:24:00Z</dcterms:created>
  <dcterms:modified xsi:type="dcterms:W3CDTF">2024-03-06T09:24:00Z</dcterms:modified>
</cp:coreProperties>
</file>