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1451E1" w14:textId="77777777" w:rsidTr="00C97039">
        <w:trPr>
          <w:trHeight w:hRule="exact" w:val="851"/>
        </w:trPr>
        <w:tc>
          <w:tcPr>
            <w:tcW w:w="1276" w:type="dxa"/>
            <w:tcBorders>
              <w:bottom w:val="single" w:sz="4" w:space="0" w:color="auto"/>
            </w:tcBorders>
          </w:tcPr>
          <w:p w14:paraId="2AD10585" w14:textId="77777777" w:rsidR="00F35BAF" w:rsidRPr="00DB58B5" w:rsidRDefault="00F35BAF" w:rsidP="00E542D4"/>
        </w:tc>
        <w:tc>
          <w:tcPr>
            <w:tcW w:w="2268" w:type="dxa"/>
            <w:tcBorders>
              <w:bottom w:val="single" w:sz="4" w:space="0" w:color="auto"/>
            </w:tcBorders>
            <w:vAlign w:val="bottom"/>
          </w:tcPr>
          <w:p w14:paraId="2FCD7E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82B2DA" w14:textId="130157C5" w:rsidR="00F35BAF" w:rsidRPr="00DB58B5" w:rsidRDefault="00E542D4" w:rsidP="00E542D4">
            <w:pPr>
              <w:jc w:val="right"/>
            </w:pPr>
            <w:r w:rsidRPr="00E542D4">
              <w:rPr>
                <w:sz w:val="40"/>
              </w:rPr>
              <w:t>ECE</w:t>
            </w:r>
            <w:r>
              <w:t>/TRANS/WP.29/GRE/2024/3</w:t>
            </w:r>
          </w:p>
        </w:tc>
      </w:tr>
      <w:tr w:rsidR="00F35BAF" w:rsidRPr="00DB58B5" w14:paraId="1D88465F" w14:textId="77777777" w:rsidTr="00C97039">
        <w:trPr>
          <w:trHeight w:hRule="exact" w:val="2835"/>
        </w:trPr>
        <w:tc>
          <w:tcPr>
            <w:tcW w:w="1276" w:type="dxa"/>
            <w:tcBorders>
              <w:top w:val="single" w:sz="4" w:space="0" w:color="auto"/>
              <w:bottom w:val="single" w:sz="12" w:space="0" w:color="auto"/>
            </w:tcBorders>
          </w:tcPr>
          <w:p w14:paraId="7495E1CD" w14:textId="77777777" w:rsidR="00F35BAF" w:rsidRPr="00DB58B5" w:rsidRDefault="00F35BAF" w:rsidP="00C97039">
            <w:pPr>
              <w:spacing w:before="120"/>
              <w:jc w:val="center"/>
            </w:pPr>
            <w:r>
              <w:rPr>
                <w:noProof/>
                <w:lang w:eastAsia="fr-CH"/>
              </w:rPr>
              <w:drawing>
                <wp:inline distT="0" distB="0" distL="0" distR="0" wp14:anchorId="2B16DEF7" wp14:editId="27746D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04771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EA1430" w14:textId="77777777" w:rsidR="00F35BAF" w:rsidRDefault="00E542D4" w:rsidP="00C97039">
            <w:pPr>
              <w:spacing w:before="240"/>
            </w:pPr>
            <w:proofErr w:type="spellStart"/>
            <w:r>
              <w:t>Distr</w:t>
            </w:r>
            <w:proofErr w:type="spellEnd"/>
            <w:r>
              <w:t>. générale</w:t>
            </w:r>
          </w:p>
          <w:p w14:paraId="585BEF0A" w14:textId="77777777" w:rsidR="00E542D4" w:rsidRDefault="00E542D4" w:rsidP="00E542D4">
            <w:pPr>
              <w:spacing w:line="240" w:lineRule="exact"/>
            </w:pPr>
            <w:r>
              <w:t>6 février 2024</w:t>
            </w:r>
          </w:p>
          <w:p w14:paraId="57FDCF38" w14:textId="77777777" w:rsidR="00E542D4" w:rsidRDefault="00E542D4" w:rsidP="00E542D4">
            <w:pPr>
              <w:spacing w:line="240" w:lineRule="exact"/>
            </w:pPr>
            <w:r>
              <w:t>Français</w:t>
            </w:r>
          </w:p>
          <w:p w14:paraId="0759DD37" w14:textId="76B9E449" w:rsidR="00E542D4" w:rsidRPr="00DB58B5" w:rsidRDefault="00E542D4" w:rsidP="00E542D4">
            <w:pPr>
              <w:spacing w:line="240" w:lineRule="exact"/>
            </w:pPr>
            <w:r>
              <w:t>Original : anglais</w:t>
            </w:r>
          </w:p>
        </w:tc>
      </w:tr>
    </w:tbl>
    <w:p w14:paraId="1000779E" w14:textId="77777777" w:rsidR="007F20FA" w:rsidRPr="000312C0" w:rsidRDefault="007F20FA" w:rsidP="007F20FA">
      <w:pPr>
        <w:spacing w:before="120"/>
        <w:rPr>
          <w:b/>
          <w:sz w:val="28"/>
          <w:szCs w:val="28"/>
        </w:rPr>
      </w:pPr>
      <w:r w:rsidRPr="000312C0">
        <w:rPr>
          <w:b/>
          <w:sz w:val="28"/>
          <w:szCs w:val="28"/>
        </w:rPr>
        <w:t>Commission économique pour l’Europe</w:t>
      </w:r>
    </w:p>
    <w:p w14:paraId="7CF99859" w14:textId="77777777" w:rsidR="007F20FA" w:rsidRDefault="007F20FA" w:rsidP="007F20FA">
      <w:pPr>
        <w:spacing w:before="120"/>
        <w:rPr>
          <w:sz w:val="28"/>
          <w:szCs w:val="28"/>
        </w:rPr>
      </w:pPr>
      <w:r w:rsidRPr="00685843">
        <w:rPr>
          <w:sz w:val="28"/>
          <w:szCs w:val="28"/>
        </w:rPr>
        <w:t>Comité des transports intérieurs</w:t>
      </w:r>
    </w:p>
    <w:p w14:paraId="1BA9D519" w14:textId="4CFC89D5" w:rsidR="00E542D4" w:rsidRPr="00E542D4" w:rsidRDefault="00E542D4" w:rsidP="00E542D4">
      <w:pPr>
        <w:spacing w:before="120"/>
        <w:rPr>
          <w:b/>
          <w:sz w:val="24"/>
          <w:szCs w:val="24"/>
          <w:lang w:val="fr-FR"/>
        </w:rPr>
      </w:pPr>
      <w:r w:rsidRPr="00E542D4">
        <w:rPr>
          <w:b/>
          <w:bCs/>
          <w:sz w:val="24"/>
          <w:szCs w:val="24"/>
          <w:lang w:val="fr-FR"/>
        </w:rPr>
        <w:t xml:space="preserve">Forum mondial de l’harmonisation </w:t>
      </w:r>
      <w:r>
        <w:rPr>
          <w:b/>
          <w:bCs/>
          <w:sz w:val="24"/>
          <w:szCs w:val="24"/>
          <w:lang w:val="fr-FR"/>
        </w:rPr>
        <w:br/>
      </w:r>
      <w:r w:rsidRPr="00E542D4">
        <w:rPr>
          <w:b/>
          <w:bCs/>
          <w:sz w:val="24"/>
          <w:szCs w:val="24"/>
          <w:lang w:val="fr-FR"/>
        </w:rPr>
        <w:t>des Règlements concernant les véhicules</w:t>
      </w:r>
    </w:p>
    <w:p w14:paraId="5D60D774" w14:textId="77777777" w:rsidR="00E542D4" w:rsidRPr="005A3A91" w:rsidRDefault="00E542D4" w:rsidP="00E542D4">
      <w:pPr>
        <w:spacing w:before="120" w:after="120"/>
        <w:rPr>
          <w:b/>
          <w:bCs/>
          <w:lang w:val="fr-FR"/>
        </w:rPr>
      </w:pPr>
      <w:r>
        <w:rPr>
          <w:b/>
          <w:bCs/>
          <w:lang w:val="fr-FR"/>
        </w:rPr>
        <w:t>Groupe de travail de l’éclairage et de la signalisation lumineuse</w:t>
      </w:r>
    </w:p>
    <w:p w14:paraId="67365FE5" w14:textId="77777777" w:rsidR="00E542D4" w:rsidRPr="005A3A91" w:rsidRDefault="00E542D4" w:rsidP="00E542D4">
      <w:pPr>
        <w:ind w:right="1134"/>
        <w:rPr>
          <w:b/>
          <w:lang w:val="fr-FR"/>
        </w:rPr>
      </w:pPr>
      <w:r>
        <w:rPr>
          <w:b/>
          <w:bCs/>
          <w:lang w:val="fr-FR"/>
        </w:rPr>
        <w:t>Quatre-vingt-dixième session</w:t>
      </w:r>
    </w:p>
    <w:p w14:paraId="2C09BD78" w14:textId="5BA77F1B" w:rsidR="00E542D4" w:rsidRPr="005A3A91" w:rsidRDefault="00E542D4" w:rsidP="00E542D4">
      <w:pPr>
        <w:ind w:right="1134"/>
        <w:rPr>
          <w:lang w:val="fr-FR"/>
        </w:rPr>
      </w:pPr>
      <w:r>
        <w:rPr>
          <w:lang w:val="fr-FR"/>
        </w:rPr>
        <w:t>Genève, 29 avril</w:t>
      </w:r>
      <w:r>
        <w:rPr>
          <w:lang w:val="fr-FR"/>
        </w:rPr>
        <w:noBreakHyphen/>
        <w:t>3 mai 2024</w:t>
      </w:r>
    </w:p>
    <w:p w14:paraId="0CB65FF1" w14:textId="5355D0EC" w:rsidR="00E542D4" w:rsidRPr="005A3A91" w:rsidRDefault="00E542D4" w:rsidP="00E542D4">
      <w:pPr>
        <w:ind w:right="1134"/>
        <w:rPr>
          <w:bCs/>
          <w:lang w:val="fr-FR"/>
        </w:rPr>
      </w:pPr>
      <w:r>
        <w:rPr>
          <w:lang w:val="fr-FR"/>
        </w:rPr>
        <w:t>Point 6 a) de l’ordre du jour provisoire</w:t>
      </w:r>
    </w:p>
    <w:p w14:paraId="4B8B4EA2" w14:textId="679FF4CD" w:rsidR="00E542D4" w:rsidRPr="005A3A91" w:rsidRDefault="00E542D4" w:rsidP="00E542D4">
      <w:pPr>
        <w:ind w:right="1467"/>
        <w:rPr>
          <w:b/>
          <w:bCs/>
          <w:lang w:val="fr-FR"/>
        </w:rPr>
      </w:pPr>
      <w:r>
        <w:rPr>
          <w:b/>
          <w:bCs/>
          <w:lang w:val="fr-FR"/>
        </w:rPr>
        <w:t xml:space="preserve">Règlements ONU concernant l’installation : Règlement ONU </w:t>
      </w:r>
      <w:r w:rsidRPr="009C2256">
        <w:rPr>
          <w:b/>
          <w:bCs/>
          <w:lang w:val="fr-FR"/>
        </w:rPr>
        <w:t>n</w:t>
      </w:r>
      <w:r w:rsidRPr="009C2256">
        <w:rPr>
          <w:b/>
          <w:bCs/>
          <w:vertAlign w:val="superscript"/>
          <w:lang w:val="fr-FR"/>
        </w:rPr>
        <w:t>o</w:t>
      </w:r>
      <w:r w:rsidRPr="009C2256">
        <w:rPr>
          <w:b/>
          <w:bCs/>
          <w:lang w:val="fr-FR"/>
        </w:rPr>
        <w:t> </w:t>
      </w:r>
      <w:r>
        <w:rPr>
          <w:b/>
          <w:bCs/>
          <w:lang w:val="fr-FR"/>
        </w:rPr>
        <w:t xml:space="preserve">48 </w:t>
      </w:r>
      <w:r>
        <w:rPr>
          <w:b/>
          <w:bCs/>
          <w:lang w:val="fr-FR"/>
        </w:rPr>
        <w:br/>
        <w:t>(Installation des dispositifs d’éclairage et de signalisation lumineuse)</w:t>
      </w:r>
    </w:p>
    <w:p w14:paraId="3A546B87" w14:textId="7355F595" w:rsidR="00E542D4" w:rsidRPr="005A3A91" w:rsidRDefault="00E542D4" w:rsidP="00E542D4">
      <w:pPr>
        <w:pStyle w:val="HChG"/>
        <w:rPr>
          <w:lang w:val="fr-FR"/>
        </w:rPr>
      </w:pPr>
      <w:r>
        <w:rPr>
          <w:lang w:val="fr-FR"/>
        </w:rPr>
        <w:tab/>
      </w:r>
      <w:r>
        <w:rPr>
          <w:lang w:val="fr-FR"/>
        </w:rPr>
        <w:tab/>
        <w:t>Proposition de complément aux séries 06, 07, 08 et 09 d’amendements au Règlement ONU n</w:t>
      </w:r>
      <w:r w:rsidRPr="00E542D4">
        <w:rPr>
          <w:vertAlign w:val="superscript"/>
          <w:lang w:val="fr-FR"/>
        </w:rPr>
        <w:t>o</w:t>
      </w:r>
      <w:r>
        <w:rPr>
          <w:lang w:val="fr-FR"/>
        </w:rPr>
        <w:t> 48</w:t>
      </w:r>
    </w:p>
    <w:p w14:paraId="53ADE93E" w14:textId="5257BC93" w:rsidR="00E542D4" w:rsidRPr="005A3A91" w:rsidRDefault="00E542D4" w:rsidP="00CC33C8">
      <w:pPr>
        <w:pStyle w:val="H1G"/>
        <w:rPr>
          <w:szCs w:val="24"/>
          <w:lang w:val="fr-FR"/>
        </w:rPr>
      </w:pPr>
      <w:r>
        <w:rPr>
          <w:lang w:val="fr-FR"/>
        </w:rPr>
        <w:tab/>
      </w:r>
      <w:r>
        <w:rPr>
          <w:lang w:val="fr-FR"/>
        </w:rPr>
        <w:tab/>
        <w:t xml:space="preserve">Communication des </w:t>
      </w:r>
      <w:r w:rsidRPr="00CC33C8">
        <w:rPr>
          <w:lang w:val="fr-FR"/>
        </w:rPr>
        <w:t>experts du Groupe de travail « Bruxelles 1952 »</w:t>
      </w:r>
      <w:r w:rsidRPr="00CC33C8">
        <w:rPr>
          <w:bCs/>
          <w:sz w:val="20"/>
          <w:lang w:val="fr-FR"/>
        </w:rPr>
        <w:t>*</w:t>
      </w:r>
    </w:p>
    <w:p w14:paraId="37845117" w14:textId="66A882F6" w:rsidR="00F9573C" w:rsidRDefault="00E542D4" w:rsidP="00E542D4">
      <w:pPr>
        <w:pStyle w:val="SingleTxtG"/>
        <w:ind w:firstLine="567"/>
        <w:rPr>
          <w:lang w:val="fr-FR"/>
        </w:rPr>
      </w:pPr>
      <w:r>
        <w:rPr>
          <w:lang w:val="fr-FR"/>
        </w:rPr>
        <w:footnoteReference w:customMarkFollows="1" w:id="2"/>
        <w:t>Le texte ci-après, établi par les experts du Groupe de travail « Bruxelles 1952 » (GTB), vise à harmoniser les prescriptions figurant dans le Règlement ONU n</w:t>
      </w:r>
      <w:r w:rsidRPr="00E542D4">
        <w:rPr>
          <w:vertAlign w:val="superscript"/>
          <w:lang w:val="fr-FR"/>
        </w:rPr>
        <w:t>o</w:t>
      </w:r>
      <w:r>
        <w:rPr>
          <w:lang w:val="fr-FR"/>
        </w:rPr>
        <w:t> 48 avec les prescriptions mises à jour dans le Règlement ONU n</w:t>
      </w:r>
      <w:r w:rsidRPr="00E542D4">
        <w:rPr>
          <w:vertAlign w:val="superscript"/>
          <w:lang w:val="fr-FR"/>
        </w:rPr>
        <w:t>o</w:t>
      </w:r>
      <w:r>
        <w:rPr>
          <w:lang w:val="fr-FR"/>
        </w:rPr>
        <w:t> 149. Les modifications qu’il est proposé d’apporter au texte actuel du Règlement ONU figurent en caractères gras pour les ajouts et biffés pour les suppressions.</w:t>
      </w:r>
    </w:p>
    <w:p w14:paraId="77C5BAFB" w14:textId="77A33A19" w:rsidR="00E542D4" w:rsidRDefault="00E542D4">
      <w:pPr>
        <w:suppressAutoHyphens w:val="0"/>
        <w:kinsoku/>
        <w:overflowPunct/>
        <w:autoSpaceDE/>
        <w:autoSpaceDN/>
        <w:adjustRightInd/>
        <w:snapToGrid/>
        <w:spacing w:after="200" w:line="276" w:lineRule="auto"/>
        <w:rPr>
          <w:lang w:val="fr-FR"/>
        </w:rPr>
      </w:pPr>
      <w:r>
        <w:rPr>
          <w:lang w:val="fr-FR"/>
        </w:rPr>
        <w:br w:type="page"/>
      </w:r>
    </w:p>
    <w:p w14:paraId="503F51E4" w14:textId="307DE2D9" w:rsidR="00E542D4" w:rsidRPr="005A3A91" w:rsidRDefault="00E542D4" w:rsidP="00E542D4">
      <w:pPr>
        <w:pStyle w:val="HChG"/>
        <w:rPr>
          <w:lang w:val="fr-FR"/>
        </w:rPr>
      </w:pPr>
      <w:r>
        <w:rPr>
          <w:lang w:val="fr-FR"/>
        </w:rPr>
        <w:lastRenderedPageBreak/>
        <w:tab/>
        <w:t>I.</w:t>
      </w:r>
      <w:r>
        <w:rPr>
          <w:lang w:val="fr-FR"/>
        </w:rPr>
        <w:tab/>
        <w:t>Proposition</w:t>
      </w:r>
    </w:p>
    <w:p w14:paraId="28358380" w14:textId="0DAD00CD" w:rsidR="00E542D4" w:rsidRPr="005A3A91" w:rsidRDefault="00E542D4" w:rsidP="00E542D4">
      <w:pPr>
        <w:pStyle w:val="H1G"/>
        <w:rPr>
          <w:rFonts w:eastAsia="SimSun"/>
          <w:lang w:val="fr-FR"/>
        </w:rPr>
      </w:pPr>
      <w:r>
        <w:rPr>
          <w:lang w:val="fr-FR"/>
        </w:rPr>
        <w:tab/>
        <w:t>A.</w:t>
      </w:r>
      <w:r>
        <w:rPr>
          <w:lang w:val="fr-FR"/>
        </w:rPr>
        <w:tab/>
        <w:t xml:space="preserve">Proposition de complément à la série 06 d’amendements </w:t>
      </w:r>
      <w:r>
        <w:rPr>
          <w:lang w:val="fr-FR"/>
        </w:rPr>
        <w:br/>
        <w:t>au Règlement ONU n</w:t>
      </w:r>
      <w:r w:rsidRPr="00E542D4">
        <w:rPr>
          <w:vertAlign w:val="superscript"/>
          <w:lang w:val="fr-FR"/>
        </w:rPr>
        <w:t>o</w:t>
      </w:r>
      <w:r>
        <w:rPr>
          <w:lang w:val="fr-FR"/>
        </w:rPr>
        <w:t> 48</w:t>
      </w:r>
    </w:p>
    <w:p w14:paraId="2802A004" w14:textId="4294C4F2" w:rsidR="00E542D4" w:rsidRPr="005A3A91" w:rsidRDefault="00E542D4" w:rsidP="00E542D4">
      <w:pPr>
        <w:pStyle w:val="SingleTxtG"/>
        <w:rPr>
          <w:lang w:val="fr-FR"/>
        </w:rPr>
      </w:pPr>
      <w:r w:rsidRPr="00FA131D">
        <w:rPr>
          <w:i/>
          <w:iCs/>
          <w:lang w:val="fr-FR"/>
        </w:rPr>
        <w:t>Paragraphe 6.2.9.2</w:t>
      </w:r>
      <w:r>
        <w:rPr>
          <w:lang w:val="fr-FR"/>
        </w:rPr>
        <w:t>, lire :</w:t>
      </w:r>
    </w:p>
    <w:p w14:paraId="07C17D1E" w14:textId="584B1D55" w:rsidR="00E542D4" w:rsidRPr="002E36DE" w:rsidRDefault="00E542D4" w:rsidP="00E542D4">
      <w:pPr>
        <w:pStyle w:val="SingleTxtG"/>
        <w:ind w:left="2268" w:hanging="1134"/>
      </w:pPr>
      <w:r>
        <w:t>« 6.2.9.2</w:t>
      </w:r>
      <w:r>
        <w:tab/>
        <w:t xml:space="preserve">Les feux de croisement munis d’une </w:t>
      </w:r>
      <w:r>
        <w:rPr>
          <w:b/>
          <w:bCs/>
        </w:rPr>
        <w:t xml:space="preserve">ou de plusieurs </w:t>
      </w:r>
      <w:r>
        <w:t>source</w:t>
      </w:r>
      <w:r w:rsidRPr="005A3A91">
        <w:rPr>
          <w:b/>
          <w:bCs/>
        </w:rPr>
        <w:t>s</w:t>
      </w:r>
      <w:r>
        <w:t xml:space="preserve"> lumineuse</w:t>
      </w:r>
      <w:r w:rsidRPr="005A3A91">
        <w:rPr>
          <w:b/>
          <w:bCs/>
        </w:rPr>
        <w:t>s</w:t>
      </w:r>
      <w:r>
        <w:t xml:space="preserve"> </w:t>
      </w:r>
      <w:r>
        <w:rPr>
          <w:b/>
          <w:bCs/>
        </w:rPr>
        <w:t>et/</w:t>
      </w:r>
      <w:r>
        <w:t xml:space="preserve">ou d’un ou de </w:t>
      </w:r>
      <w:r w:rsidRPr="00E542D4">
        <w:t>plusieurs</w:t>
      </w:r>
      <w:r>
        <w:t xml:space="preserve"> modules </w:t>
      </w:r>
      <w:proofErr w:type="spellStart"/>
      <w:r w:rsidRPr="005A3A91">
        <w:rPr>
          <w:strike/>
        </w:rPr>
        <w:t>DEL</w:t>
      </w:r>
      <w:r>
        <w:rPr>
          <w:b/>
          <w:bCs/>
        </w:rPr>
        <w:t>d’éclairage</w:t>
      </w:r>
      <w:proofErr w:type="spellEnd"/>
      <w:r>
        <w:rPr>
          <w:b/>
          <w:bCs/>
        </w:rPr>
        <w:t xml:space="preserve"> </w:t>
      </w:r>
      <w:r>
        <w:t>produisant le faisceau de croisement principal ayant un flux lumineux objectif total supérieur à 2</w:t>
      </w:r>
      <w:r w:rsidR="000E6C03">
        <w:t> </w:t>
      </w:r>
      <w:r>
        <w:t>000</w:t>
      </w:r>
      <w:r w:rsidR="000E6C03">
        <w:t> </w:t>
      </w:r>
      <w:r>
        <w:t xml:space="preserve">lm pour </w:t>
      </w:r>
      <w:proofErr w:type="spellStart"/>
      <w:r w:rsidRPr="005A3A91">
        <w:rPr>
          <w:strike/>
        </w:rPr>
        <w:t>chaque</w:t>
      </w:r>
      <w:r>
        <w:rPr>
          <w:b/>
          <w:bCs/>
        </w:rPr>
        <w:t>au</w:t>
      </w:r>
      <w:proofErr w:type="spellEnd"/>
      <w:r>
        <w:rPr>
          <w:b/>
          <w:bCs/>
        </w:rPr>
        <w:t xml:space="preserve"> moins un</w:t>
      </w:r>
      <w:r>
        <w:t xml:space="preserve"> feu ne </w:t>
      </w:r>
      <w:proofErr w:type="gramStart"/>
      <w:r>
        <w:t>peuvent</w:t>
      </w:r>
      <w:proofErr w:type="gramEnd"/>
      <w:r>
        <w:t xml:space="preserve"> être installés que si un ou plusieurs nettoie</w:t>
      </w:r>
      <w:r w:rsidR="000E6C03">
        <w:noBreakHyphen/>
      </w:r>
      <w:r>
        <w:t xml:space="preserve">projecteurs conformes </w:t>
      </w:r>
      <w:r w:rsidRPr="00E542D4">
        <w:t xml:space="preserve">au Règlement ONU </w:t>
      </w:r>
      <w:r w:rsidRPr="00E542D4">
        <w:rPr>
          <w:lang w:val="fr-FR"/>
        </w:rPr>
        <w:t>n</w:t>
      </w:r>
      <w:r w:rsidRPr="00E542D4">
        <w:rPr>
          <w:vertAlign w:val="superscript"/>
          <w:lang w:val="fr-FR"/>
        </w:rPr>
        <w:t>o</w:t>
      </w:r>
      <w:r w:rsidRPr="00E542D4">
        <w:rPr>
          <w:lang w:val="fr-FR"/>
        </w:rPr>
        <w:t> </w:t>
      </w:r>
      <w:r w:rsidRPr="00E542D4">
        <w:t>45</w:t>
      </w:r>
      <w:r w:rsidRPr="00121464">
        <w:rPr>
          <w:sz w:val="18"/>
          <w:szCs w:val="18"/>
          <w:vertAlign w:val="superscript"/>
        </w:rPr>
        <w:t>11</w:t>
      </w:r>
      <w:r>
        <w:t xml:space="preserve"> le sont également. ».</w:t>
      </w:r>
    </w:p>
    <w:p w14:paraId="24E99C33" w14:textId="654DCCEB" w:rsidR="00E542D4" w:rsidRPr="005A3A91" w:rsidRDefault="00E542D4" w:rsidP="00E542D4">
      <w:pPr>
        <w:pStyle w:val="SingleTxtG"/>
        <w:rPr>
          <w:lang w:val="fr-FR"/>
        </w:rPr>
      </w:pPr>
      <w:r w:rsidRPr="00FA131D">
        <w:rPr>
          <w:i/>
          <w:iCs/>
          <w:lang w:val="fr-FR"/>
        </w:rPr>
        <w:t>Paragraphe 6.2.9.3</w:t>
      </w:r>
      <w:r>
        <w:rPr>
          <w:lang w:val="fr-FR"/>
        </w:rPr>
        <w:t>, lire :</w:t>
      </w:r>
    </w:p>
    <w:p w14:paraId="311A2220" w14:textId="28B0F9FF" w:rsidR="00E542D4" w:rsidRPr="0066786E" w:rsidRDefault="00E542D4" w:rsidP="00E542D4">
      <w:pPr>
        <w:pStyle w:val="SingleTxtG"/>
        <w:ind w:left="2268" w:hanging="1134"/>
      </w:pPr>
      <w:r>
        <w:t>« 6.2.9.3</w:t>
      </w:r>
      <w:r>
        <w:tab/>
      </w:r>
      <w:r>
        <w:tab/>
        <w:t xml:space="preserve">En ce qui </w:t>
      </w:r>
      <w:r w:rsidRPr="00E542D4">
        <w:rPr>
          <w:snapToGrid w:val="0"/>
        </w:rPr>
        <w:t>concerne</w:t>
      </w:r>
      <w:r>
        <w:t xml:space="preserve"> l’inclinaison verticale, les prescriptions du paragraphe 6.2.6.2.2 ne s’appliquent pas aux feux de croisement munis d’une </w:t>
      </w:r>
      <w:r>
        <w:rPr>
          <w:b/>
          <w:bCs/>
        </w:rPr>
        <w:t xml:space="preserve">ou de plusieurs </w:t>
      </w:r>
      <w:r>
        <w:t>source</w:t>
      </w:r>
      <w:r>
        <w:rPr>
          <w:b/>
          <w:bCs/>
        </w:rPr>
        <w:t>s</w:t>
      </w:r>
      <w:r>
        <w:t xml:space="preserve"> lumineuse</w:t>
      </w:r>
      <w:r>
        <w:rPr>
          <w:b/>
          <w:bCs/>
        </w:rPr>
        <w:t>s</w:t>
      </w:r>
      <w:r>
        <w:t xml:space="preserve"> </w:t>
      </w:r>
      <w:r>
        <w:rPr>
          <w:b/>
          <w:bCs/>
        </w:rPr>
        <w:t>et/</w:t>
      </w:r>
      <w:r>
        <w:t xml:space="preserve">ou d’un ou de plusieurs modules </w:t>
      </w:r>
      <w:proofErr w:type="spellStart"/>
      <w:r w:rsidRPr="005A3A91">
        <w:rPr>
          <w:strike/>
        </w:rPr>
        <w:t>DEL</w:t>
      </w:r>
      <w:r>
        <w:rPr>
          <w:b/>
          <w:bCs/>
        </w:rPr>
        <w:t>d’éclairage</w:t>
      </w:r>
      <w:proofErr w:type="spellEnd"/>
      <w:r>
        <w:rPr>
          <w:b/>
          <w:bCs/>
        </w:rPr>
        <w:t xml:space="preserve"> </w:t>
      </w:r>
      <w:r>
        <w:t>produisant le faisceau de croisement principal et ayant un flux lumineux objectif supérieur à 2</w:t>
      </w:r>
      <w:r w:rsidR="000E6C03">
        <w:t> </w:t>
      </w:r>
      <w:r>
        <w:t>000</w:t>
      </w:r>
      <w:r w:rsidR="000E6C03">
        <w:t> </w:t>
      </w:r>
      <w:r>
        <w:t>lm pour chaque feu.</w:t>
      </w:r>
    </w:p>
    <w:p w14:paraId="529BF80C" w14:textId="1D18820E" w:rsidR="00E542D4" w:rsidRPr="0066786E" w:rsidRDefault="00E542D4" w:rsidP="00E542D4">
      <w:pPr>
        <w:pStyle w:val="SingleTxtG"/>
        <w:ind w:left="2268"/>
      </w:pPr>
      <w:r>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4487B6B5" w14:textId="0E64DC00" w:rsidR="00E542D4" w:rsidRDefault="00E542D4" w:rsidP="00E542D4">
      <w:pPr>
        <w:pStyle w:val="SingleTxtG"/>
        <w:ind w:left="2268"/>
        <w:rPr>
          <w:i/>
          <w:iCs/>
        </w:rPr>
      </w:pPr>
      <w:r>
        <w:t>Dans le cas de feux de croisement équipés d’une source lumineuse homologuée, le flux lumineux objectif applicable est celui qui, à la tension d’essai pertinente, figure dans la fiche de renseignements pertinente du Règlement ONU, en vertu duquel la source lumineuse appliquée a été homologuée, sans tenir compte des tolérances applicables au flux lumineux objectif prescrit dans cette fiche de renseignements. ».</w:t>
      </w:r>
    </w:p>
    <w:p w14:paraId="25790922" w14:textId="1C27BDEE" w:rsidR="00E542D4" w:rsidRPr="005A3A91" w:rsidRDefault="00E542D4" w:rsidP="00E542D4">
      <w:pPr>
        <w:pStyle w:val="SingleTxtG"/>
        <w:rPr>
          <w:lang w:val="fr-FR"/>
        </w:rPr>
      </w:pPr>
      <w:r w:rsidRPr="00FA131D">
        <w:rPr>
          <w:i/>
          <w:iCs/>
          <w:lang w:val="fr-FR"/>
        </w:rPr>
        <w:t>Paragraphe 6.22.9.1</w:t>
      </w:r>
      <w:r>
        <w:rPr>
          <w:lang w:val="fr-FR"/>
        </w:rPr>
        <w:t>, lire :</w:t>
      </w:r>
    </w:p>
    <w:p w14:paraId="2F602CDA" w14:textId="73706466" w:rsidR="00E542D4" w:rsidRDefault="00E542D4" w:rsidP="00E542D4">
      <w:pPr>
        <w:pStyle w:val="SingleTxtG"/>
        <w:ind w:left="2268" w:hanging="1134"/>
      </w:pPr>
      <w:r>
        <w:t>« 6.22.9.1</w:t>
      </w:r>
      <w:r>
        <w:tab/>
        <w:t xml:space="preserve">Le montage d’un système AFS n’est autorisé que si le véhicule est aussi équipé de dispositifs de nettoyage des projecteurs conformes au Règlement ONU </w:t>
      </w:r>
      <w:r>
        <w:rPr>
          <w:lang w:val="fr-FR"/>
        </w:rPr>
        <w:t>n</w:t>
      </w:r>
      <w:r w:rsidRPr="00E542D4">
        <w:rPr>
          <w:vertAlign w:val="superscript"/>
          <w:lang w:val="fr-FR"/>
        </w:rPr>
        <w:t>o</w:t>
      </w:r>
      <w:r>
        <w:rPr>
          <w:lang w:val="fr-FR"/>
        </w:rPr>
        <w:t> </w:t>
      </w:r>
      <w:r>
        <w:t>45</w:t>
      </w:r>
      <w:r w:rsidRPr="00121464">
        <w:rPr>
          <w:sz w:val="18"/>
          <w:szCs w:val="18"/>
          <w:vertAlign w:val="superscript"/>
        </w:rPr>
        <w:t>16</w:t>
      </w:r>
      <w:r>
        <w:t>, au moins sur les unités d’éclairage énumérées au point 9.2.3 de la fiche de communication conforme au modèle de l’annexe</w:t>
      </w:r>
      <w:r w:rsidR="000E6C03">
        <w:t> </w:t>
      </w:r>
      <w:r>
        <w:t xml:space="preserve">1 du Règlement ONU </w:t>
      </w:r>
      <w:r>
        <w:rPr>
          <w:lang w:val="fr-FR"/>
        </w:rPr>
        <w:t>n</w:t>
      </w:r>
      <w:r w:rsidRPr="00E542D4">
        <w:rPr>
          <w:vertAlign w:val="superscript"/>
          <w:lang w:val="fr-FR"/>
        </w:rPr>
        <w:t>o</w:t>
      </w:r>
      <w:r>
        <w:rPr>
          <w:lang w:val="fr-FR"/>
        </w:rPr>
        <w:t> </w:t>
      </w:r>
      <w:r>
        <w:t>123 ou au point 9.3.2.3 de la fiche de communication conforme au modèle de l’annexe</w:t>
      </w:r>
      <w:r w:rsidR="000E6C03">
        <w:t> </w:t>
      </w:r>
      <w:r>
        <w:t xml:space="preserve">1 de la série 00 d’amendements au Règlement ONU </w:t>
      </w:r>
      <w:r>
        <w:rPr>
          <w:lang w:val="fr-FR"/>
        </w:rPr>
        <w:t>n</w:t>
      </w:r>
      <w:r w:rsidRPr="00E542D4">
        <w:rPr>
          <w:vertAlign w:val="superscript"/>
          <w:lang w:val="fr-FR"/>
        </w:rPr>
        <w:t>o</w:t>
      </w:r>
      <w:r>
        <w:rPr>
          <w:lang w:val="fr-FR"/>
        </w:rPr>
        <w:t> </w:t>
      </w:r>
      <w:r>
        <w:t>149, ou au point 9.2.2.3 de la fiche de communication conforme au modèle de l’annexe</w:t>
      </w:r>
      <w:r w:rsidR="000E6C03">
        <w:t> </w:t>
      </w:r>
      <w:r>
        <w:t>1 de la série</w:t>
      </w:r>
      <w:r w:rsidR="000E6C03">
        <w:t> </w:t>
      </w:r>
      <w:r>
        <w:t xml:space="preserve">01 d’amendements au Règlement ONU </w:t>
      </w:r>
      <w:r>
        <w:rPr>
          <w:lang w:val="fr-FR"/>
        </w:rPr>
        <w:t>n</w:t>
      </w:r>
      <w:r w:rsidRPr="00E542D4">
        <w:rPr>
          <w:vertAlign w:val="superscript"/>
          <w:lang w:val="fr-FR"/>
        </w:rPr>
        <w:t>o</w:t>
      </w:r>
      <w:r>
        <w:rPr>
          <w:lang w:val="fr-FR"/>
        </w:rPr>
        <w:t> </w:t>
      </w:r>
      <w:r>
        <w:t xml:space="preserve">149, si le flux lumineux objectif total </w:t>
      </w:r>
      <w:r>
        <w:rPr>
          <w:b/>
          <w:bCs/>
        </w:rPr>
        <w:t xml:space="preserve">de la ou </w:t>
      </w:r>
      <w:r>
        <w:t xml:space="preserve">des sources lumineuses </w:t>
      </w:r>
      <w:r>
        <w:rPr>
          <w:b/>
          <w:bCs/>
        </w:rPr>
        <w:t xml:space="preserve">et/ou du ou des modules d’éclairage </w:t>
      </w:r>
      <w:r>
        <w:t>de ces unités d’éclairage dépasse 2</w:t>
      </w:r>
      <w:r w:rsidR="000E6C03">
        <w:t> </w:t>
      </w:r>
      <w:r>
        <w:t>000</w:t>
      </w:r>
      <w:r w:rsidR="000E6C03">
        <w:t> </w:t>
      </w:r>
      <w:r>
        <w:t xml:space="preserve">lm </w:t>
      </w:r>
      <w:proofErr w:type="spellStart"/>
      <w:r w:rsidRPr="005A3A91">
        <w:rPr>
          <w:strike/>
        </w:rPr>
        <w:t>par</w:t>
      </w:r>
      <w:r>
        <w:rPr>
          <w:b/>
          <w:bCs/>
        </w:rPr>
        <w:t>sur</w:t>
      </w:r>
      <w:proofErr w:type="spellEnd"/>
      <w:r>
        <w:rPr>
          <w:b/>
          <w:bCs/>
        </w:rPr>
        <w:t xml:space="preserve"> au moins un des</w:t>
      </w:r>
      <w:r>
        <w:t xml:space="preserve"> côté</w:t>
      </w:r>
      <w:r>
        <w:rPr>
          <w:b/>
          <w:bCs/>
        </w:rPr>
        <w:t>s</w:t>
      </w:r>
      <w:r>
        <w:t>, et si ces unités contribuent au faisceau de croisement (élémentaire) classe C. ».</w:t>
      </w:r>
    </w:p>
    <w:p w14:paraId="17A57653" w14:textId="410471F1" w:rsidR="00E542D4" w:rsidRPr="005A3A91" w:rsidRDefault="00E542D4" w:rsidP="00E542D4">
      <w:pPr>
        <w:pStyle w:val="H1G"/>
        <w:rPr>
          <w:rFonts w:eastAsia="SimSun"/>
          <w:lang w:val="fr-FR"/>
        </w:rPr>
      </w:pPr>
      <w:r>
        <w:rPr>
          <w:lang w:val="fr-FR"/>
        </w:rPr>
        <w:tab/>
        <w:t>B.</w:t>
      </w:r>
      <w:r>
        <w:rPr>
          <w:lang w:val="fr-FR"/>
        </w:rPr>
        <w:tab/>
        <w:t xml:space="preserve">Proposition de complément aux séries 07 et 08 d’amendements </w:t>
      </w:r>
      <w:r>
        <w:rPr>
          <w:lang w:val="fr-FR"/>
        </w:rPr>
        <w:br/>
        <w:t>au Règlement ONU n</w:t>
      </w:r>
      <w:r w:rsidRPr="00E542D4">
        <w:rPr>
          <w:vertAlign w:val="superscript"/>
          <w:lang w:val="fr-FR"/>
        </w:rPr>
        <w:t>o</w:t>
      </w:r>
      <w:r>
        <w:rPr>
          <w:lang w:val="fr-FR"/>
        </w:rPr>
        <w:t> 48</w:t>
      </w:r>
    </w:p>
    <w:p w14:paraId="41B8FA6F" w14:textId="6294109A" w:rsidR="00E542D4" w:rsidRPr="005A3A91" w:rsidRDefault="00E542D4" w:rsidP="00E542D4">
      <w:pPr>
        <w:pStyle w:val="SingleTxtG"/>
        <w:rPr>
          <w:lang w:val="fr-FR"/>
        </w:rPr>
      </w:pPr>
      <w:r w:rsidRPr="00FA131D">
        <w:rPr>
          <w:i/>
          <w:iCs/>
          <w:lang w:val="fr-FR"/>
        </w:rPr>
        <w:t>Paragraphe 6.2.9.2</w:t>
      </w:r>
      <w:r>
        <w:rPr>
          <w:lang w:val="fr-FR"/>
        </w:rPr>
        <w:t>, lire :</w:t>
      </w:r>
    </w:p>
    <w:p w14:paraId="706C5B93" w14:textId="1A1300C0" w:rsidR="00E542D4" w:rsidRPr="00FA131D" w:rsidRDefault="00E542D4" w:rsidP="00E542D4">
      <w:pPr>
        <w:pStyle w:val="SingleTxtG"/>
        <w:ind w:left="2268" w:hanging="1134"/>
      </w:pPr>
      <w:r>
        <w:t>« 6.2.9.2</w:t>
      </w:r>
      <w:r>
        <w:tab/>
      </w:r>
      <w:r>
        <w:tab/>
        <w:t xml:space="preserve">Les feux de croisement munis d’une </w:t>
      </w:r>
      <w:r>
        <w:rPr>
          <w:b/>
          <w:bCs/>
        </w:rPr>
        <w:t xml:space="preserve">ou de plusieurs </w:t>
      </w:r>
      <w:r>
        <w:t>source</w:t>
      </w:r>
      <w:r w:rsidRPr="005A3A91">
        <w:rPr>
          <w:b/>
          <w:bCs/>
        </w:rPr>
        <w:t>s</w:t>
      </w:r>
      <w:r>
        <w:t xml:space="preserve"> lumineuse</w:t>
      </w:r>
      <w:r w:rsidRPr="005A3A91">
        <w:rPr>
          <w:b/>
          <w:bCs/>
        </w:rPr>
        <w:t>s</w:t>
      </w:r>
      <w:r>
        <w:t xml:space="preserve"> </w:t>
      </w:r>
      <w:r>
        <w:rPr>
          <w:b/>
          <w:bCs/>
        </w:rPr>
        <w:t>et/</w:t>
      </w:r>
      <w:r>
        <w:t xml:space="preserve">ou d’un ou de plusieurs modules </w:t>
      </w:r>
      <w:proofErr w:type="spellStart"/>
      <w:r w:rsidRPr="005A3A91">
        <w:rPr>
          <w:strike/>
        </w:rPr>
        <w:t>DEL</w:t>
      </w:r>
      <w:r>
        <w:rPr>
          <w:b/>
          <w:bCs/>
        </w:rPr>
        <w:t>d’éclairage</w:t>
      </w:r>
      <w:proofErr w:type="spellEnd"/>
      <w:r>
        <w:rPr>
          <w:b/>
          <w:bCs/>
        </w:rPr>
        <w:t xml:space="preserve"> </w:t>
      </w:r>
      <w:r>
        <w:t>produisant le faisceau de croisement principal ayant un flux lumineux objectif total supérieur à 2</w:t>
      </w:r>
      <w:r w:rsidR="000E6C03">
        <w:t> </w:t>
      </w:r>
      <w:r>
        <w:t>000</w:t>
      </w:r>
      <w:r w:rsidR="000E6C03">
        <w:t> </w:t>
      </w:r>
      <w:r>
        <w:t xml:space="preserve">lm pour </w:t>
      </w:r>
      <w:proofErr w:type="spellStart"/>
      <w:r w:rsidRPr="005A3A91">
        <w:rPr>
          <w:strike/>
        </w:rPr>
        <w:t>chaque</w:t>
      </w:r>
      <w:r>
        <w:rPr>
          <w:b/>
          <w:bCs/>
        </w:rPr>
        <w:t>au</w:t>
      </w:r>
      <w:proofErr w:type="spellEnd"/>
      <w:r>
        <w:rPr>
          <w:b/>
          <w:bCs/>
        </w:rPr>
        <w:t xml:space="preserve"> moins un</w:t>
      </w:r>
      <w:r>
        <w:t xml:space="preserve"> feu ne </w:t>
      </w:r>
      <w:proofErr w:type="gramStart"/>
      <w:r>
        <w:t>peuvent</w:t>
      </w:r>
      <w:proofErr w:type="gramEnd"/>
      <w:r>
        <w:t xml:space="preserve"> être installés que si un ou plusieurs nettoie-projecteurs conformes au Règlement ONU </w:t>
      </w:r>
      <w:r>
        <w:rPr>
          <w:lang w:val="fr-FR"/>
        </w:rPr>
        <w:t>n</w:t>
      </w:r>
      <w:r w:rsidRPr="00E542D4">
        <w:rPr>
          <w:vertAlign w:val="superscript"/>
          <w:lang w:val="fr-FR"/>
        </w:rPr>
        <w:t>o</w:t>
      </w:r>
      <w:r>
        <w:rPr>
          <w:lang w:val="fr-FR"/>
        </w:rPr>
        <w:t> </w:t>
      </w:r>
      <w:r w:rsidRPr="00121464">
        <w:t>45</w:t>
      </w:r>
      <w:r w:rsidRPr="00121464">
        <w:rPr>
          <w:sz w:val="18"/>
          <w:szCs w:val="18"/>
          <w:vertAlign w:val="superscript"/>
        </w:rPr>
        <w:t>11</w:t>
      </w:r>
      <w:r>
        <w:t xml:space="preserve"> le sont également. ».</w:t>
      </w:r>
    </w:p>
    <w:p w14:paraId="0801FBC9" w14:textId="1DA63E5D" w:rsidR="00E542D4" w:rsidRPr="005A3A91" w:rsidRDefault="00E542D4" w:rsidP="00E542D4">
      <w:pPr>
        <w:pStyle w:val="SingleTxtG"/>
        <w:keepNext/>
        <w:rPr>
          <w:lang w:val="fr-FR"/>
        </w:rPr>
      </w:pPr>
      <w:r w:rsidRPr="00FA131D">
        <w:rPr>
          <w:i/>
          <w:iCs/>
          <w:lang w:val="fr-FR"/>
        </w:rPr>
        <w:lastRenderedPageBreak/>
        <w:t>Paragraphe 6.2.9.3</w:t>
      </w:r>
      <w:r>
        <w:rPr>
          <w:lang w:val="fr-FR"/>
        </w:rPr>
        <w:t>, lire :</w:t>
      </w:r>
    </w:p>
    <w:p w14:paraId="4F24F85A" w14:textId="7AEA93DE" w:rsidR="00E542D4" w:rsidRDefault="00E542D4" w:rsidP="00E542D4">
      <w:pPr>
        <w:pStyle w:val="SingleTxtG"/>
        <w:ind w:left="2268" w:hanging="1134"/>
      </w:pPr>
      <w:r>
        <w:t>« 6.2.9.3</w:t>
      </w:r>
      <w:r>
        <w:tab/>
      </w:r>
      <w:r>
        <w:tab/>
      </w:r>
      <w:r w:rsidRPr="00154F4F">
        <w:t>En ce qui concerne l</w:t>
      </w:r>
      <w:r>
        <w:t>’</w:t>
      </w:r>
      <w:r w:rsidRPr="00154F4F">
        <w:t>inclinaison verticale, les prescriptions du paragraphe 6.2.6.2.2 ci-dessus ne s</w:t>
      </w:r>
      <w:r>
        <w:t>’</w:t>
      </w:r>
      <w:r w:rsidRPr="00154F4F">
        <w:t>appliquent pas aux feux de croisement munis d</w:t>
      </w:r>
      <w:r>
        <w:t>’</w:t>
      </w:r>
      <w:r w:rsidRPr="00154F4F">
        <w:t>une</w:t>
      </w:r>
      <w:r w:rsidRPr="00154F4F">
        <w:rPr>
          <w:b/>
          <w:bCs/>
        </w:rPr>
        <w:t xml:space="preserve"> </w:t>
      </w:r>
      <w:r>
        <w:rPr>
          <w:b/>
          <w:bCs/>
        </w:rPr>
        <w:t xml:space="preserve">ou de plusieurs </w:t>
      </w:r>
      <w:r>
        <w:t>source</w:t>
      </w:r>
      <w:r>
        <w:rPr>
          <w:b/>
          <w:bCs/>
        </w:rPr>
        <w:t>s</w:t>
      </w:r>
      <w:r>
        <w:t xml:space="preserve"> lumineuse</w:t>
      </w:r>
      <w:r>
        <w:rPr>
          <w:b/>
          <w:bCs/>
        </w:rPr>
        <w:t>s</w:t>
      </w:r>
      <w:r>
        <w:t xml:space="preserve"> </w:t>
      </w:r>
      <w:r>
        <w:rPr>
          <w:b/>
          <w:bCs/>
        </w:rPr>
        <w:t>et/</w:t>
      </w:r>
      <w:r>
        <w:t xml:space="preserve">ou d’un ou de plusieurs modules </w:t>
      </w:r>
      <w:proofErr w:type="spellStart"/>
      <w:r w:rsidRPr="005A3A91">
        <w:rPr>
          <w:strike/>
        </w:rPr>
        <w:t>DEL</w:t>
      </w:r>
      <w:r>
        <w:rPr>
          <w:b/>
          <w:bCs/>
        </w:rPr>
        <w:t>d’éclairage</w:t>
      </w:r>
      <w:proofErr w:type="spellEnd"/>
      <w:r>
        <w:rPr>
          <w:b/>
          <w:bCs/>
        </w:rPr>
        <w:t xml:space="preserve"> </w:t>
      </w:r>
      <w:r>
        <w:t>produisant le faisceau</w:t>
      </w:r>
      <w:r w:rsidRPr="00154F4F">
        <w:t xml:space="preserve"> de croisement principal et ayant un flux lumineux objectif supérieur à 2</w:t>
      </w:r>
      <w:r w:rsidR="000E6C03">
        <w:t> </w:t>
      </w:r>
      <w:r w:rsidRPr="00154F4F">
        <w:t>000</w:t>
      </w:r>
      <w:r w:rsidR="000E6C03">
        <w:t> </w:t>
      </w:r>
      <w:r w:rsidRPr="00154F4F">
        <w:t xml:space="preserve">lm pour chaque feu. </w:t>
      </w:r>
    </w:p>
    <w:p w14:paraId="58588696" w14:textId="77777777" w:rsidR="00E542D4" w:rsidRDefault="00E542D4" w:rsidP="00E542D4">
      <w:pPr>
        <w:pStyle w:val="SingleTxtG"/>
        <w:ind w:left="2268"/>
      </w:pPr>
      <w:r w:rsidRPr="00154F4F">
        <w:t>Dans le cas des lampes à incandescence pour lesquelles plus d</w:t>
      </w:r>
      <w:r>
        <w:t>’</w:t>
      </w:r>
      <w:r w:rsidRPr="00154F4F">
        <w:t>une tension d</w:t>
      </w:r>
      <w:r>
        <w:t>’</w:t>
      </w:r>
      <w:r w:rsidRPr="00154F4F">
        <w:t>essai est prescrite, on applique la valeur du flux lumineux objectif correspondant au faisceau de croisement principal, indiquée sur la fiche de communication relative à l</w:t>
      </w:r>
      <w:r>
        <w:t>’</w:t>
      </w:r>
      <w:r w:rsidRPr="00154F4F">
        <w:t xml:space="preserve">homologation de type du dispositif. </w:t>
      </w:r>
    </w:p>
    <w:p w14:paraId="573005ED" w14:textId="5514017D" w:rsidR="00E542D4" w:rsidRDefault="00E542D4" w:rsidP="00E542D4">
      <w:pPr>
        <w:pStyle w:val="SingleTxtG"/>
        <w:ind w:left="2268"/>
        <w:rPr>
          <w:i/>
          <w:iCs/>
        </w:rPr>
      </w:pPr>
      <w:r w:rsidRPr="00154F4F">
        <w:t>Dans le cas de feux de croisement équipés d</w:t>
      </w:r>
      <w:r>
        <w:t>’</w:t>
      </w:r>
      <w:r w:rsidRPr="00154F4F">
        <w:t>une source lumineuse homologuée, on applique la valeur du flux lumineux objectif qui, à la tension d</w:t>
      </w:r>
      <w:r>
        <w:t>’</w:t>
      </w:r>
      <w:r w:rsidRPr="00154F4F">
        <w:t>essai pertinente, figure dans la fiche de renseignements pertinente du Règlement en vertu duquel la source lumineuse appliquée a été homologuée, sans tenir compte des tolérances applicables au flux lumineux objectif prescrit dans cette fiche de renseignements.</w:t>
      </w:r>
      <w:r>
        <w:t> ».</w:t>
      </w:r>
    </w:p>
    <w:p w14:paraId="68604257" w14:textId="2E84B287" w:rsidR="00E542D4" w:rsidRPr="005A3A91" w:rsidRDefault="00E542D4" w:rsidP="00E542D4">
      <w:pPr>
        <w:pStyle w:val="SingleTxtG"/>
        <w:rPr>
          <w:lang w:val="fr-FR"/>
        </w:rPr>
      </w:pPr>
      <w:r w:rsidRPr="00FA131D">
        <w:rPr>
          <w:i/>
          <w:iCs/>
          <w:lang w:val="fr-FR"/>
        </w:rPr>
        <w:t>Paragraphe 6.22.9.1</w:t>
      </w:r>
      <w:r>
        <w:rPr>
          <w:lang w:val="fr-FR"/>
        </w:rPr>
        <w:t>, lire :</w:t>
      </w:r>
    </w:p>
    <w:p w14:paraId="4FDDFD5D" w14:textId="4508BAA4" w:rsidR="00E542D4" w:rsidRDefault="00E542D4" w:rsidP="00E542D4">
      <w:pPr>
        <w:pStyle w:val="SingleTxtG"/>
        <w:ind w:left="2268" w:hanging="1134"/>
      </w:pPr>
      <w:r>
        <w:t>« 6.22.9.1</w:t>
      </w:r>
      <w:r>
        <w:tab/>
      </w:r>
      <w:r w:rsidRPr="00645C26">
        <w:t>Le montage d</w:t>
      </w:r>
      <w:r>
        <w:t>’</w:t>
      </w:r>
      <w:r w:rsidRPr="00645C26">
        <w:t>un système AFS n</w:t>
      </w:r>
      <w:r>
        <w:t>’</w:t>
      </w:r>
      <w:r w:rsidRPr="00645C26">
        <w:t xml:space="preserve">est autorisé que si le véhicule est aussi équipé de dispositifs de nettoyage des projecteurs conformes au Règlement ONU </w:t>
      </w:r>
      <w:r>
        <w:rPr>
          <w:lang w:val="fr-FR"/>
        </w:rPr>
        <w:t>n</w:t>
      </w:r>
      <w:r w:rsidRPr="00E542D4">
        <w:rPr>
          <w:vertAlign w:val="superscript"/>
          <w:lang w:val="fr-FR"/>
        </w:rPr>
        <w:t>o</w:t>
      </w:r>
      <w:r>
        <w:rPr>
          <w:lang w:val="fr-FR"/>
        </w:rPr>
        <w:t> </w:t>
      </w:r>
      <w:r w:rsidRPr="00645C26">
        <w:t>45</w:t>
      </w:r>
      <w:r w:rsidRPr="00121464">
        <w:rPr>
          <w:sz w:val="18"/>
          <w:szCs w:val="18"/>
          <w:vertAlign w:val="superscript"/>
        </w:rPr>
        <w:t>16</w:t>
      </w:r>
      <w:r w:rsidRPr="00645C26">
        <w:t>, au moins sur les unités d</w:t>
      </w:r>
      <w:r>
        <w:t>’</w:t>
      </w:r>
      <w:r w:rsidRPr="00645C26">
        <w:t>éclairage énumérées au point 9.2.3 de la fiche de communication conforme au modèle de l</w:t>
      </w:r>
      <w:r>
        <w:t>’</w:t>
      </w:r>
      <w:r w:rsidRPr="00645C26">
        <w:t>annexe</w:t>
      </w:r>
      <w:r w:rsidR="000E6C03">
        <w:t> </w:t>
      </w:r>
      <w:r w:rsidRPr="00645C26">
        <w:t xml:space="preserve">1 du Règlement ONU </w:t>
      </w:r>
      <w:r>
        <w:rPr>
          <w:lang w:val="fr-FR"/>
        </w:rPr>
        <w:t>n</w:t>
      </w:r>
      <w:r w:rsidRPr="00E542D4">
        <w:rPr>
          <w:vertAlign w:val="superscript"/>
          <w:lang w:val="fr-FR"/>
        </w:rPr>
        <w:t>o</w:t>
      </w:r>
      <w:r>
        <w:rPr>
          <w:lang w:val="fr-FR"/>
        </w:rPr>
        <w:t> </w:t>
      </w:r>
      <w:r w:rsidRPr="00645C26">
        <w:t>123, au point 9.3.2.3 de la fiche de communication conforme au modèle de l</w:t>
      </w:r>
      <w:r>
        <w:t>’</w:t>
      </w:r>
      <w:r w:rsidRPr="00645C26">
        <w:t>annexe</w:t>
      </w:r>
      <w:r w:rsidR="000E6C03">
        <w:t> </w:t>
      </w:r>
      <w:r w:rsidRPr="00645C26">
        <w:t>1 de la série 00 d</w:t>
      </w:r>
      <w:r>
        <w:t>’</w:t>
      </w:r>
      <w:r w:rsidRPr="00645C26">
        <w:t xml:space="preserve">amendements au Règlement ONU </w:t>
      </w:r>
      <w:r>
        <w:rPr>
          <w:lang w:val="fr-FR"/>
        </w:rPr>
        <w:t>n</w:t>
      </w:r>
      <w:r w:rsidRPr="00E542D4">
        <w:rPr>
          <w:vertAlign w:val="superscript"/>
          <w:lang w:val="fr-FR"/>
        </w:rPr>
        <w:t>o</w:t>
      </w:r>
      <w:r>
        <w:rPr>
          <w:lang w:val="fr-FR"/>
        </w:rPr>
        <w:t> </w:t>
      </w:r>
      <w:r w:rsidRPr="00645C26">
        <w:t>149, ou au point 9.2.2.3 de la fiche de communication conforme au modèle de l</w:t>
      </w:r>
      <w:r>
        <w:t>’</w:t>
      </w:r>
      <w:r w:rsidRPr="00645C26">
        <w:t>annexe</w:t>
      </w:r>
      <w:r w:rsidR="000E6C03">
        <w:t> </w:t>
      </w:r>
      <w:r w:rsidRPr="00645C26">
        <w:t>1 de la série</w:t>
      </w:r>
      <w:r w:rsidR="000E6C03">
        <w:t> </w:t>
      </w:r>
      <w:r w:rsidRPr="00645C26">
        <w:t>01 d</w:t>
      </w:r>
      <w:r>
        <w:t>’</w:t>
      </w:r>
      <w:r w:rsidRPr="00645C26">
        <w:t xml:space="preserve">amendements au Règlement ONU </w:t>
      </w:r>
      <w:r>
        <w:rPr>
          <w:lang w:val="fr-FR"/>
        </w:rPr>
        <w:t>n</w:t>
      </w:r>
      <w:r w:rsidRPr="00E542D4">
        <w:rPr>
          <w:vertAlign w:val="superscript"/>
          <w:lang w:val="fr-FR"/>
        </w:rPr>
        <w:t>o</w:t>
      </w:r>
      <w:r>
        <w:rPr>
          <w:lang w:val="fr-FR"/>
        </w:rPr>
        <w:t> </w:t>
      </w:r>
      <w:r w:rsidRPr="00645C26">
        <w:t xml:space="preserve">149, si le flux lumineux </w:t>
      </w:r>
      <w:r>
        <w:t xml:space="preserve">objectif </w:t>
      </w:r>
      <w:r w:rsidRPr="00645C26">
        <w:t xml:space="preserve">total </w:t>
      </w:r>
      <w:r>
        <w:rPr>
          <w:b/>
          <w:bCs/>
        </w:rPr>
        <w:t xml:space="preserve">de la ou </w:t>
      </w:r>
      <w:r w:rsidRPr="00645C26">
        <w:t>des sources lumineuses</w:t>
      </w:r>
      <w:r>
        <w:t xml:space="preserve"> </w:t>
      </w:r>
      <w:r>
        <w:rPr>
          <w:b/>
          <w:bCs/>
        </w:rPr>
        <w:t>et/ou des modules d’éclairage</w:t>
      </w:r>
      <w:r w:rsidRPr="00645C26">
        <w:t xml:space="preserve"> de ces unités d</w:t>
      </w:r>
      <w:r>
        <w:t>’</w:t>
      </w:r>
      <w:r w:rsidRPr="00645C26">
        <w:t>éclairage dépasse 2</w:t>
      </w:r>
      <w:r w:rsidR="000E6C03">
        <w:t> </w:t>
      </w:r>
      <w:r w:rsidRPr="00645C26">
        <w:t>000</w:t>
      </w:r>
      <w:r w:rsidR="000E6C03">
        <w:t> </w:t>
      </w:r>
      <w:r w:rsidRPr="00645C26">
        <w:t xml:space="preserve">lm </w:t>
      </w:r>
      <w:proofErr w:type="spellStart"/>
      <w:r w:rsidRPr="006D7C92">
        <w:rPr>
          <w:strike/>
        </w:rPr>
        <w:t>par</w:t>
      </w:r>
      <w:r>
        <w:rPr>
          <w:b/>
          <w:bCs/>
        </w:rPr>
        <w:t>sur</w:t>
      </w:r>
      <w:proofErr w:type="spellEnd"/>
      <w:r>
        <w:rPr>
          <w:b/>
          <w:bCs/>
        </w:rPr>
        <w:t xml:space="preserve"> au moins un des</w:t>
      </w:r>
      <w:r w:rsidRPr="00645C26">
        <w:t xml:space="preserve"> côté</w:t>
      </w:r>
      <w:r>
        <w:rPr>
          <w:b/>
          <w:bCs/>
        </w:rPr>
        <w:t>s</w:t>
      </w:r>
      <w:r w:rsidRPr="00645C26">
        <w:t>, et si ces unités contribuent au faisceau de croisement (élémentaire) de la classe C.</w:t>
      </w:r>
      <w:r>
        <w:t> »</w:t>
      </w:r>
      <w:r w:rsidRPr="00645C26">
        <w:t>.</w:t>
      </w:r>
    </w:p>
    <w:p w14:paraId="124DB8FF" w14:textId="13AF84E3" w:rsidR="00E542D4" w:rsidRPr="005A3A91" w:rsidRDefault="00E542D4" w:rsidP="00E542D4">
      <w:pPr>
        <w:pStyle w:val="H1G"/>
        <w:rPr>
          <w:rFonts w:eastAsia="SimSun"/>
          <w:lang w:val="fr-FR"/>
        </w:rPr>
      </w:pPr>
      <w:r>
        <w:rPr>
          <w:lang w:val="fr-FR"/>
        </w:rPr>
        <w:tab/>
        <w:t>C.</w:t>
      </w:r>
      <w:r>
        <w:rPr>
          <w:lang w:val="fr-FR"/>
        </w:rPr>
        <w:tab/>
        <w:t xml:space="preserve">Proposition de complément à la série 09 d’amendements </w:t>
      </w:r>
      <w:r>
        <w:rPr>
          <w:lang w:val="fr-FR"/>
        </w:rPr>
        <w:br/>
        <w:t>au Règlement ONU n</w:t>
      </w:r>
      <w:r w:rsidRPr="00E542D4">
        <w:rPr>
          <w:vertAlign w:val="superscript"/>
          <w:lang w:val="fr-FR"/>
        </w:rPr>
        <w:t>o</w:t>
      </w:r>
      <w:r>
        <w:rPr>
          <w:lang w:val="fr-FR"/>
        </w:rPr>
        <w:t> 48</w:t>
      </w:r>
    </w:p>
    <w:p w14:paraId="4ABECACE" w14:textId="2A85789F" w:rsidR="00E542D4" w:rsidRPr="005A3A91" w:rsidRDefault="00E542D4" w:rsidP="00E542D4">
      <w:pPr>
        <w:pStyle w:val="SingleTxtG"/>
        <w:rPr>
          <w:color w:val="000000"/>
          <w:lang w:val="fr-FR"/>
        </w:rPr>
      </w:pPr>
      <w:r w:rsidRPr="00FA131D">
        <w:rPr>
          <w:i/>
          <w:iCs/>
          <w:lang w:val="fr-FR"/>
        </w:rPr>
        <w:t>Paragraphe 6.2.9.2</w:t>
      </w:r>
      <w:r>
        <w:rPr>
          <w:lang w:val="fr-FR"/>
        </w:rPr>
        <w:t>, lire :</w:t>
      </w:r>
    </w:p>
    <w:p w14:paraId="14771535" w14:textId="1CC869FC" w:rsidR="00E542D4" w:rsidRPr="00E11B9A" w:rsidRDefault="00E542D4" w:rsidP="00E542D4">
      <w:pPr>
        <w:pStyle w:val="SingleTxtG"/>
        <w:ind w:left="2268" w:hanging="1134"/>
      </w:pPr>
      <w:r>
        <w:t xml:space="preserve">« 6.2.9.2 </w:t>
      </w:r>
      <w:r>
        <w:tab/>
        <w:t xml:space="preserve">Les feux de croisement munis d’une </w:t>
      </w:r>
      <w:r>
        <w:rPr>
          <w:b/>
          <w:bCs/>
        </w:rPr>
        <w:t xml:space="preserve">ou de plusieurs </w:t>
      </w:r>
      <w:r>
        <w:t>source</w:t>
      </w:r>
      <w:r>
        <w:rPr>
          <w:b/>
          <w:bCs/>
        </w:rPr>
        <w:t>s</w:t>
      </w:r>
      <w:r>
        <w:t xml:space="preserve"> lumineuse</w:t>
      </w:r>
      <w:r>
        <w:rPr>
          <w:b/>
          <w:bCs/>
        </w:rPr>
        <w:t>s</w:t>
      </w:r>
      <w:r>
        <w:t xml:space="preserve"> </w:t>
      </w:r>
      <w:r>
        <w:rPr>
          <w:b/>
          <w:bCs/>
        </w:rPr>
        <w:t>et/</w:t>
      </w:r>
      <w:r>
        <w:t xml:space="preserve">ou d’un ou de plusieurs modules </w:t>
      </w:r>
      <w:proofErr w:type="spellStart"/>
      <w:r w:rsidRPr="0020624A">
        <w:rPr>
          <w:strike/>
        </w:rPr>
        <w:t>DEL</w:t>
      </w:r>
      <w:r>
        <w:rPr>
          <w:b/>
          <w:bCs/>
        </w:rPr>
        <w:t>d’éclairage</w:t>
      </w:r>
      <w:proofErr w:type="spellEnd"/>
      <w:r>
        <w:t xml:space="preserve"> produisant le faisceau de croisement principal ayant un flux lumineux objectif total supérieur à 2 000 lm pour </w:t>
      </w:r>
      <w:proofErr w:type="spellStart"/>
      <w:r w:rsidRPr="00E11B9A">
        <w:rPr>
          <w:strike/>
        </w:rPr>
        <w:t>chaque</w:t>
      </w:r>
      <w:r>
        <w:rPr>
          <w:b/>
          <w:bCs/>
        </w:rPr>
        <w:t>au</w:t>
      </w:r>
      <w:proofErr w:type="spellEnd"/>
      <w:r>
        <w:rPr>
          <w:b/>
          <w:bCs/>
        </w:rPr>
        <w:t xml:space="preserve"> moins un</w:t>
      </w:r>
      <w:r>
        <w:t xml:space="preserve"> feu ne </w:t>
      </w:r>
      <w:proofErr w:type="gramStart"/>
      <w:r>
        <w:t>peuvent</w:t>
      </w:r>
      <w:proofErr w:type="gramEnd"/>
      <w:r>
        <w:t xml:space="preserve"> être installés que si un ou plusieurs nettoie-projecteurs conformes au Règlement ONU </w:t>
      </w:r>
      <w:r>
        <w:rPr>
          <w:lang w:val="fr-FR"/>
        </w:rPr>
        <w:t>n</w:t>
      </w:r>
      <w:r w:rsidRPr="00E542D4">
        <w:rPr>
          <w:vertAlign w:val="superscript"/>
          <w:lang w:val="fr-FR"/>
        </w:rPr>
        <w:t>o</w:t>
      </w:r>
      <w:r>
        <w:rPr>
          <w:lang w:val="fr-FR"/>
        </w:rPr>
        <w:t> </w:t>
      </w:r>
      <w:r>
        <w:t>45</w:t>
      </w:r>
      <w:r w:rsidRPr="00121464">
        <w:rPr>
          <w:sz w:val="18"/>
          <w:szCs w:val="18"/>
          <w:vertAlign w:val="superscript"/>
        </w:rPr>
        <w:t>11</w:t>
      </w:r>
      <w:r>
        <w:t xml:space="preserve"> le sont également. ».</w:t>
      </w:r>
    </w:p>
    <w:p w14:paraId="377559F6" w14:textId="601E7C2C" w:rsidR="00E542D4" w:rsidRPr="005A3A91" w:rsidRDefault="00E542D4" w:rsidP="00E542D4">
      <w:pPr>
        <w:pStyle w:val="SingleTxtG"/>
        <w:rPr>
          <w:lang w:val="fr-FR"/>
        </w:rPr>
      </w:pPr>
      <w:r w:rsidRPr="00FA131D">
        <w:rPr>
          <w:i/>
          <w:iCs/>
          <w:lang w:val="fr-FR"/>
        </w:rPr>
        <w:t>Paragraphe 6.22.</w:t>
      </w:r>
      <w:r w:rsidRPr="00121464">
        <w:rPr>
          <w:i/>
          <w:iCs/>
          <w:lang w:val="fr-FR"/>
        </w:rPr>
        <w:t>9.1</w:t>
      </w:r>
      <w:r w:rsidRPr="00121464">
        <w:rPr>
          <w:lang w:val="fr-FR"/>
        </w:rPr>
        <w:t>,</w:t>
      </w:r>
      <w:r w:rsidR="00121464" w:rsidRPr="00121464">
        <w:rPr>
          <w:lang w:val="fr-FR"/>
        </w:rPr>
        <w:t xml:space="preserve"> </w:t>
      </w:r>
      <w:r w:rsidRPr="00121464">
        <w:rPr>
          <w:lang w:val="fr-FR"/>
        </w:rPr>
        <w:t>lire :</w:t>
      </w:r>
    </w:p>
    <w:p w14:paraId="2C0905B0" w14:textId="1B1AC4F0" w:rsidR="00121464" w:rsidRDefault="00E542D4" w:rsidP="00E542D4">
      <w:pPr>
        <w:pStyle w:val="SingleTxtG"/>
        <w:ind w:left="2268" w:hanging="1134"/>
      </w:pPr>
      <w:r>
        <w:t>« </w:t>
      </w:r>
      <w:r w:rsidRPr="00C025EC">
        <w:t>6.22.9.1</w:t>
      </w:r>
      <w:r w:rsidRPr="00C025EC">
        <w:tab/>
      </w:r>
      <w:r w:rsidRPr="00645C26">
        <w:t>Le montage d</w:t>
      </w:r>
      <w:r>
        <w:t>’</w:t>
      </w:r>
      <w:r w:rsidRPr="00645C26">
        <w:t>un système AFS n</w:t>
      </w:r>
      <w:r>
        <w:t>’</w:t>
      </w:r>
      <w:r w:rsidRPr="00645C26">
        <w:t xml:space="preserve">est autorisé que si le véhicule est aussi équipé de dispositifs de nettoyage des projecteurs conformes au Règlement ONU </w:t>
      </w:r>
      <w:r>
        <w:rPr>
          <w:lang w:val="fr-FR"/>
        </w:rPr>
        <w:t>n</w:t>
      </w:r>
      <w:r w:rsidRPr="00E542D4">
        <w:rPr>
          <w:vertAlign w:val="superscript"/>
          <w:lang w:val="fr-FR"/>
        </w:rPr>
        <w:t>o</w:t>
      </w:r>
      <w:r>
        <w:rPr>
          <w:lang w:val="fr-FR"/>
        </w:rPr>
        <w:t> </w:t>
      </w:r>
      <w:r w:rsidRPr="00645C26">
        <w:t>45</w:t>
      </w:r>
      <w:r w:rsidRPr="00645C26">
        <w:rPr>
          <w:vertAlign w:val="superscript"/>
        </w:rPr>
        <w:t>16</w:t>
      </w:r>
      <w:r w:rsidRPr="00645C26">
        <w:t>, au moins sur les unités d</w:t>
      </w:r>
      <w:r>
        <w:t>’</w:t>
      </w:r>
      <w:r w:rsidRPr="00645C26">
        <w:t>éclairage énumérées au point</w:t>
      </w:r>
      <w:r w:rsidR="000E6C03">
        <w:t> </w:t>
      </w:r>
      <w:r w:rsidRPr="00645C26">
        <w:t>9.2.2.3 de la fiche de communication conforme au modèle de l</w:t>
      </w:r>
      <w:r>
        <w:t>’</w:t>
      </w:r>
      <w:r w:rsidRPr="00645C26">
        <w:t>annexe</w:t>
      </w:r>
      <w:r w:rsidR="000E6C03">
        <w:t> </w:t>
      </w:r>
      <w:r w:rsidRPr="00645C26">
        <w:t xml:space="preserve">1 </w:t>
      </w:r>
      <w:r>
        <w:t>du</w:t>
      </w:r>
      <w:r w:rsidRPr="00645C26">
        <w:t xml:space="preserve"> Règlement</w:t>
      </w:r>
      <w:r w:rsidR="004D4940">
        <w:t> </w:t>
      </w:r>
      <w:r w:rsidRPr="00645C26">
        <w:t xml:space="preserve">ONU </w:t>
      </w:r>
      <w:r>
        <w:rPr>
          <w:lang w:val="fr-FR"/>
        </w:rPr>
        <w:t>n</w:t>
      </w:r>
      <w:r w:rsidRPr="00E542D4">
        <w:rPr>
          <w:vertAlign w:val="superscript"/>
          <w:lang w:val="fr-FR"/>
        </w:rPr>
        <w:t>o</w:t>
      </w:r>
      <w:r>
        <w:rPr>
          <w:lang w:val="fr-FR"/>
        </w:rPr>
        <w:t> </w:t>
      </w:r>
      <w:r w:rsidRPr="00645C26">
        <w:t xml:space="preserve">149, si le flux lumineux </w:t>
      </w:r>
      <w:r>
        <w:t>objectif</w:t>
      </w:r>
      <w:r w:rsidRPr="00645C26">
        <w:t xml:space="preserve"> total </w:t>
      </w:r>
      <w:r>
        <w:rPr>
          <w:b/>
          <w:bCs/>
        </w:rPr>
        <w:t xml:space="preserve">de la ou </w:t>
      </w:r>
      <w:r w:rsidRPr="00645C26">
        <w:t>des sources lumineuses</w:t>
      </w:r>
      <w:r>
        <w:t xml:space="preserve"> </w:t>
      </w:r>
      <w:r>
        <w:rPr>
          <w:b/>
          <w:bCs/>
        </w:rPr>
        <w:t>et/ou des modules d’éclairage</w:t>
      </w:r>
      <w:r w:rsidRPr="00645C26">
        <w:t xml:space="preserve"> de ces unités d</w:t>
      </w:r>
      <w:r>
        <w:t>’</w:t>
      </w:r>
      <w:r w:rsidRPr="00645C26">
        <w:t>éclairage dépasse 2</w:t>
      </w:r>
      <w:r w:rsidR="004D4940">
        <w:t> </w:t>
      </w:r>
      <w:r w:rsidRPr="00645C26">
        <w:t>000</w:t>
      </w:r>
      <w:r w:rsidR="004D4940">
        <w:t> </w:t>
      </w:r>
      <w:r w:rsidRPr="00645C26">
        <w:t xml:space="preserve">lm </w:t>
      </w:r>
      <w:proofErr w:type="spellStart"/>
      <w:r w:rsidRPr="006D7C92">
        <w:rPr>
          <w:strike/>
        </w:rPr>
        <w:t>par</w:t>
      </w:r>
      <w:r>
        <w:rPr>
          <w:b/>
          <w:bCs/>
        </w:rPr>
        <w:t>sur</w:t>
      </w:r>
      <w:proofErr w:type="spellEnd"/>
      <w:r>
        <w:rPr>
          <w:b/>
          <w:bCs/>
        </w:rPr>
        <w:t xml:space="preserve"> au moins un des</w:t>
      </w:r>
      <w:r w:rsidRPr="00645C26">
        <w:t xml:space="preserve"> côté</w:t>
      </w:r>
      <w:r>
        <w:rPr>
          <w:b/>
          <w:bCs/>
        </w:rPr>
        <w:t>s</w:t>
      </w:r>
      <w:r w:rsidRPr="00645C26">
        <w:t>, et si ces unités contribuent au faisceau de croisement (élémentaire) de la classe C.</w:t>
      </w:r>
      <w:r>
        <w:t> »</w:t>
      </w:r>
      <w:r w:rsidRPr="00645C26">
        <w:t>.</w:t>
      </w:r>
    </w:p>
    <w:p w14:paraId="6D01DF69" w14:textId="77777777" w:rsidR="00121464" w:rsidRDefault="00121464">
      <w:pPr>
        <w:suppressAutoHyphens w:val="0"/>
        <w:kinsoku/>
        <w:overflowPunct/>
        <w:autoSpaceDE/>
        <w:autoSpaceDN/>
        <w:adjustRightInd/>
        <w:snapToGrid/>
        <w:spacing w:after="200" w:line="276" w:lineRule="auto"/>
      </w:pPr>
      <w:r>
        <w:br w:type="page"/>
      </w:r>
    </w:p>
    <w:p w14:paraId="712C0A2D" w14:textId="4C220CCE" w:rsidR="00E542D4" w:rsidRPr="005A3A91" w:rsidRDefault="00E542D4" w:rsidP="00121464">
      <w:pPr>
        <w:pStyle w:val="HChG"/>
      </w:pPr>
      <w:r>
        <w:lastRenderedPageBreak/>
        <w:tab/>
        <w:t>II.</w:t>
      </w:r>
      <w:r>
        <w:tab/>
        <w:t>Justification</w:t>
      </w:r>
    </w:p>
    <w:p w14:paraId="418F4700" w14:textId="624C5CF9" w:rsidR="00E542D4" w:rsidRPr="005A3A91" w:rsidRDefault="00E542D4" w:rsidP="00E542D4">
      <w:pPr>
        <w:pStyle w:val="SingleTxtG"/>
        <w:rPr>
          <w:lang w:val="fr-FR"/>
        </w:rPr>
      </w:pPr>
      <w:r>
        <w:rPr>
          <w:lang w:val="fr-FR"/>
        </w:rPr>
        <w:t>1.</w:t>
      </w:r>
      <w:r>
        <w:rPr>
          <w:lang w:val="fr-FR"/>
        </w:rPr>
        <w:tab/>
        <w:t>Les dispositions les plus récentes de la série 01 d’amendements au Règlement ONU n</w:t>
      </w:r>
      <w:r w:rsidRPr="00E542D4">
        <w:rPr>
          <w:vertAlign w:val="superscript"/>
          <w:lang w:val="fr-FR"/>
        </w:rPr>
        <w:t>o</w:t>
      </w:r>
      <w:r>
        <w:rPr>
          <w:lang w:val="fr-FR"/>
        </w:rPr>
        <w:t> 149 exigent d’indiquer dans la fiche de communication si le flux lumineux objectif total d’une ou de plusieurs sources lumineuses ou d’un ou de plusieurs modules d’éclairage pour un faisceau de croisement dépasse ou non 2 000 lumens. Toutefois, le Règlement</w:t>
      </w:r>
      <w:r w:rsidR="004D4940">
        <w:rPr>
          <w:lang w:val="fr-FR"/>
        </w:rPr>
        <w:t> </w:t>
      </w:r>
      <w:r>
        <w:rPr>
          <w:lang w:val="fr-FR"/>
        </w:rPr>
        <w:t>ONU</w:t>
      </w:r>
      <w:r w:rsidR="004D4940">
        <w:rPr>
          <w:lang w:val="fr-FR"/>
        </w:rPr>
        <w:t> </w:t>
      </w:r>
      <w:r>
        <w:rPr>
          <w:lang w:val="fr-FR"/>
        </w:rPr>
        <w:t>n</w:t>
      </w:r>
      <w:r w:rsidRPr="00E542D4">
        <w:rPr>
          <w:vertAlign w:val="superscript"/>
          <w:lang w:val="fr-FR"/>
        </w:rPr>
        <w:t>o</w:t>
      </w:r>
      <w:r>
        <w:rPr>
          <w:lang w:val="fr-FR"/>
        </w:rPr>
        <w:t> 48 ne fait actuellement référence qu’à une source lumineuse ou un ou plusieurs modules à diodes électroluminescentes (DEL) pour un faisceau de croisement (par. 6.2.9) et aux sources lumineuses des unités d’éclairage pour un système d’éclairage avant adaptatif (AFS) (par. 6.22.9).</w:t>
      </w:r>
    </w:p>
    <w:p w14:paraId="30A39F25" w14:textId="0D32BAFF" w:rsidR="00E542D4" w:rsidRPr="00CC33C8" w:rsidRDefault="00E542D4" w:rsidP="00E542D4">
      <w:pPr>
        <w:pStyle w:val="SingleTxtG"/>
        <w:rPr>
          <w:lang w:val="fr-FR"/>
        </w:rPr>
      </w:pPr>
      <w:r>
        <w:rPr>
          <w:lang w:val="fr-FR"/>
        </w:rPr>
        <w:t>2.</w:t>
      </w:r>
      <w:r>
        <w:rPr>
          <w:lang w:val="fr-FR"/>
        </w:rPr>
        <w:tab/>
        <w:t>Les modifications proposées visent à harmoniser les prescriptions du Règlement ONU n</w:t>
      </w:r>
      <w:r w:rsidRPr="00E542D4">
        <w:rPr>
          <w:vertAlign w:val="superscript"/>
          <w:lang w:val="fr-FR"/>
        </w:rPr>
        <w:t>o</w:t>
      </w:r>
      <w:r>
        <w:rPr>
          <w:lang w:val="fr-FR"/>
        </w:rPr>
        <w:t> 48 avec les prescriptions de la série</w:t>
      </w:r>
      <w:r w:rsidR="004D4940">
        <w:rPr>
          <w:lang w:val="fr-FR"/>
        </w:rPr>
        <w:t> </w:t>
      </w:r>
      <w:r>
        <w:rPr>
          <w:lang w:val="fr-FR"/>
        </w:rPr>
        <w:t>01 d’amendements au Règlement ONU</w:t>
      </w:r>
      <w:r w:rsidR="004D4940">
        <w:rPr>
          <w:lang w:val="fr-FR"/>
        </w:rPr>
        <w:t> </w:t>
      </w:r>
      <w:r>
        <w:rPr>
          <w:lang w:val="fr-FR"/>
        </w:rPr>
        <w:t>n</w:t>
      </w:r>
      <w:r w:rsidRPr="00E542D4">
        <w:rPr>
          <w:vertAlign w:val="superscript"/>
          <w:lang w:val="fr-FR"/>
        </w:rPr>
        <w:t>o</w:t>
      </w:r>
      <w:r>
        <w:rPr>
          <w:lang w:val="fr-FR"/>
        </w:rPr>
        <w:t xml:space="preserve"> 149 afin </w:t>
      </w:r>
      <w:r w:rsidRPr="00CC33C8">
        <w:rPr>
          <w:lang w:val="fr-FR"/>
        </w:rPr>
        <w:t>d’éviter des incohérences.</w:t>
      </w:r>
    </w:p>
    <w:p w14:paraId="101D279C" w14:textId="5E96E9FB" w:rsidR="00E542D4" w:rsidRPr="005A3A91" w:rsidRDefault="00E542D4" w:rsidP="00E542D4">
      <w:pPr>
        <w:pStyle w:val="SingleTxtG"/>
        <w:rPr>
          <w:lang w:val="fr-FR"/>
        </w:rPr>
      </w:pPr>
      <w:r w:rsidRPr="00CC33C8">
        <w:rPr>
          <w:lang w:val="fr-FR"/>
        </w:rPr>
        <w:t>3.</w:t>
      </w:r>
      <w:r w:rsidRPr="00CC33C8">
        <w:rPr>
          <w:lang w:val="fr-FR"/>
        </w:rPr>
        <w:tab/>
        <w:t>Le terme « module DEL » a été remplacé par « module d’éclairage » pour des raisons de neutralité technologique. Cette modification se justifie compte tenu de la définition du module DEL (on entend par « module à DEL » un</w:t>
      </w:r>
      <w:r>
        <w:rPr>
          <w:lang w:val="fr-FR"/>
        </w:rPr>
        <w:t xml:space="preserve"> module d’éclairage dont les sources lumineuses sont uniquement des DEL − paragraphe 2.9.1.7).</w:t>
      </w:r>
    </w:p>
    <w:p w14:paraId="498544FE" w14:textId="01B3995B" w:rsidR="00E542D4" w:rsidRPr="005A3A91" w:rsidRDefault="00E542D4" w:rsidP="00E542D4">
      <w:pPr>
        <w:pStyle w:val="SingleTxtG"/>
        <w:rPr>
          <w:lang w:val="fr-FR"/>
        </w:rPr>
      </w:pPr>
      <w:r>
        <w:rPr>
          <w:lang w:val="fr-FR"/>
        </w:rPr>
        <w:t>4.</w:t>
      </w:r>
      <w:r>
        <w:rPr>
          <w:lang w:val="fr-FR"/>
        </w:rPr>
        <w:tab/>
        <w:t>Les mots « au moins » doivent être ajoutés aux paragraphes 6.2.9.2 et 6.22.9.1 pour adapter l’application de ces dispositions à l’introduction des prescriptions relatives aux « paires assorties » pour les projecteurs et les AFS.</w:t>
      </w:r>
    </w:p>
    <w:p w14:paraId="18B49C64" w14:textId="77777777" w:rsidR="00E542D4" w:rsidRPr="005A3A91" w:rsidRDefault="00E542D4" w:rsidP="00E542D4">
      <w:pPr>
        <w:pStyle w:val="SingleTxtG"/>
        <w:rPr>
          <w:lang w:val="fr-FR"/>
        </w:rPr>
      </w:pPr>
      <w:r>
        <w:rPr>
          <w:lang w:val="fr-FR"/>
        </w:rPr>
        <w:t>5.</w:t>
      </w:r>
      <w:r>
        <w:rPr>
          <w:lang w:val="fr-FR"/>
        </w:rPr>
        <w:tab/>
        <w:t>La présente proposition permettra d’harmoniser le texte du paragraphe 6.2.9.2 de la série 06 d’amendements et des séries 07, 08 et 09 suivantes sur le plan rédactionnel.</w:t>
      </w:r>
    </w:p>
    <w:p w14:paraId="4BF8C84B" w14:textId="5187B889" w:rsidR="00E542D4" w:rsidRPr="00E542D4" w:rsidRDefault="00E542D4" w:rsidP="00E542D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542D4" w:rsidRPr="00E542D4" w:rsidSect="00E542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630E" w14:textId="77777777" w:rsidR="00597965" w:rsidRDefault="00597965" w:rsidP="00F95C08">
      <w:pPr>
        <w:spacing w:line="240" w:lineRule="auto"/>
      </w:pPr>
    </w:p>
  </w:endnote>
  <w:endnote w:type="continuationSeparator" w:id="0">
    <w:p w14:paraId="305BBC78" w14:textId="77777777" w:rsidR="00597965" w:rsidRPr="00AC3823" w:rsidRDefault="00597965" w:rsidP="00AC3823">
      <w:pPr>
        <w:pStyle w:val="Pieddepage"/>
      </w:pPr>
    </w:p>
  </w:endnote>
  <w:endnote w:type="continuationNotice" w:id="1">
    <w:p w14:paraId="7C37CE38" w14:textId="77777777" w:rsidR="00597965" w:rsidRDefault="005979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E46B" w14:textId="06B7A340" w:rsidR="00E542D4" w:rsidRPr="00E542D4" w:rsidRDefault="00E542D4" w:rsidP="00E542D4">
    <w:pPr>
      <w:pStyle w:val="Pieddepage"/>
      <w:tabs>
        <w:tab w:val="right" w:pos="9638"/>
      </w:tabs>
    </w:pPr>
    <w:r w:rsidRPr="00E542D4">
      <w:rPr>
        <w:b/>
        <w:sz w:val="18"/>
      </w:rPr>
      <w:fldChar w:fldCharType="begin"/>
    </w:r>
    <w:r w:rsidRPr="00E542D4">
      <w:rPr>
        <w:b/>
        <w:sz w:val="18"/>
      </w:rPr>
      <w:instrText xml:space="preserve"> PAGE  \* MERGEFORMAT </w:instrText>
    </w:r>
    <w:r w:rsidRPr="00E542D4">
      <w:rPr>
        <w:b/>
        <w:sz w:val="18"/>
      </w:rPr>
      <w:fldChar w:fldCharType="separate"/>
    </w:r>
    <w:r w:rsidRPr="00E542D4">
      <w:rPr>
        <w:b/>
        <w:noProof/>
        <w:sz w:val="18"/>
      </w:rPr>
      <w:t>2</w:t>
    </w:r>
    <w:r w:rsidRPr="00E542D4">
      <w:rPr>
        <w:b/>
        <w:sz w:val="18"/>
      </w:rPr>
      <w:fldChar w:fldCharType="end"/>
    </w:r>
    <w:r>
      <w:rPr>
        <w:b/>
        <w:sz w:val="18"/>
      </w:rPr>
      <w:tab/>
    </w:r>
    <w:r>
      <w:t>GE.24-02064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5B8" w14:textId="718B6A61" w:rsidR="00E542D4" w:rsidRPr="00E542D4" w:rsidRDefault="00E542D4" w:rsidP="00E542D4">
    <w:pPr>
      <w:pStyle w:val="Pieddepage"/>
      <w:tabs>
        <w:tab w:val="right" w:pos="9638"/>
      </w:tabs>
      <w:rPr>
        <w:b/>
        <w:sz w:val="18"/>
      </w:rPr>
    </w:pPr>
    <w:r>
      <w:t>GE.24-02064</w:t>
    </w:r>
    <w:r>
      <w:tab/>
    </w:r>
    <w:r w:rsidRPr="00E542D4">
      <w:rPr>
        <w:b/>
        <w:sz w:val="18"/>
      </w:rPr>
      <w:fldChar w:fldCharType="begin"/>
    </w:r>
    <w:r w:rsidRPr="00E542D4">
      <w:rPr>
        <w:b/>
        <w:sz w:val="18"/>
      </w:rPr>
      <w:instrText xml:space="preserve"> PAGE  \* MERGEFORMAT </w:instrText>
    </w:r>
    <w:r w:rsidRPr="00E542D4">
      <w:rPr>
        <w:b/>
        <w:sz w:val="18"/>
      </w:rPr>
      <w:fldChar w:fldCharType="separate"/>
    </w:r>
    <w:r w:rsidRPr="00E542D4">
      <w:rPr>
        <w:b/>
        <w:noProof/>
        <w:sz w:val="18"/>
      </w:rPr>
      <w:t>3</w:t>
    </w:r>
    <w:r w:rsidRPr="00E542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D05" w14:textId="6894902C" w:rsidR="007F20FA" w:rsidRPr="00E542D4" w:rsidRDefault="00E542D4" w:rsidP="00E542D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702961" wp14:editId="56A95B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24-02064  (F)</w:t>
    </w:r>
    <w:r>
      <w:rPr>
        <w:noProof/>
        <w:sz w:val="20"/>
      </w:rPr>
      <w:drawing>
        <wp:anchor distT="0" distB="0" distL="114300" distR="114300" simplePos="0" relativeHeight="251660288" behindDoc="0" locked="0" layoutInCell="1" allowOverlap="1" wp14:anchorId="57BB5C8D" wp14:editId="6D0EB0D5">
          <wp:simplePos x="0" y="0"/>
          <wp:positionH relativeFrom="margin">
            <wp:posOffset>5489575</wp:posOffset>
          </wp:positionH>
          <wp:positionV relativeFrom="margin">
            <wp:posOffset>8891905</wp:posOffset>
          </wp:positionV>
          <wp:extent cx="628650" cy="628650"/>
          <wp:effectExtent l="0" t="0" r="0" b="0"/>
          <wp:wrapNone/>
          <wp:docPr id="14112323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050324    050324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CAFA" w14:textId="77777777" w:rsidR="00597965" w:rsidRPr="00AC3823" w:rsidRDefault="00597965" w:rsidP="00AC3823">
      <w:pPr>
        <w:pStyle w:val="Pieddepage"/>
        <w:tabs>
          <w:tab w:val="right" w:pos="2155"/>
        </w:tabs>
        <w:spacing w:after="80" w:line="240" w:lineRule="atLeast"/>
        <w:ind w:left="680"/>
        <w:rPr>
          <w:u w:val="single"/>
        </w:rPr>
      </w:pPr>
      <w:r>
        <w:rPr>
          <w:u w:val="single"/>
        </w:rPr>
        <w:tab/>
      </w:r>
    </w:p>
  </w:footnote>
  <w:footnote w:type="continuationSeparator" w:id="0">
    <w:p w14:paraId="72099A4C" w14:textId="77777777" w:rsidR="00597965" w:rsidRPr="00AC3823" w:rsidRDefault="00597965" w:rsidP="00AC3823">
      <w:pPr>
        <w:pStyle w:val="Pieddepage"/>
        <w:tabs>
          <w:tab w:val="right" w:pos="2155"/>
        </w:tabs>
        <w:spacing w:after="80" w:line="240" w:lineRule="atLeast"/>
        <w:ind w:left="680"/>
        <w:rPr>
          <w:u w:val="single"/>
        </w:rPr>
      </w:pPr>
      <w:r>
        <w:rPr>
          <w:u w:val="single"/>
        </w:rPr>
        <w:tab/>
      </w:r>
    </w:p>
  </w:footnote>
  <w:footnote w:type="continuationNotice" w:id="1">
    <w:p w14:paraId="18E193B5" w14:textId="77777777" w:rsidR="00597965" w:rsidRPr="00AC3823" w:rsidRDefault="00597965">
      <w:pPr>
        <w:spacing w:line="240" w:lineRule="auto"/>
        <w:rPr>
          <w:sz w:val="2"/>
          <w:szCs w:val="2"/>
        </w:rPr>
      </w:pPr>
    </w:p>
  </w:footnote>
  <w:footnote w:id="2">
    <w:p w14:paraId="2B0626D9" w14:textId="2EDEB2CB" w:rsidR="00E542D4" w:rsidRPr="005A3A91" w:rsidRDefault="00E542D4" w:rsidP="00E542D4">
      <w:pPr>
        <w:pStyle w:val="Notedebasdepage"/>
        <w:rPr>
          <w:lang w:val="fr-FR"/>
        </w:rPr>
      </w:pPr>
      <w:r>
        <w:rPr>
          <w:lang w:val="fr-FR"/>
        </w:rPr>
        <w:tab/>
      </w:r>
      <w:r w:rsidRPr="00E542D4">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57C" w14:textId="17D41749" w:rsidR="00E542D4" w:rsidRPr="00E542D4" w:rsidRDefault="00B566C3">
    <w:pPr>
      <w:pStyle w:val="En-tte"/>
    </w:pPr>
    <w:r>
      <w:fldChar w:fldCharType="begin"/>
    </w:r>
    <w:r>
      <w:instrText xml:space="preserve"> TITLE  \* MERGEFORMAT </w:instrText>
    </w:r>
    <w:r>
      <w:fldChar w:fldCharType="separate"/>
    </w:r>
    <w:r>
      <w:t>ECE/TRANS/WP.29/GRE/2024/3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2FC7" w14:textId="6C5EE18F" w:rsidR="00E542D4" w:rsidRPr="00E542D4" w:rsidRDefault="00B566C3" w:rsidP="00E542D4">
    <w:pPr>
      <w:pStyle w:val="En-tte"/>
      <w:jc w:val="right"/>
    </w:pPr>
    <w:r>
      <w:fldChar w:fldCharType="begin"/>
    </w:r>
    <w:r>
      <w:instrText xml:space="preserve"> TITLE  \* MERGEFORMAT </w:instrText>
    </w:r>
    <w:r>
      <w:fldChar w:fldCharType="separate"/>
    </w:r>
    <w:r>
      <w:t>ECE/TRANS/WP.29/GRE/2024/3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8955654">
    <w:abstractNumId w:val="12"/>
  </w:num>
  <w:num w:numId="2" w16cid:durableId="560020966">
    <w:abstractNumId w:val="11"/>
  </w:num>
  <w:num w:numId="3" w16cid:durableId="1317341766">
    <w:abstractNumId w:val="10"/>
  </w:num>
  <w:num w:numId="4" w16cid:durableId="1489126537">
    <w:abstractNumId w:val="8"/>
  </w:num>
  <w:num w:numId="5" w16cid:durableId="1640650260">
    <w:abstractNumId w:val="3"/>
  </w:num>
  <w:num w:numId="6" w16cid:durableId="2050251991">
    <w:abstractNumId w:val="2"/>
  </w:num>
  <w:num w:numId="7" w16cid:durableId="1664430109">
    <w:abstractNumId w:val="1"/>
  </w:num>
  <w:num w:numId="8" w16cid:durableId="249194718">
    <w:abstractNumId w:val="0"/>
  </w:num>
  <w:num w:numId="9" w16cid:durableId="1081636570">
    <w:abstractNumId w:val="9"/>
  </w:num>
  <w:num w:numId="10" w16cid:durableId="112332229">
    <w:abstractNumId w:val="7"/>
  </w:num>
  <w:num w:numId="11" w16cid:durableId="379598323">
    <w:abstractNumId w:val="6"/>
  </w:num>
  <w:num w:numId="12" w16cid:durableId="962734645">
    <w:abstractNumId w:val="5"/>
  </w:num>
  <w:num w:numId="13" w16cid:durableId="71003066">
    <w:abstractNumId w:val="4"/>
  </w:num>
  <w:num w:numId="14" w16cid:durableId="1681542556">
    <w:abstractNumId w:val="12"/>
  </w:num>
  <w:num w:numId="15" w16cid:durableId="585767430">
    <w:abstractNumId w:val="11"/>
  </w:num>
  <w:num w:numId="16" w16cid:durableId="35933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5"/>
    <w:rsid w:val="00017F94"/>
    <w:rsid w:val="00023842"/>
    <w:rsid w:val="000318E1"/>
    <w:rsid w:val="000334F9"/>
    <w:rsid w:val="00045FEB"/>
    <w:rsid w:val="0007796D"/>
    <w:rsid w:val="000A4B37"/>
    <w:rsid w:val="000B7790"/>
    <w:rsid w:val="000C0CDA"/>
    <w:rsid w:val="000E6C03"/>
    <w:rsid w:val="00111F2F"/>
    <w:rsid w:val="00121464"/>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4940"/>
    <w:rsid w:val="004E2EED"/>
    <w:rsid w:val="004E468C"/>
    <w:rsid w:val="005505B7"/>
    <w:rsid w:val="00573BE5"/>
    <w:rsid w:val="00586ED3"/>
    <w:rsid w:val="00596AA9"/>
    <w:rsid w:val="00597965"/>
    <w:rsid w:val="00702474"/>
    <w:rsid w:val="0071601D"/>
    <w:rsid w:val="007A62E6"/>
    <w:rsid w:val="007F20FA"/>
    <w:rsid w:val="0080684C"/>
    <w:rsid w:val="00871C75"/>
    <w:rsid w:val="008776DC"/>
    <w:rsid w:val="008D5EF9"/>
    <w:rsid w:val="009446C0"/>
    <w:rsid w:val="009670B3"/>
    <w:rsid w:val="009705C8"/>
    <w:rsid w:val="009C1CF4"/>
    <w:rsid w:val="009C2256"/>
    <w:rsid w:val="009F6B74"/>
    <w:rsid w:val="00A3029F"/>
    <w:rsid w:val="00A30353"/>
    <w:rsid w:val="00A5406F"/>
    <w:rsid w:val="00AC3823"/>
    <w:rsid w:val="00AE323C"/>
    <w:rsid w:val="00AF0CB5"/>
    <w:rsid w:val="00B00181"/>
    <w:rsid w:val="00B00B0D"/>
    <w:rsid w:val="00B45F2E"/>
    <w:rsid w:val="00B566C3"/>
    <w:rsid w:val="00B765F7"/>
    <w:rsid w:val="00B77993"/>
    <w:rsid w:val="00BA0CA9"/>
    <w:rsid w:val="00C02897"/>
    <w:rsid w:val="00C97039"/>
    <w:rsid w:val="00CC33C8"/>
    <w:rsid w:val="00D3439C"/>
    <w:rsid w:val="00D7622E"/>
    <w:rsid w:val="00DB1831"/>
    <w:rsid w:val="00DD3BFD"/>
    <w:rsid w:val="00DF6678"/>
    <w:rsid w:val="00E0299A"/>
    <w:rsid w:val="00E542D4"/>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9CC97"/>
  <w15:docId w15:val="{27688CA6-4D47-40F0-8813-7A71E36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E542D4"/>
    <w:rPr>
      <w:rFonts w:ascii="Times New Roman" w:eastAsiaTheme="minorHAnsi" w:hAnsi="Times New Roman" w:cs="Times New Roman"/>
      <w:b/>
      <w:sz w:val="28"/>
      <w:szCs w:val="20"/>
      <w:lang w:eastAsia="en-US"/>
    </w:rPr>
  </w:style>
  <w:style w:type="character" w:customStyle="1" w:styleId="H1GChar">
    <w:name w:val="_ H_1_G Char"/>
    <w:link w:val="H1G"/>
    <w:rsid w:val="00E542D4"/>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E542D4"/>
    <w:pPr>
      <w:suppressAutoHyphens w:val="0"/>
      <w:spacing w:after="120"/>
      <w:ind w:left="2268" w:right="1134" w:hanging="1134"/>
      <w:jc w:val="both"/>
    </w:pPr>
    <w:rPr>
      <w:snapToGrid w:val="0"/>
      <w:lang w:val="fr-FR"/>
    </w:rPr>
  </w:style>
  <w:style w:type="character" w:customStyle="1" w:styleId="SingleTxtGChar">
    <w:name w:val="_ Single Txt_G Char"/>
    <w:link w:val="SingleTxtG"/>
    <w:qFormat/>
    <w:rsid w:val="00E542D4"/>
    <w:rPr>
      <w:rFonts w:ascii="Times New Roman" w:eastAsiaTheme="minorHAnsi" w:hAnsi="Times New Roman" w:cs="Times New Roman"/>
      <w:sz w:val="20"/>
      <w:szCs w:val="20"/>
      <w:lang w:eastAsia="en-US"/>
    </w:rPr>
  </w:style>
  <w:style w:type="character" w:customStyle="1" w:styleId="paraChar">
    <w:name w:val="para Char"/>
    <w:link w:val="para"/>
    <w:rsid w:val="00E542D4"/>
    <w:rPr>
      <w:rFonts w:ascii="Times New Roman" w:eastAsiaTheme="minorHAnsi"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245A6-8E9E-4C29-9FFA-F60E6DC3C2D3}"/>
</file>

<file path=customXml/itemProps2.xml><?xml version="1.0" encoding="utf-8"?>
<ds:datastoreItem xmlns:ds="http://schemas.openxmlformats.org/officeDocument/2006/customXml" ds:itemID="{3BE267EA-57BD-4D68-A37F-09C64F228194}"/>
</file>

<file path=docProps/app.xml><?xml version="1.0" encoding="utf-8"?>
<Properties xmlns="http://schemas.openxmlformats.org/officeDocument/2006/extended-properties" xmlns:vt="http://schemas.openxmlformats.org/officeDocument/2006/docPropsVTypes">
  <Template>ECE_TRANS.dotm</Template>
  <TotalTime>2</TotalTime>
  <Pages>4</Pages>
  <Words>1346</Words>
  <Characters>7405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ECE/TRANS/WP.29/GRE/2024/3</vt:lpstr>
    </vt:vector>
  </TitlesOfParts>
  <Company>DCM</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ECE/TRANS/WP.29/GRE/2024/3</dc:title>
  <dc:subject/>
  <dc:creator>Estelle-Delphine DITTA</dc:creator>
  <cp:keywords/>
  <cp:lastModifiedBy>Estelle-Delphine DITTA</cp:lastModifiedBy>
  <cp:revision>3</cp:revision>
  <cp:lastPrinted>2024-03-05T10:03:00Z</cp:lastPrinted>
  <dcterms:created xsi:type="dcterms:W3CDTF">2024-03-05T10:03:00Z</dcterms:created>
  <dcterms:modified xsi:type="dcterms:W3CDTF">2024-03-05T10:05:00Z</dcterms:modified>
</cp:coreProperties>
</file>