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3E770E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5F871B" w14:textId="77777777" w:rsidR="00F35BAF" w:rsidRPr="00DB58B5" w:rsidRDefault="00F35BAF" w:rsidP="005154E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CF186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E93D75" w14:textId="42A7FF69" w:rsidR="00F35BAF" w:rsidRPr="00DB58B5" w:rsidRDefault="005154E6" w:rsidP="005154E6">
            <w:pPr>
              <w:jc w:val="right"/>
            </w:pPr>
            <w:r w:rsidRPr="005154E6">
              <w:rPr>
                <w:sz w:val="40"/>
              </w:rPr>
              <w:t>ECE</w:t>
            </w:r>
            <w:r>
              <w:t>/TRANS/WP.15/AC.1/2024/26</w:t>
            </w:r>
          </w:p>
        </w:tc>
      </w:tr>
      <w:tr w:rsidR="00F35BAF" w:rsidRPr="00DB58B5" w14:paraId="0AEAEA2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E2CE4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21984F" wp14:editId="13DCE2C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10E9A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D8A518" w14:textId="77777777" w:rsidR="00F35BAF" w:rsidRDefault="005154E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272B636" w14:textId="77777777" w:rsidR="005154E6" w:rsidRDefault="005154E6" w:rsidP="005154E6">
            <w:pPr>
              <w:spacing w:line="240" w:lineRule="exact"/>
            </w:pPr>
            <w:r>
              <w:t>4 janvier 2024</w:t>
            </w:r>
          </w:p>
          <w:p w14:paraId="64F1D302" w14:textId="77777777" w:rsidR="005154E6" w:rsidRDefault="005154E6" w:rsidP="005154E6">
            <w:pPr>
              <w:spacing w:line="240" w:lineRule="exact"/>
            </w:pPr>
            <w:r>
              <w:t>Français</w:t>
            </w:r>
          </w:p>
          <w:p w14:paraId="6BDFFC9C" w14:textId="1EE48F4B" w:rsidR="005154E6" w:rsidRPr="00DB58B5" w:rsidRDefault="005154E6" w:rsidP="005154E6">
            <w:pPr>
              <w:spacing w:line="240" w:lineRule="exact"/>
            </w:pPr>
            <w:r>
              <w:t>Original : anglais</w:t>
            </w:r>
          </w:p>
        </w:tc>
      </w:tr>
    </w:tbl>
    <w:p w14:paraId="7126A3C6" w14:textId="5ABC156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154E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265E48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DBB437B" w14:textId="77777777" w:rsidR="005154E6" w:rsidRPr="009739DF" w:rsidRDefault="005154E6" w:rsidP="005154E6">
      <w:pPr>
        <w:spacing w:before="120"/>
        <w:rPr>
          <w:b/>
          <w:sz w:val="24"/>
          <w:szCs w:val="24"/>
          <w:lang w:val="fr-FR"/>
        </w:rPr>
      </w:pPr>
      <w:r w:rsidRPr="009739DF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418B03C" w14:textId="43508515" w:rsidR="005154E6" w:rsidRPr="009739DF" w:rsidRDefault="005154E6" w:rsidP="005154E6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experts du RID et du Groupe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 travail des transports de marchandises dangereuses</w:t>
      </w:r>
    </w:p>
    <w:p w14:paraId="122DACAA" w14:textId="77777777" w:rsidR="005154E6" w:rsidRPr="009739DF" w:rsidRDefault="005154E6" w:rsidP="005154E6">
      <w:pPr>
        <w:rPr>
          <w:lang w:val="fr-FR"/>
        </w:rPr>
      </w:pPr>
      <w:r>
        <w:rPr>
          <w:lang w:val="fr-FR"/>
        </w:rPr>
        <w:t>Berne, 25-28 mars 2024</w:t>
      </w:r>
    </w:p>
    <w:p w14:paraId="7D45B871" w14:textId="58C44B29" w:rsidR="005154E6" w:rsidRPr="009739DF" w:rsidRDefault="005154E6" w:rsidP="005154E6">
      <w:pPr>
        <w:rPr>
          <w:lang w:val="fr-FR"/>
        </w:rPr>
      </w:pPr>
      <w:r>
        <w:rPr>
          <w:lang w:val="fr-FR"/>
        </w:rPr>
        <w:t>Point 2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76C1BA36" w14:textId="77777777" w:rsidR="005154E6" w:rsidRPr="009739DF" w:rsidRDefault="005154E6" w:rsidP="005154E6">
      <w:pPr>
        <w:rPr>
          <w:lang w:val="fr-FR"/>
        </w:rPr>
      </w:pPr>
      <w:r>
        <w:rPr>
          <w:b/>
          <w:bCs/>
          <w:lang w:val="fr-FR"/>
        </w:rPr>
        <w:t>Citernes</w:t>
      </w:r>
    </w:p>
    <w:p w14:paraId="0111B0DE" w14:textId="54F68155" w:rsidR="005154E6" w:rsidRPr="009739DF" w:rsidRDefault="005154E6" w:rsidP="005154E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154E6">
        <w:t>Clarification</w:t>
      </w:r>
      <w:r>
        <w:rPr>
          <w:lang w:val="fr-FR"/>
        </w:rPr>
        <w:t xml:space="preserve"> du rôle de l</w:t>
      </w:r>
      <w:r>
        <w:rPr>
          <w:lang w:val="fr-FR"/>
        </w:rPr>
        <w:t>’</w:t>
      </w:r>
      <w:r>
        <w:rPr>
          <w:lang w:val="fr-FR"/>
        </w:rPr>
        <w:t xml:space="preserve">expéditeur dans le cas </w:t>
      </w:r>
      <w:r>
        <w:rPr>
          <w:lang w:val="fr-FR"/>
        </w:rPr>
        <w:br/>
      </w:r>
      <w:r>
        <w:rPr>
          <w:lang w:val="fr-FR"/>
        </w:rPr>
        <w:t>des wagons</w:t>
      </w:r>
      <w:r>
        <w:rPr>
          <w:lang w:val="fr-FR"/>
        </w:rPr>
        <w:noBreakHyphen/>
      </w:r>
      <w:r>
        <w:rPr>
          <w:lang w:val="fr-FR"/>
        </w:rPr>
        <w:t xml:space="preserve">citernes, conteneurs-citernes et citernes </w:t>
      </w:r>
      <w:r>
        <w:rPr>
          <w:lang w:val="fr-FR"/>
        </w:rPr>
        <w:br/>
      </w:r>
      <w:r>
        <w:rPr>
          <w:lang w:val="fr-FR"/>
        </w:rPr>
        <w:t xml:space="preserve">mobiles (chargés et vides non nettoyés) destinés </w:t>
      </w:r>
      <w:r>
        <w:rPr>
          <w:lang w:val="fr-FR"/>
        </w:rPr>
        <w:br/>
      </w:r>
      <w:r>
        <w:rPr>
          <w:lang w:val="fr-FR"/>
        </w:rPr>
        <w:t>au transport de gaz liquéfiés réfrigérés</w:t>
      </w:r>
    </w:p>
    <w:p w14:paraId="1EBAE2E2" w14:textId="34A5074E" w:rsidR="005154E6" w:rsidRPr="009739DF" w:rsidRDefault="005154E6" w:rsidP="005154E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 xml:space="preserve">Union </w:t>
      </w:r>
      <w:r w:rsidRPr="005154E6">
        <w:t>internationale</w:t>
      </w:r>
      <w:r>
        <w:rPr>
          <w:lang w:val="fr-FR"/>
        </w:rPr>
        <w:t xml:space="preserve"> des chemins de fer (UIC)</w:t>
      </w:r>
      <w:r w:rsidRPr="005154E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5154E6">
        <w:rPr>
          <w:rStyle w:val="Appelnotedebasdep"/>
          <w:b w:val="0"/>
          <w:bCs/>
          <w:position w:val="6"/>
          <w:sz w:val="20"/>
          <w:vertAlign w:val="baseline"/>
          <w:lang w:val="fr-FR"/>
        </w:rPr>
        <w:t>,</w:t>
      </w:r>
      <w:r w:rsidRPr="005154E6">
        <w:rPr>
          <w:rStyle w:val="Appelnotedebasdep"/>
          <w:b w:val="0"/>
          <w:bCs/>
          <w:sz w:val="20"/>
          <w:vertAlign w:val="baseline"/>
          <w:lang w:val="fr-FR"/>
        </w:rPr>
        <w:t xml:space="preserve"> </w:t>
      </w:r>
      <w:r w:rsidRPr="005154E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029EAE5B" w14:textId="77777777" w:rsidR="005154E6" w:rsidRPr="005154E6" w:rsidRDefault="005154E6" w:rsidP="005154E6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  <w:t>Introduction</w:t>
      </w:r>
    </w:p>
    <w:p w14:paraId="1C938528" w14:textId="3187643A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session d</w:t>
      </w:r>
      <w:r>
        <w:rPr>
          <w:lang w:val="fr-FR"/>
        </w:rPr>
        <w:t>’</w:t>
      </w:r>
      <w:r>
        <w:rPr>
          <w:lang w:val="fr-FR"/>
        </w:rPr>
        <w:t>automne 2023, la Réunion commune RID/ADR/ADN a adopté la proposition de l</w:t>
      </w:r>
      <w:r>
        <w:rPr>
          <w:lang w:val="fr-FR"/>
        </w:rPr>
        <w:t>’</w:t>
      </w:r>
      <w:r>
        <w:rPr>
          <w:lang w:val="fr-FR"/>
        </w:rPr>
        <w:t>UIC ci-après (voir ECE/TRANS/WP.15/AC.1/2023/26) :</w:t>
      </w:r>
    </w:p>
    <w:p w14:paraId="6268122E" w14:textId="4166860F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4.3.3.5, ajouter la phrase suivante au dernier paragraphe : « Il n</w:t>
      </w:r>
      <w:r>
        <w:rPr>
          <w:lang w:val="fr-FR"/>
        </w:rPr>
        <w:t>’</w:t>
      </w:r>
      <w:r>
        <w:rPr>
          <w:lang w:val="fr-FR"/>
        </w:rPr>
        <w:t>est pas nécessaire de satisfaire aux prescriptions du 4.3.3.5 pour [(RID :) les citernes vides non nettoyées] [(ADR :) les conteneurs-citernes vides non nettoyés]. »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4D8E6236" w14:textId="77777777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 xml:space="preserve">4.3.3.6, lire (les ajouts proposés figurent en </w:t>
      </w:r>
      <w:r>
        <w:rPr>
          <w:i/>
          <w:iCs/>
          <w:u w:val="single"/>
          <w:lang w:val="fr-FR"/>
        </w:rPr>
        <w:t>caractères italiques soulignés</w:t>
      </w:r>
      <w:r>
        <w:rPr>
          <w:lang w:val="fr-FR"/>
        </w:rPr>
        <w:t>) :</w:t>
      </w:r>
      <w:bookmarkStart w:id="0" w:name="_Hlk152693824"/>
      <w:bookmarkEnd w:id="0"/>
    </w:p>
    <w:p w14:paraId="6A5A9E90" w14:textId="77777777" w:rsidR="005154E6" w:rsidRPr="009739DF" w:rsidRDefault="005154E6" w:rsidP="005154E6">
      <w:pPr>
        <w:pStyle w:val="SingleTxtG"/>
        <w:ind w:left="1701"/>
        <w:rPr>
          <w:lang w:val="fr-FR"/>
        </w:rPr>
      </w:pPr>
      <w:r>
        <w:rPr>
          <w:lang w:val="fr-FR"/>
        </w:rPr>
        <w:tab/>
        <w:t>« </w:t>
      </w:r>
      <w:r>
        <w:rPr>
          <w:b/>
          <w:bCs/>
          <w:lang w:val="fr-FR"/>
        </w:rPr>
        <w:t xml:space="preserve">4.3.3.6 </w:t>
      </w:r>
      <w:r>
        <w:rPr>
          <w:lang w:val="fr-FR"/>
        </w:rPr>
        <w:t>Les [(RID :) citernes] [(ADR :) conteneurs-citernes] ne doivent pas être [(RID :) présentées] [(ADR :) présentés] au transport :</w:t>
      </w:r>
    </w:p>
    <w:p w14:paraId="3181D833" w14:textId="2D6ECF21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Si leur taux de remplissage est tel que les oscillations du contenu pourraient engendrer des forces hydrauliques excessives dans le réservoir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5D4FE6DB" w14:textId="4BECB68D" w:rsidR="005154E6" w:rsidRPr="009739DF" w:rsidRDefault="005154E6" w:rsidP="005154E6">
      <w:pPr>
        <w:pStyle w:val="SingleTxtG"/>
        <w:ind w:left="1701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[(RID :) Si elles fuient] [(ADR :) S</w:t>
      </w:r>
      <w:r>
        <w:rPr>
          <w:lang w:val="fr-FR"/>
        </w:rPr>
        <w:t>’</w:t>
      </w:r>
      <w:r>
        <w:rPr>
          <w:lang w:val="fr-FR"/>
        </w:rPr>
        <w:t>ils fuient]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5D584097" w14:textId="32F64533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[(RID :) Si elles sont endommagées] [(ADR :) S</w:t>
      </w:r>
      <w:r>
        <w:rPr>
          <w:lang w:val="fr-FR"/>
        </w:rPr>
        <w:t>’</w:t>
      </w:r>
      <w:r>
        <w:rPr>
          <w:lang w:val="fr-FR"/>
        </w:rPr>
        <w:t>ils sont endommagés] à tel point que l</w:t>
      </w:r>
      <w:r>
        <w:rPr>
          <w:lang w:val="fr-FR"/>
        </w:rPr>
        <w:t>’</w:t>
      </w:r>
      <w:r>
        <w:rPr>
          <w:lang w:val="fr-FR"/>
        </w:rPr>
        <w:t>intégrité [(RID :) de la citerne] [(ADR :) du conteneur-citerne] ou de ses attaches de levage ou d</w:t>
      </w:r>
      <w:r>
        <w:rPr>
          <w:lang w:val="fr-FR"/>
        </w:rPr>
        <w:t>’</w:t>
      </w:r>
      <w:r>
        <w:rPr>
          <w:lang w:val="fr-FR"/>
        </w:rPr>
        <w:t>arrimage pourrait être compromise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1DB2C350" w14:textId="7E5156F0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Si l</w:t>
      </w:r>
      <w:r>
        <w:rPr>
          <w:lang w:val="fr-FR"/>
        </w:rPr>
        <w:t>’</w:t>
      </w:r>
      <w:r>
        <w:rPr>
          <w:lang w:val="fr-FR"/>
        </w:rPr>
        <w:t>équipement de service n</w:t>
      </w:r>
      <w:r>
        <w:rPr>
          <w:lang w:val="fr-FR"/>
        </w:rPr>
        <w:t>’</w:t>
      </w:r>
      <w:r>
        <w:rPr>
          <w:lang w:val="fr-FR"/>
        </w:rPr>
        <w:t>a pas été examiné et jugé en bon état de fonctionnement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696E1E0E" w14:textId="77777777" w:rsidR="005154E6" w:rsidRPr="009739DF" w:rsidRDefault="005154E6" w:rsidP="005154E6">
      <w:pPr>
        <w:pStyle w:val="SingleTxtG"/>
        <w:ind w:left="1701"/>
        <w:rPr>
          <w:i/>
          <w:iCs/>
          <w:u w:val="single"/>
          <w:lang w:val="fr-FR"/>
        </w:rPr>
      </w:pPr>
      <w:r>
        <w:rPr>
          <w:lang w:val="fr-FR"/>
        </w:rPr>
        <w:lastRenderedPageBreak/>
        <w:tab/>
      </w:r>
      <w:r>
        <w:rPr>
          <w:i/>
          <w:iCs/>
          <w:u w:val="single"/>
          <w:lang w:val="fr-FR"/>
        </w:rPr>
        <w:t>et, pour les gaz liquéfiés réfrigérés :</w:t>
      </w:r>
    </w:p>
    <w:p w14:paraId="4083F865" w14:textId="23BC3CBB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Si le temps de retenue réel pour le gaz liquéfié réfrigéré transporté n</w:t>
      </w:r>
      <w:r>
        <w:rPr>
          <w:lang w:val="fr-FR"/>
        </w:rPr>
        <w:t>’</w:t>
      </w:r>
      <w:r>
        <w:rPr>
          <w:lang w:val="fr-FR"/>
        </w:rPr>
        <w:t>a pas été déterminé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21DD1774" w14:textId="5315550B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Si la durée du transport, compte tenu des retards qui pourraient se produire, dépasse le temps de retenue réel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39D99209" w14:textId="7E781024" w:rsidR="005154E6" w:rsidRPr="009739DF" w:rsidRDefault="005154E6" w:rsidP="005154E6">
      <w:pPr>
        <w:pStyle w:val="SingleTxtG"/>
        <w:ind w:left="2268" w:hanging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Si la pression n</w:t>
      </w:r>
      <w:r>
        <w:rPr>
          <w:lang w:val="fr-FR"/>
        </w:rPr>
        <w:t>’</w:t>
      </w:r>
      <w:r>
        <w:rPr>
          <w:lang w:val="fr-FR"/>
        </w:rPr>
        <w:t>est pas constante et n</w:t>
      </w:r>
      <w:r>
        <w:rPr>
          <w:lang w:val="fr-FR"/>
        </w:rPr>
        <w:t>’</w:t>
      </w:r>
      <w:r>
        <w:rPr>
          <w:lang w:val="fr-FR"/>
        </w:rPr>
        <w:t>a pas été ramenée à un niveau tel que le temps de retenue réel puisse être atteint</w:t>
      </w:r>
      <w:r w:rsidRPr="00435680">
        <w:rPr>
          <w:sz w:val="18"/>
          <w:szCs w:val="18"/>
          <w:vertAlign w:val="superscript"/>
          <w:lang w:val="fr-FR"/>
        </w:rPr>
        <w:t>4</w:t>
      </w:r>
      <w:r w:rsidR="00435680">
        <w:rPr>
          <w:lang w:val="fr-FR"/>
        </w:rPr>
        <w:t> </w:t>
      </w:r>
      <w:r>
        <w:rPr>
          <w:lang w:val="fr-FR"/>
        </w:rPr>
        <w:t>;</w:t>
      </w:r>
    </w:p>
    <w:p w14:paraId="6AC43563" w14:textId="2A3386F9" w:rsidR="005154E6" w:rsidRPr="009739DF" w:rsidRDefault="005154E6" w:rsidP="005154E6">
      <w:pPr>
        <w:pStyle w:val="SingleTxtG"/>
        <w:ind w:left="2268" w:hanging="567"/>
        <w:rPr>
          <w:i/>
          <w:iCs/>
          <w:u w:val="single"/>
          <w:lang w:val="fr-FR"/>
        </w:rPr>
      </w:pPr>
      <w:r>
        <w:rPr>
          <w:u w:val="single"/>
          <w:lang w:val="fr-FR"/>
        </w:rPr>
        <w:t>h)</w:t>
      </w:r>
      <w:r>
        <w:rPr>
          <w:lang w:val="fr-FR"/>
        </w:rPr>
        <w:tab/>
      </w:r>
      <w:r>
        <w:rPr>
          <w:i/>
          <w:iCs/>
          <w:u w:val="single"/>
          <w:lang w:val="fr-FR"/>
        </w:rPr>
        <w:t>Lorsqu</w:t>
      </w:r>
      <w:r>
        <w:rPr>
          <w:i/>
          <w:iCs/>
          <w:u w:val="single"/>
          <w:lang w:val="fr-FR"/>
        </w:rPr>
        <w:t>’</w:t>
      </w:r>
      <w:r>
        <w:rPr>
          <w:i/>
          <w:iCs/>
          <w:u w:val="single"/>
          <w:lang w:val="fr-FR"/>
        </w:rPr>
        <w:t>[(RID :) elles] [(ADR :) ils] sont vides, non [(RID :) nettoyées] [(ADR :) nettoyés], à moins que la pression ne soit réduite à un niveau garantissant que les dispositifs de décompression ne s</w:t>
      </w:r>
      <w:r>
        <w:rPr>
          <w:i/>
          <w:iCs/>
          <w:u w:val="single"/>
          <w:lang w:val="fr-FR"/>
        </w:rPr>
        <w:t>’</w:t>
      </w:r>
      <w:r>
        <w:rPr>
          <w:i/>
          <w:iCs/>
          <w:u w:val="single"/>
          <w:lang w:val="fr-FR"/>
        </w:rPr>
        <w:t>activeront pas pendant le transport</w:t>
      </w:r>
      <w:r w:rsidRPr="00435680">
        <w:rPr>
          <w:i/>
          <w:iCs/>
          <w:sz w:val="18"/>
          <w:szCs w:val="18"/>
          <w:u w:val="single"/>
          <w:vertAlign w:val="superscript"/>
          <w:lang w:val="fr-FR"/>
        </w:rPr>
        <w:t>4</w:t>
      </w:r>
      <w:r>
        <w:rPr>
          <w:i/>
          <w:iCs/>
          <w:u w:val="single"/>
          <w:lang w:val="fr-FR"/>
        </w:rPr>
        <w:t>.</w:t>
      </w:r>
      <w:r w:rsidRPr="00E6442C">
        <w:rPr>
          <w:lang w:val="fr-FR"/>
        </w:rPr>
        <w:t> »</w:t>
      </w:r>
      <w:r>
        <w:rPr>
          <w:lang w:val="fr-FR"/>
        </w:rPr>
        <w:t>.</w:t>
      </w:r>
    </w:p>
    <w:p w14:paraId="04411A2B" w14:textId="0AB415DB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UIC a en outre proposé d</w:t>
      </w:r>
      <w:r>
        <w:rPr>
          <w:lang w:val="fr-FR"/>
        </w:rPr>
        <w:t>’</w:t>
      </w:r>
      <w:r>
        <w:rPr>
          <w:lang w:val="fr-FR"/>
        </w:rPr>
        <w:t>expliciter les responsabilités incombant à l</w:t>
      </w:r>
      <w:r>
        <w:rPr>
          <w:lang w:val="fr-FR"/>
        </w:rPr>
        <w:t>’</w:t>
      </w:r>
      <w:r>
        <w:rPr>
          <w:lang w:val="fr-FR"/>
        </w:rPr>
        <w:t>expéditeur, à savoir déterminer le temps de retenue et envoyer des citernes vides non nettoyées présentant une pression réduite à un niveau garantissant que les limiteurs de pression ne s</w:t>
      </w:r>
      <w:r>
        <w:rPr>
          <w:lang w:val="fr-FR"/>
        </w:rPr>
        <w:t>’</w:t>
      </w:r>
      <w:r>
        <w:rPr>
          <w:lang w:val="fr-FR"/>
        </w:rPr>
        <w:t>activeront pas pendant le transport ferroviaire. La Réunion commune a confirmé que ces responsabilités incombaient à l</w:t>
      </w:r>
      <w:r>
        <w:rPr>
          <w:lang w:val="fr-FR"/>
        </w:rPr>
        <w:t>’</w:t>
      </w:r>
      <w:r>
        <w:rPr>
          <w:lang w:val="fr-FR"/>
        </w:rPr>
        <w:t>expéditeur.</w:t>
      </w:r>
    </w:p>
    <w:p w14:paraId="50959932" w14:textId="77777777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Dans le rapport du Groupe de travail des citernes (ECE/TRANS/WP.15/AC.1/170/Add.1), il a été noté ce qui suit :</w:t>
      </w:r>
    </w:p>
    <w:p w14:paraId="1622E823" w14:textId="77777777" w:rsidR="005154E6" w:rsidRPr="009739DF" w:rsidRDefault="005154E6" w:rsidP="005154E6">
      <w:pPr>
        <w:pStyle w:val="SingleTxtG"/>
        <w:ind w:left="1701"/>
        <w:rPr>
          <w:i/>
          <w:iCs/>
          <w:lang w:val="fr-FR"/>
        </w:rPr>
      </w:pPr>
      <w:r>
        <w:rPr>
          <w:lang w:val="fr-FR"/>
        </w:rPr>
        <w:t>« </w:t>
      </w:r>
      <w:r>
        <w:rPr>
          <w:i/>
          <w:iCs/>
          <w:lang w:val="fr-FR"/>
        </w:rPr>
        <w:t>Point 3 : Clarification des dispositions relatives au temps de retenue pour le transport des citernes contenant des gaz liquéfiés réfrigérés</w:t>
      </w:r>
    </w:p>
    <w:p w14:paraId="54303971" w14:textId="77777777" w:rsidR="005154E6" w:rsidRPr="009739DF" w:rsidRDefault="005154E6" w:rsidP="005154E6">
      <w:pPr>
        <w:pStyle w:val="SingleTxtG"/>
        <w:ind w:left="1701"/>
        <w:rPr>
          <w:i/>
          <w:iCs/>
          <w:lang w:val="fr-FR"/>
        </w:rPr>
      </w:pPr>
      <w:r>
        <w:rPr>
          <w:i/>
          <w:iCs/>
          <w:lang w:val="fr-FR"/>
        </w:rPr>
        <w:t>Document : ECE/TRANS/WP.15/AC.1/2023/26 (UIC)</w:t>
      </w:r>
    </w:p>
    <w:p w14:paraId="59187CC4" w14:textId="286D4DBB" w:rsidR="005154E6" w:rsidRPr="009739DF" w:rsidRDefault="005154E6" w:rsidP="005154E6">
      <w:pPr>
        <w:pStyle w:val="SingleTxtG"/>
        <w:ind w:left="1701"/>
        <w:rPr>
          <w:i/>
          <w:iCs/>
          <w:lang w:val="fr-FR"/>
        </w:rPr>
      </w:pPr>
      <w:r>
        <w:rPr>
          <w:i/>
          <w:iCs/>
          <w:lang w:val="fr-FR"/>
        </w:rPr>
        <w:t>5.</w:t>
      </w:r>
      <w:r>
        <w:rPr>
          <w:lang w:val="fr-FR"/>
        </w:rPr>
        <w:tab/>
      </w:r>
      <w:r>
        <w:rPr>
          <w:i/>
          <w:iCs/>
          <w:lang w:val="fr-FR"/>
        </w:rPr>
        <w:t>Les participants à la Réunion commune étaient dans l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ensemble d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accord sur le principe.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Il a été convenu qu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il incombait à l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expéditeur de veiller à ce que les wagons-citernes et conteneurs-citernes vides non nettoyés soient présentés au transport dans un état tel que les dispositifs de décompression ne s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activent pas pendant le transport.</w:t>
      </w:r>
      <w:r>
        <w:rPr>
          <w:lang w:val="fr-FR"/>
        </w:rPr>
        <w:t> ».</w:t>
      </w:r>
    </w:p>
    <w:p w14:paraId="1B774771" w14:textId="77AD1203" w:rsidR="005154E6" w:rsidRPr="009739DF" w:rsidRDefault="005154E6" w:rsidP="005154E6">
      <w:pPr>
        <w:pStyle w:val="HCh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Problème</w:t>
      </w:r>
    </w:p>
    <w:p w14:paraId="49FC8487" w14:textId="57FDB219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Groupe de travail des citernes n</w:t>
      </w:r>
      <w:r>
        <w:rPr>
          <w:lang w:val="fr-FR"/>
        </w:rPr>
        <w:t>’</w:t>
      </w:r>
      <w:r>
        <w:rPr>
          <w:lang w:val="fr-FR"/>
        </w:rPr>
        <w:t>est toutefois parvenu à se mettre d</w:t>
      </w:r>
      <w:r>
        <w:rPr>
          <w:lang w:val="fr-FR"/>
        </w:rPr>
        <w:t>’</w:t>
      </w:r>
      <w:r>
        <w:rPr>
          <w:lang w:val="fr-FR"/>
        </w:rPr>
        <w:t>accord ni sur le libellé du texte visant à clarifier le rôle de l</w:t>
      </w:r>
      <w:r>
        <w:rPr>
          <w:lang w:val="fr-FR"/>
        </w:rPr>
        <w:t>’</w:t>
      </w:r>
      <w:r>
        <w:rPr>
          <w:lang w:val="fr-FR"/>
        </w:rPr>
        <w:t>expéditeur ni sur le chapitre dans lequel cette clarification devait apparaître (pour un résumé des débats, voir l</w:t>
      </w:r>
      <w:r>
        <w:rPr>
          <w:lang w:val="fr-FR"/>
        </w:rPr>
        <w:t>’</w:t>
      </w:r>
      <w:r>
        <w:rPr>
          <w:lang w:val="fr-FR"/>
        </w:rPr>
        <w:t>annexe du présent document).</w:t>
      </w:r>
    </w:p>
    <w:p w14:paraId="77751E02" w14:textId="322310DD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UIC est d</w:t>
      </w:r>
      <w:r>
        <w:rPr>
          <w:lang w:val="fr-FR"/>
        </w:rPr>
        <w:t>’</w:t>
      </w:r>
      <w:r>
        <w:rPr>
          <w:lang w:val="fr-FR"/>
        </w:rPr>
        <w:t>avis que les modifications acceptées par la Réunion commune constituent une amélioration. Néanmoins, elle craint que des doutes ne subsistent quant à la question de savoir à quel intervenant dans le transport de marchandises dangereuses il incombe de satisfaire aux prescriptions du 4.3.3.5 et du 4.3.3.6. Cette situation pourrait entraîner l</w:t>
      </w:r>
      <w:r>
        <w:rPr>
          <w:lang w:val="fr-FR"/>
        </w:rPr>
        <w:t>’</w:t>
      </w:r>
      <w:r>
        <w:rPr>
          <w:lang w:val="fr-FR"/>
        </w:rPr>
        <w:t>activation prématurée du ou des dispositifs de limitation de pression, provoquant retards et coûts supplémentaires, ce que l</w:t>
      </w:r>
      <w:r>
        <w:rPr>
          <w:lang w:val="fr-FR"/>
        </w:rPr>
        <w:t>’</w:t>
      </w:r>
      <w:r>
        <w:rPr>
          <w:lang w:val="fr-FR"/>
        </w:rPr>
        <w:t>UIC cherchait précisément à éviter à l</w:t>
      </w:r>
      <w:r>
        <w:rPr>
          <w:lang w:val="fr-FR"/>
        </w:rPr>
        <w:t>’</w:t>
      </w:r>
      <w:r>
        <w:rPr>
          <w:lang w:val="fr-FR"/>
        </w:rPr>
        <w:t>origine.</w:t>
      </w:r>
    </w:p>
    <w:p w14:paraId="630D334D" w14:textId="60782DF5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Il est particulièrement important de lever cette ambiguïté concernant la responsabilité qui incombe à l</w:t>
      </w:r>
      <w:r>
        <w:rPr>
          <w:lang w:val="fr-FR"/>
        </w:rPr>
        <w:t>’</w:t>
      </w:r>
      <w:r>
        <w:rPr>
          <w:lang w:val="fr-FR"/>
        </w:rPr>
        <w:t>expéditeur dans le cas d</w:t>
      </w:r>
      <w:r>
        <w:rPr>
          <w:lang w:val="fr-FR"/>
        </w:rPr>
        <w:t>’</w:t>
      </w:r>
      <w:r>
        <w:rPr>
          <w:lang w:val="fr-FR"/>
        </w:rPr>
        <w:t>un transport non accompagné, par train ou par bateau par exemple.</w:t>
      </w:r>
    </w:p>
    <w:p w14:paraId="0C76057D" w14:textId="77777777" w:rsidR="005154E6" w:rsidRPr="009739DF" w:rsidRDefault="005154E6" w:rsidP="005154E6">
      <w:pPr>
        <w:pStyle w:val="HChG"/>
        <w:rPr>
          <w:lang w:val="fr-FR"/>
        </w:rPr>
      </w:pPr>
      <w:r>
        <w:rPr>
          <w:bCs/>
          <w:lang w:val="fr-FR"/>
        </w:rPr>
        <w:tab/>
        <w:t>III.</w:t>
      </w:r>
      <w:r>
        <w:rPr>
          <w:lang w:val="fr-FR"/>
        </w:rPr>
        <w:tab/>
      </w:r>
      <w:r>
        <w:rPr>
          <w:bCs/>
          <w:lang w:val="fr-FR"/>
        </w:rPr>
        <w:t>Évolutions depuis la session de septembre 2023 de la Réunion commune</w:t>
      </w:r>
    </w:p>
    <w:p w14:paraId="26BD5132" w14:textId="6FF43FF3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À la seizième session du groupe de travail permanent de la Commission d</w:t>
      </w:r>
      <w:r>
        <w:rPr>
          <w:lang w:val="fr-FR"/>
        </w:rPr>
        <w:t>’</w:t>
      </w:r>
      <w:r>
        <w:rPr>
          <w:lang w:val="fr-FR"/>
        </w:rPr>
        <w:t>experts du RID (20-23 novembre 2023, Londres), l</w:t>
      </w:r>
      <w:r>
        <w:rPr>
          <w:lang w:val="fr-FR"/>
        </w:rPr>
        <w:t>’</w:t>
      </w:r>
      <w:r>
        <w:rPr>
          <w:lang w:val="fr-FR"/>
        </w:rPr>
        <w:t>UIC a donc soumis pour réexamen la proposition visant à préciser, soit au chapitre 1.4, soit au 4.3.3.6, qu</w:t>
      </w:r>
      <w:r>
        <w:rPr>
          <w:lang w:val="fr-FR"/>
        </w:rPr>
        <w:t>’</w:t>
      </w:r>
      <w:r>
        <w:rPr>
          <w:lang w:val="fr-FR"/>
        </w:rPr>
        <w:t>il incombe à l</w:t>
      </w:r>
      <w:r>
        <w:rPr>
          <w:lang w:val="fr-FR"/>
        </w:rPr>
        <w:t>’</w:t>
      </w:r>
      <w:r>
        <w:rPr>
          <w:u w:val="single"/>
          <w:lang w:val="fr-FR"/>
        </w:rPr>
        <w:t>expéditeur</w:t>
      </w:r>
      <w:r w:rsidRPr="001E46DA">
        <w:rPr>
          <w:lang w:val="fr-FR"/>
        </w:rPr>
        <w:t xml:space="preserve"> </w:t>
      </w:r>
      <w:r>
        <w:rPr>
          <w:lang w:val="fr-FR"/>
        </w:rPr>
        <w:t>de déterminer le temps de retenue et de veiller à ce que les wagons-citernes et conteneurs</w:t>
      </w:r>
      <w:r>
        <w:rPr>
          <w:lang w:val="fr-FR"/>
        </w:rPr>
        <w:noBreakHyphen/>
      </w:r>
      <w:r>
        <w:rPr>
          <w:lang w:val="fr-FR"/>
        </w:rPr>
        <w:t>citernes destinés au transport de gaz liquéfiés réfrigérés, lorsqu</w:t>
      </w:r>
      <w:r>
        <w:rPr>
          <w:lang w:val="fr-FR"/>
        </w:rPr>
        <w:t>’</w:t>
      </w:r>
      <w:r>
        <w:rPr>
          <w:lang w:val="fr-FR"/>
        </w:rPr>
        <w:t xml:space="preserve">ils sont vides et non nettoyés, ne soient présentés au transport que si la pression a été réduite à un niveau </w:t>
      </w:r>
      <w:r>
        <w:rPr>
          <w:lang w:val="fr-FR"/>
        </w:rPr>
        <w:lastRenderedPageBreak/>
        <w:t>garantissant que les dispositifs de décompression ne s</w:t>
      </w:r>
      <w:r>
        <w:rPr>
          <w:lang w:val="fr-FR"/>
        </w:rPr>
        <w:t>’</w:t>
      </w:r>
      <w:r>
        <w:rPr>
          <w:lang w:val="fr-FR"/>
        </w:rPr>
        <w:t>activeront pas pendant le transport (voir document informel INF.3 de la seizième session du groupe de travail permanent de la Commission d</w:t>
      </w:r>
      <w:r>
        <w:rPr>
          <w:lang w:val="fr-FR"/>
        </w:rPr>
        <w:t>’</w:t>
      </w:r>
      <w:r>
        <w:rPr>
          <w:lang w:val="fr-FR"/>
        </w:rPr>
        <w:t>experts du RID).</w:t>
      </w:r>
    </w:p>
    <w:p w14:paraId="47E0BB43" w14:textId="28D44978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Au cours des débats, l</w:t>
      </w:r>
      <w:r>
        <w:rPr>
          <w:lang w:val="fr-FR"/>
        </w:rPr>
        <w:t>’</w:t>
      </w:r>
      <w:r>
        <w:rPr>
          <w:lang w:val="fr-FR"/>
        </w:rPr>
        <w:t>UIC a précisé ce qui suit :</w:t>
      </w:r>
    </w:p>
    <w:p w14:paraId="137CD9DA" w14:textId="4359C15B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rFonts w:asciiTheme="majorBidi" w:hAnsiTheme="majorBidi" w:cstheme="majorBidi"/>
          <w:lang w:val="fr-FR"/>
        </w:rPr>
      </w:pPr>
      <w:r>
        <w:rPr>
          <w:lang w:val="fr-FR"/>
        </w:rPr>
        <w:t>La pression des citernes vides non nettoyées doit être réduite le moins longtemps possible avant que celles-ci ne soient présentées au transport</w:t>
      </w:r>
      <w:r w:rsidR="00F31765">
        <w:rPr>
          <w:lang w:val="fr-FR"/>
        </w:rPr>
        <w:t> </w:t>
      </w:r>
      <w:r>
        <w:rPr>
          <w:lang w:val="fr-FR"/>
        </w:rPr>
        <w:t>;</w:t>
      </w:r>
    </w:p>
    <w:p w14:paraId="37BE31E0" w14:textId="07E0CA93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rFonts w:asciiTheme="majorBidi" w:hAnsiTheme="majorBidi" w:cstheme="majorBidi"/>
          <w:lang w:val="fr-FR"/>
        </w:rPr>
      </w:pPr>
      <w:r>
        <w:rPr>
          <w:lang w:val="fr-FR"/>
        </w:rPr>
        <w:t>La clarification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sujet de la responsabilité incombant à l</w:t>
      </w:r>
      <w:r>
        <w:rPr>
          <w:lang w:val="fr-FR"/>
        </w:rPr>
        <w:t>’</w:t>
      </w:r>
      <w:r>
        <w:rPr>
          <w:lang w:val="fr-FR"/>
        </w:rPr>
        <w:t>expéditeur concerne non seulement les citernes non nettoyées, mais aussi les citernes chargées</w:t>
      </w:r>
      <w:r w:rsidR="00F31765">
        <w:rPr>
          <w:lang w:val="fr-FR"/>
        </w:rPr>
        <w:t> </w:t>
      </w:r>
      <w:r>
        <w:rPr>
          <w:lang w:val="fr-FR"/>
        </w:rPr>
        <w:t>;</w:t>
      </w:r>
    </w:p>
    <w:p w14:paraId="168C2243" w14:textId="77148BE9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rFonts w:asciiTheme="majorBidi" w:hAnsiTheme="majorBidi" w:cstheme="majorBidi"/>
          <w:lang w:val="fr-FR"/>
        </w:rPr>
      </w:pPr>
      <w:r>
        <w:rPr>
          <w:lang w:val="fr-FR"/>
        </w:rPr>
        <w:t>Pour ce qui est du 4.3.3.5 (temps de retenue réel) et du 4.3.3.6 (présentation des citernes au transport), l</w:t>
      </w:r>
      <w:r>
        <w:rPr>
          <w:lang w:val="fr-FR"/>
        </w:rPr>
        <w:t>’</w:t>
      </w:r>
      <w:r>
        <w:rPr>
          <w:lang w:val="fr-FR"/>
        </w:rPr>
        <w:t>expéditeur est tenu de veiller au respect de l</w:t>
      </w:r>
      <w:r>
        <w:rPr>
          <w:lang w:val="fr-FR"/>
        </w:rPr>
        <w:t>’</w:t>
      </w:r>
      <w:r>
        <w:rPr>
          <w:lang w:val="fr-FR"/>
        </w:rPr>
        <w:t>ensemble du paragraphe, même si d</w:t>
      </w:r>
      <w:r>
        <w:rPr>
          <w:lang w:val="fr-FR"/>
        </w:rPr>
        <w:t>’</w:t>
      </w:r>
      <w:r>
        <w:rPr>
          <w:lang w:val="fr-FR"/>
        </w:rPr>
        <w:t>autres intervenants (par exemple, le déchargeur) peuvent se charger de déterminer le temps de retenue réel ou de présenter une citerne au transport et d</w:t>
      </w:r>
      <w:r>
        <w:rPr>
          <w:lang w:val="fr-FR"/>
        </w:rPr>
        <w:t>’</w:t>
      </w:r>
      <w:r>
        <w:rPr>
          <w:lang w:val="fr-FR"/>
        </w:rPr>
        <w:t>effectuer les contrôles préalables requis au 4.3.3.6. Cette possibilité apparaît clairement au 1.4.2.1.2 du RID, de l</w:t>
      </w:r>
      <w:r>
        <w:rPr>
          <w:lang w:val="fr-FR"/>
        </w:rPr>
        <w:t>’</w:t>
      </w:r>
      <w:r>
        <w:rPr>
          <w:lang w:val="fr-FR"/>
        </w:rPr>
        <w:t>ADR et de l</w:t>
      </w:r>
      <w:r>
        <w:rPr>
          <w:lang w:val="fr-FR"/>
        </w:rPr>
        <w:t>’</w:t>
      </w:r>
      <w:r>
        <w:rPr>
          <w:lang w:val="fr-FR"/>
        </w:rPr>
        <w:t>ADN</w:t>
      </w:r>
      <w:r w:rsidR="00F31765">
        <w:rPr>
          <w:lang w:val="fr-FR"/>
        </w:rPr>
        <w:t> </w:t>
      </w:r>
      <w:r>
        <w:rPr>
          <w:lang w:val="fr-FR"/>
        </w:rPr>
        <w:t>;</w:t>
      </w:r>
    </w:p>
    <w:p w14:paraId="190B2D8C" w14:textId="5D59A185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rFonts w:asciiTheme="majorBidi" w:hAnsiTheme="majorBidi" w:cstheme="majorBidi"/>
          <w:lang w:val="fr-FR"/>
        </w:rPr>
      </w:pPr>
      <w:r>
        <w:rPr>
          <w:lang w:val="fr-FR"/>
        </w:rPr>
        <w:t>Il est donc dans l</w:t>
      </w:r>
      <w:r>
        <w:rPr>
          <w:lang w:val="fr-FR"/>
        </w:rPr>
        <w:t>’</w:t>
      </w:r>
      <w:r>
        <w:rPr>
          <w:lang w:val="fr-FR"/>
        </w:rPr>
        <w:t>intérêt de l</w:t>
      </w:r>
      <w:r>
        <w:rPr>
          <w:lang w:val="fr-FR"/>
        </w:rPr>
        <w:t>’</w:t>
      </w:r>
      <w:r>
        <w:rPr>
          <w:lang w:val="fr-FR"/>
        </w:rPr>
        <w:t>expéditeur de donner des instructions claires aux différents intervenants dans la chaîne de transport d</w:t>
      </w:r>
      <w:r>
        <w:rPr>
          <w:lang w:val="fr-FR"/>
        </w:rPr>
        <w:t>’</w:t>
      </w:r>
      <w:r>
        <w:rPr>
          <w:lang w:val="fr-FR"/>
        </w:rPr>
        <w:t>une citerne : c</w:t>
      </w:r>
      <w:r>
        <w:rPr>
          <w:lang w:val="fr-FR"/>
        </w:rPr>
        <w:t>’</w:t>
      </w:r>
      <w:r>
        <w:rPr>
          <w:lang w:val="fr-FR"/>
        </w:rPr>
        <w:t>est dans cette optique que l</w:t>
      </w:r>
      <w:r>
        <w:rPr>
          <w:lang w:val="fr-FR"/>
        </w:rPr>
        <w:t>’</w:t>
      </w:r>
      <w:r>
        <w:rPr>
          <w:lang w:val="fr-FR"/>
        </w:rPr>
        <w:t>Association européenne des gaz industriels (EIGA) a élaboré son document d</w:t>
      </w:r>
      <w:r>
        <w:rPr>
          <w:lang w:val="fr-FR"/>
        </w:rPr>
        <w:t>’</w:t>
      </w:r>
      <w:r>
        <w:rPr>
          <w:lang w:val="fr-FR"/>
        </w:rPr>
        <w:t xml:space="preserve">orientation intitulé « Methods to </w:t>
      </w:r>
      <w:proofErr w:type="spellStart"/>
      <w:r>
        <w:rPr>
          <w:lang w:val="fr-FR"/>
        </w:rPr>
        <w:t>prevent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premature</w:t>
      </w:r>
      <w:proofErr w:type="spellEnd"/>
      <w:r>
        <w:rPr>
          <w:lang w:val="fr-FR"/>
        </w:rPr>
        <w:t xml:space="preserve"> activation of relief </w:t>
      </w:r>
      <w:proofErr w:type="spellStart"/>
      <w:r>
        <w:rPr>
          <w:lang w:val="fr-FR"/>
        </w:rPr>
        <w:t>devices</w:t>
      </w:r>
      <w:proofErr w:type="spellEnd"/>
      <w:r>
        <w:rPr>
          <w:lang w:val="fr-FR"/>
        </w:rPr>
        <w:t xml:space="preserve"> on tanks » (disponible à l</w:t>
      </w:r>
      <w:r>
        <w:rPr>
          <w:lang w:val="fr-FR"/>
        </w:rPr>
        <w:t>’</w:t>
      </w:r>
      <w:r>
        <w:rPr>
          <w:lang w:val="fr-FR"/>
        </w:rPr>
        <w:t xml:space="preserve">adresse suivante : </w:t>
      </w:r>
      <w:hyperlink r:id="rId8" w:history="1">
        <w:r w:rsidRPr="005154E6">
          <w:rPr>
            <w:rStyle w:val="Lienhypertexte"/>
            <w:lang w:val="fr-FR"/>
          </w:rPr>
          <w:t>www.e</w:t>
        </w:r>
        <w:r w:rsidRPr="005154E6">
          <w:rPr>
            <w:rStyle w:val="Lienhypertexte"/>
            <w:lang w:val="fr-FR"/>
          </w:rPr>
          <w:t>i</w:t>
        </w:r>
        <w:r w:rsidRPr="005154E6">
          <w:rPr>
            <w:rStyle w:val="Lienhypertexte"/>
            <w:lang w:val="fr-FR"/>
          </w:rPr>
          <w:t>g</w:t>
        </w:r>
        <w:r w:rsidRPr="005154E6">
          <w:rPr>
            <w:rStyle w:val="Lienhypertexte"/>
            <w:lang w:val="fr-FR"/>
          </w:rPr>
          <w:t>a</w:t>
        </w:r>
        <w:r w:rsidRPr="005154E6">
          <w:rPr>
            <w:rStyle w:val="Lienhypertexte"/>
            <w:lang w:val="fr-FR"/>
          </w:rPr>
          <w:t>.eu</w:t>
        </w:r>
      </w:hyperlink>
      <w:r>
        <w:rPr>
          <w:lang w:val="fr-FR"/>
        </w:rPr>
        <w:t>). Parmi les passages pertinents de ce document, on peut citer le paragraphe 4.5.4, consacré au transport de citernes, et notamment le texte souligné ci-après :</w:t>
      </w:r>
    </w:p>
    <w:p w14:paraId="5CDF1917" w14:textId="6EB94621" w:rsidR="005154E6" w:rsidRPr="009739DF" w:rsidRDefault="005154E6" w:rsidP="005154E6">
      <w:pPr>
        <w:pStyle w:val="SingleTxtG"/>
        <w:ind w:left="1701"/>
        <w:rPr>
          <w:lang w:val="fr-FR"/>
        </w:rPr>
      </w:pPr>
      <w:r>
        <w:rPr>
          <w:lang w:val="fr-FR"/>
        </w:rPr>
        <w:t>« Le destinataire n</w:t>
      </w:r>
      <w:r>
        <w:rPr>
          <w:lang w:val="fr-FR"/>
        </w:rPr>
        <w:t>’</w:t>
      </w:r>
      <w:r>
        <w:rPr>
          <w:lang w:val="fr-FR"/>
        </w:rPr>
        <w:t>a d</w:t>
      </w:r>
      <w:r>
        <w:rPr>
          <w:lang w:val="fr-FR"/>
        </w:rPr>
        <w:t>’</w:t>
      </w:r>
      <w:r>
        <w:rPr>
          <w:lang w:val="fr-FR"/>
        </w:rPr>
        <w:t>influence que sur certains aspects du transport, la citerne présentant un état fixe en ce qui concerne son isolation et l</w:t>
      </w:r>
      <w:r>
        <w:rPr>
          <w:lang w:val="fr-FR"/>
        </w:rPr>
        <w:t>’</w:t>
      </w:r>
      <w:r>
        <w:rPr>
          <w:lang w:val="fr-FR"/>
        </w:rPr>
        <w:t>état du liquide dont elle est remplie, qui provient généralement d</w:t>
      </w:r>
      <w:r>
        <w:rPr>
          <w:lang w:val="fr-FR"/>
        </w:rPr>
        <w:t>’</w:t>
      </w:r>
      <w:r>
        <w:rPr>
          <w:lang w:val="fr-FR"/>
        </w:rPr>
        <w:t xml:space="preserve">une usine et se trouve à une température et une pression prédéterminées. </w:t>
      </w:r>
      <w:r>
        <w:rPr>
          <w:u w:val="single"/>
          <w:lang w:val="fr-FR"/>
        </w:rPr>
        <w:t>Il peut veiller à ce qu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elle soit refroidie correctement et que la pression soit réduite avant le début du transport.</w:t>
      </w:r>
    </w:p>
    <w:p w14:paraId="75D28143" w14:textId="77777777" w:rsidR="005154E6" w:rsidRPr="009739DF" w:rsidRDefault="005154E6" w:rsidP="005154E6">
      <w:pPr>
        <w:pStyle w:val="SingleTxtG"/>
        <w:ind w:left="1701"/>
        <w:rPr>
          <w:lang w:val="fr-FR"/>
        </w:rPr>
      </w:pPr>
      <w:r>
        <w:rPr>
          <w:lang w:val="fr-FR"/>
        </w:rPr>
        <w:t>[…]</w:t>
      </w:r>
    </w:p>
    <w:p w14:paraId="27B5D57C" w14:textId="28CBBDF6" w:rsidR="005154E6" w:rsidRPr="009739DF" w:rsidRDefault="005154E6" w:rsidP="005154E6">
      <w:pPr>
        <w:pStyle w:val="SingleTxtG"/>
        <w:ind w:left="1701"/>
        <w:rPr>
          <w:lang w:val="fr-FR"/>
        </w:rPr>
      </w:pPr>
      <w:r>
        <w:rPr>
          <w:u w:val="single"/>
          <w:lang w:val="fr-FR"/>
        </w:rPr>
        <w:t>Après qu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une citerne a été “vidée” et lorsqu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elle est préparée pour le transport, le destinataire peut seulement veiller à ce que la pression soit réduite autant que possible avant le début du transport</w:t>
      </w:r>
      <w:r>
        <w:rPr>
          <w:lang w:val="fr-FR"/>
        </w:rPr>
        <w:t>. ».</w:t>
      </w:r>
    </w:p>
    <w:p w14:paraId="05CBD07D" w14:textId="079883CF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Sur la base du document informel INF.3 et des débats tenus au sein du groupe de travail permanent, plusieurs délégations se sont dites favorables à ce que le rôle de l</w:t>
      </w:r>
      <w:r>
        <w:rPr>
          <w:lang w:val="fr-FR"/>
        </w:rPr>
        <w:t>’</w:t>
      </w:r>
      <w:r>
        <w:rPr>
          <w:lang w:val="fr-FR"/>
        </w:rPr>
        <w:t>expéditeur soit clarifié, et ont proposé que la clarification soit intégrée au chapitre 1.4 (Obligations de sécurité des intervenants, plus précisément au</w:t>
      </w:r>
      <w:r>
        <w:rPr>
          <w:lang w:val="fr-FR"/>
        </w:rPr>
        <w:t xml:space="preserve"> </w:t>
      </w:r>
      <w:r>
        <w:rPr>
          <w:lang w:val="fr-FR"/>
        </w:rPr>
        <w:t>1.4.2.1.1</w:t>
      </w:r>
      <w:r>
        <w:rPr>
          <w:lang w:val="fr-FR"/>
        </w:rPr>
        <w:t xml:space="preserve"> </w:t>
      </w:r>
      <w:r>
        <w:rPr>
          <w:lang w:val="fr-FR"/>
        </w:rPr>
        <w:t>(Expéditeur), en ajoutant une mention des obligations particulières qui incombent à celui-ci. L</w:t>
      </w:r>
      <w:r>
        <w:rPr>
          <w:lang w:val="fr-FR"/>
        </w:rPr>
        <w:t>’</w:t>
      </w:r>
      <w:r>
        <w:rPr>
          <w:lang w:val="fr-FR"/>
        </w:rPr>
        <w:t>UIC a été invitée à présenter une proposition formelle dans ce sens à la Réunion commune RID/ADR/ADN.</w:t>
      </w:r>
    </w:p>
    <w:p w14:paraId="770A0819" w14:textId="2E02842F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Enfin, il conviendrait qu</w:t>
      </w:r>
      <w:r>
        <w:rPr>
          <w:lang w:val="fr-FR"/>
        </w:rPr>
        <w:t>’</w:t>
      </w:r>
      <w:r>
        <w:rPr>
          <w:lang w:val="fr-FR"/>
        </w:rPr>
        <w:t>une prescription semblable à celle concernant les citernes et conteneurs-citernes vides non nettoyés s</w:t>
      </w:r>
      <w:r>
        <w:rPr>
          <w:lang w:val="fr-FR"/>
        </w:rPr>
        <w:t>’</w:t>
      </w:r>
      <w:r>
        <w:rPr>
          <w:lang w:val="fr-FR"/>
        </w:rPr>
        <w:t>applique aux citernes mobiles. Une proposition en ce sens, libellée comme suit, sera soumise au Sous-Comité d</w:t>
      </w:r>
      <w:r>
        <w:rPr>
          <w:lang w:val="fr-FR"/>
        </w:rPr>
        <w:t>’</w:t>
      </w:r>
      <w:r>
        <w:rPr>
          <w:lang w:val="fr-FR"/>
        </w:rPr>
        <w:t>experts du transport des marchandises dangereuses à sa session de juin-juillet 2024</w:t>
      </w:r>
      <w:r w:rsidRPr="00C67053">
        <w:rPr>
          <w:lang w:val="fr-FR"/>
        </w:rPr>
        <w:t> </w:t>
      </w:r>
      <w:r>
        <w:rPr>
          <w:lang w:val="fr-FR"/>
        </w:rPr>
        <w:t>:</w:t>
      </w:r>
    </w:p>
    <w:p w14:paraId="56E5AC3B" w14:textId="77777777" w:rsidR="005154E6" w:rsidRPr="009C6BD8" w:rsidRDefault="005154E6" w:rsidP="005154E6">
      <w:pPr>
        <w:pStyle w:val="SingleTxtG"/>
        <w:rPr>
          <w:lang w:eastAsia="de-DE"/>
        </w:rPr>
      </w:pPr>
      <w:r>
        <w:rPr>
          <w:lang w:val="fr-FR"/>
        </w:rPr>
        <w:t>« </w:t>
      </w:r>
    </w:p>
    <w:p w14:paraId="440D24BB" w14:textId="3213FC5A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i/>
          <w:iCs/>
          <w:u w:val="single"/>
          <w:lang w:val="fr-FR"/>
        </w:rPr>
      </w:pPr>
      <w:r>
        <w:rPr>
          <w:lang w:val="fr-FR"/>
        </w:rPr>
        <w:tab/>
        <w:t>Au 4.2.3.7.1, consacré au temps de retenue réel qui doit être calculé avant chaque transport, après l</w:t>
      </w:r>
      <w:r>
        <w:rPr>
          <w:lang w:val="fr-FR"/>
        </w:rPr>
        <w:t>’</w:t>
      </w:r>
      <w:r>
        <w:rPr>
          <w:lang w:val="fr-FR"/>
        </w:rPr>
        <w:t>alinéa d), ajouter : “Il n</w:t>
      </w:r>
      <w:r>
        <w:rPr>
          <w:lang w:val="fr-FR"/>
        </w:rPr>
        <w:t>’</w:t>
      </w:r>
      <w:r>
        <w:rPr>
          <w:lang w:val="fr-FR"/>
        </w:rPr>
        <w:t>est pas nécessaire de satisfaire à ces prescriptions pour les citernes mobiles vides non nettoyées” ;</w:t>
      </w:r>
    </w:p>
    <w:p w14:paraId="4746F6D8" w14:textId="43C4CDEE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ab/>
        <w:t>Au 4.2.3.8, qui prévoit que “[l]es citernes mobiles ne doivent pas être présentées au transport”, ajouter un alinéa g) libellé comme suit : “g) Lorsqu</w:t>
      </w:r>
      <w:r>
        <w:rPr>
          <w:lang w:val="fr-FR"/>
        </w:rPr>
        <w:t>’</w:t>
      </w:r>
      <w:r>
        <w:rPr>
          <w:lang w:val="fr-FR"/>
        </w:rPr>
        <w:t>elles sont vides, non nettoyées, à moins que la pression ne soit réduite à un niveau garantissant que les dispositifs de décompression ne s</w:t>
      </w:r>
      <w:r>
        <w:rPr>
          <w:lang w:val="fr-FR"/>
        </w:rPr>
        <w:t>’</w:t>
      </w:r>
      <w:r>
        <w:rPr>
          <w:lang w:val="fr-FR"/>
        </w:rPr>
        <w:t>activeront pas pendant le transport” ;</w:t>
      </w:r>
    </w:p>
    <w:p w14:paraId="08789F4E" w14:textId="0A6D8BC8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lastRenderedPageBreak/>
        <w:tab/>
        <w:t>En raison de l</w:t>
      </w:r>
      <w:r>
        <w:rPr>
          <w:lang w:val="fr-FR"/>
        </w:rPr>
        <w:t>’</w:t>
      </w:r>
      <w:r>
        <w:rPr>
          <w:lang w:val="fr-FR"/>
        </w:rPr>
        <w:t>ajout de cet alinéa, les alinéas e) et f) doivent aussi être modifiés. Supprimer la conjonction “et” à la fin de l</w:t>
      </w:r>
      <w:r>
        <w:rPr>
          <w:lang w:val="fr-FR"/>
        </w:rPr>
        <w:t>’</w:t>
      </w:r>
      <w:r>
        <w:rPr>
          <w:lang w:val="fr-FR"/>
        </w:rPr>
        <w:t>alinéa e) et ajouter la conjonction “et” à la fin de l</w:t>
      </w:r>
      <w:r>
        <w:rPr>
          <w:lang w:val="fr-FR"/>
        </w:rPr>
        <w:t>’</w:t>
      </w:r>
      <w:r>
        <w:rPr>
          <w:lang w:val="fr-FR"/>
        </w:rPr>
        <w:t>alinéa f) ;</w:t>
      </w:r>
    </w:p>
    <w:p w14:paraId="168416DB" w14:textId="39FD4D99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ab/>
        <w:t>Il n</w:t>
      </w:r>
      <w:r>
        <w:rPr>
          <w:lang w:val="fr-FR"/>
        </w:rPr>
        <w:t>’</w:t>
      </w:r>
      <w:r>
        <w:rPr>
          <w:lang w:val="fr-FR"/>
        </w:rPr>
        <w:t>est pas nécessaire d</w:t>
      </w:r>
      <w:r>
        <w:rPr>
          <w:lang w:val="fr-FR"/>
        </w:rPr>
        <w:t>’</w:t>
      </w:r>
      <w:r>
        <w:rPr>
          <w:lang w:val="fr-FR"/>
        </w:rPr>
        <w:t>ajouter la mention “et, pour les gaz liquéfiés réfrigérés :” au 4.2.3.8 comme au 4.3.3.6 du RID et de l</w:t>
      </w:r>
      <w:r>
        <w:rPr>
          <w:lang w:val="fr-FR"/>
        </w:rPr>
        <w:t>’</w:t>
      </w:r>
      <w:r>
        <w:rPr>
          <w:lang w:val="fr-FR"/>
        </w:rPr>
        <w:t>ADR, car le 4.2.3.8 relève du 4.2.3, lequel porte exclusivement sur les gaz liquéfiés réfrigérés. Il suffit donc d</w:t>
      </w:r>
      <w:r>
        <w:rPr>
          <w:lang w:val="fr-FR"/>
        </w:rPr>
        <w:t>’</w:t>
      </w:r>
      <w:r>
        <w:rPr>
          <w:lang w:val="fr-FR"/>
        </w:rPr>
        <w:t>ajouter un alinéa</w:t>
      </w:r>
      <w:r w:rsidR="006B3B34">
        <w:rPr>
          <w:lang w:val="fr-FR"/>
        </w:rPr>
        <w:t> </w:t>
      </w:r>
      <w:r>
        <w:rPr>
          <w:lang w:val="fr-FR"/>
        </w:rPr>
        <w:t>g) pour harmoniser cette sous-section avec le 4.3.3.5 et le 4.3.3.6 du RID et de l</w:t>
      </w:r>
      <w:r>
        <w:rPr>
          <w:lang w:val="fr-FR"/>
        </w:rPr>
        <w:t>’</w:t>
      </w:r>
      <w:r>
        <w:rPr>
          <w:lang w:val="fr-FR"/>
        </w:rPr>
        <w:t>ADR. ».</w:t>
      </w:r>
    </w:p>
    <w:p w14:paraId="646D86C7" w14:textId="729EB1C7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La proposition a été débattue une première fois à la session de novembre-décembre</w:t>
      </w:r>
      <w:r w:rsidR="006B3B34">
        <w:rPr>
          <w:lang w:val="fr-FR"/>
        </w:rPr>
        <w:t xml:space="preserve"> </w:t>
      </w:r>
      <w:r>
        <w:rPr>
          <w:lang w:val="fr-FR"/>
        </w:rPr>
        <w:t xml:space="preserve">2023 du Sous-Comité. </w:t>
      </w:r>
      <w:r w:rsidRPr="006B3B34">
        <w:rPr>
          <w:lang w:val="fr-FR"/>
        </w:rPr>
        <w:t>L</w:t>
      </w:r>
      <w:r w:rsidRPr="006B3B34">
        <w:rPr>
          <w:lang w:val="fr-FR"/>
        </w:rPr>
        <w:t>’</w:t>
      </w:r>
      <w:r w:rsidRPr="006B3B34">
        <w:rPr>
          <w:lang w:val="fr-FR"/>
        </w:rPr>
        <w:t>amendement au Règlement type entrera en vigueur en 2025 si la proposition concernant les citernes mobiles est approuvée à la session de juin-juillet 2024. La proposition ci-après repose sur cette hypothèse.</w:t>
      </w:r>
    </w:p>
    <w:p w14:paraId="58D87B79" w14:textId="77777777" w:rsidR="005154E6" w:rsidRPr="009739DF" w:rsidRDefault="005154E6" w:rsidP="005154E6">
      <w:pPr>
        <w:pStyle w:val="HChG"/>
        <w:rPr>
          <w:lang w:val="fr-FR"/>
        </w:rPr>
      </w:pPr>
      <w:r>
        <w:rPr>
          <w:bCs/>
          <w:lang w:val="fr-FR"/>
        </w:rPr>
        <w:tab/>
        <w:t>IV.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0405C27A" w14:textId="609A812E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Compte tenu de ce qui précède, l</w:t>
      </w:r>
      <w:r>
        <w:rPr>
          <w:lang w:val="fr-FR"/>
        </w:rPr>
        <w:t>’</w:t>
      </w:r>
      <w:r>
        <w:rPr>
          <w:lang w:val="fr-FR"/>
        </w:rPr>
        <w:t>UIC soumet la proposition ci-après à la Réunion commune RID/ADR/ADN.</w:t>
      </w:r>
    </w:p>
    <w:p w14:paraId="6C027CE9" w14:textId="77777777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1.4.2.1.1, ajouter un alinéa f), libellé comme suit :</w:t>
      </w:r>
    </w:p>
    <w:p w14:paraId="367EF87F" w14:textId="77777777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« f) Dans le cas de citernes transportant des gaz liquéfiés réfrigérés, veiller à ce que le temps de retenue réel soit déterminé ou, dans le cas de citernes vides non nettoyées, veiller à ce que la pression soit suffisamment réduite. ».</w:t>
      </w:r>
    </w:p>
    <w:p w14:paraId="400FF1BC" w14:textId="77777777" w:rsidR="005154E6" w:rsidRPr="009739DF" w:rsidRDefault="005154E6" w:rsidP="005154E6">
      <w:pPr>
        <w:pStyle w:val="SingleTxtG"/>
        <w:rPr>
          <w:lang w:val="fr-FR" w:eastAsia="de-DE"/>
        </w:rPr>
      </w:pPr>
      <w:r w:rsidRPr="009739DF">
        <w:rPr>
          <w:lang w:val="fr-FR" w:eastAsia="de-DE"/>
        </w:rPr>
        <w:br w:type="page"/>
      </w:r>
    </w:p>
    <w:p w14:paraId="3EB98BB8" w14:textId="77777777" w:rsidR="005154E6" w:rsidRPr="009739DF" w:rsidRDefault="005154E6" w:rsidP="005154E6">
      <w:pPr>
        <w:pStyle w:val="HChG"/>
        <w:rPr>
          <w:lang w:val="fr-FR"/>
        </w:rPr>
      </w:pPr>
      <w:r>
        <w:rPr>
          <w:bCs/>
          <w:lang w:val="fr-FR"/>
        </w:rPr>
        <w:lastRenderedPageBreak/>
        <w:t>Annexe</w:t>
      </w:r>
    </w:p>
    <w:p w14:paraId="6F31E430" w14:textId="69D611F3" w:rsidR="005154E6" w:rsidRPr="009739DF" w:rsidRDefault="005154E6" w:rsidP="005154E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Résumé des débats portant sur le libellé du texte visant </w:t>
      </w:r>
      <w:r w:rsidR="00BE0A5F">
        <w:rPr>
          <w:bCs/>
          <w:lang w:val="fr-FR"/>
        </w:rPr>
        <w:br/>
      </w:r>
      <w:r>
        <w:rPr>
          <w:bCs/>
          <w:lang w:val="fr-FR"/>
        </w:rPr>
        <w:t>à clarifier le rôle de l</w:t>
      </w:r>
      <w:r>
        <w:rPr>
          <w:bCs/>
          <w:lang w:val="fr-FR"/>
        </w:rPr>
        <w:t>’</w:t>
      </w:r>
      <w:r>
        <w:rPr>
          <w:bCs/>
          <w:lang w:val="fr-FR"/>
        </w:rPr>
        <w:t xml:space="preserve">expéditeur et sur le choix du chapitre, tenus par le Groupe de travail des citernes à la session </w:t>
      </w:r>
      <w:r w:rsidR="00BE0A5F">
        <w:rPr>
          <w:bCs/>
          <w:lang w:val="fr-FR"/>
        </w:rPr>
        <w:br/>
      </w:r>
      <w:r>
        <w:rPr>
          <w:bCs/>
          <w:lang w:val="fr-FR"/>
        </w:rPr>
        <w:t>de septembre 2023 de la Réunion commune</w:t>
      </w:r>
    </w:p>
    <w:p w14:paraId="680BF72D" w14:textId="61466EEE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Groupe de travail des citernes n</w:t>
      </w:r>
      <w:r>
        <w:rPr>
          <w:lang w:val="fr-FR"/>
        </w:rPr>
        <w:t>’</w:t>
      </w:r>
      <w:r>
        <w:rPr>
          <w:lang w:val="fr-FR"/>
        </w:rPr>
        <w:t>a pas souscrit à la proposition de l</w:t>
      </w:r>
      <w:r>
        <w:rPr>
          <w:lang w:val="fr-FR"/>
        </w:rPr>
        <w:t>’</w:t>
      </w:r>
      <w:r>
        <w:rPr>
          <w:lang w:val="fr-FR"/>
        </w:rPr>
        <w:t>UIC, à savoir de préciser l</w:t>
      </w:r>
      <w:r>
        <w:rPr>
          <w:lang w:val="fr-FR"/>
        </w:rPr>
        <w:t>’</w:t>
      </w:r>
      <w:r>
        <w:rPr>
          <w:lang w:val="fr-FR"/>
        </w:rPr>
        <w:t>intervenant responsable au 4.3.3.6 du RID et de l</w:t>
      </w:r>
      <w:r>
        <w:rPr>
          <w:lang w:val="fr-FR"/>
        </w:rPr>
        <w:t>’</w:t>
      </w:r>
      <w:r>
        <w:rPr>
          <w:lang w:val="fr-FR"/>
        </w:rPr>
        <w:t>ADR, au motif que ce paragraphe n</w:t>
      </w:r>
      <w:r>
        <w:rPr>
          <w:lang w:val="fr-FR"/>
        </w:rPr>
        <w:t>’</w:t>
      </w:r>
      <w:r>
        <w:rPr>
          <w:lang w:val="fr-FR"/>
        </w:rPr>
        <w:t>était pas l</w:t>
      </w:r>
      <w:r>
        <w:rPr>
          <w:lang w:val="fr-FR"/>
        </w:rPr>
        <w:t>’</w:t>
      </w:r>
      <w:r>
        <w:rPr>
          <w:lang w:val="fr-FR"/>
        </w:rPr>
        <w:t>endroit approprié pour préciser les responsabilités des intervenants.</w:t>
      </w:r>
    </w:p>
    <w:p w14:paraId="2E166F5C" w14:textId="24B820C5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Toutefois, après ce débat, l</w:t>
      </w:r>
      <w:r>
        <w:rPr>
          <w:lang w:val="fr-FR"/>
        </w:rPr>
        <w:t>’</w:t>
      </w:r>
      <w:r>
        <w:rPr>
          <w:lang w:val="fr-FR"/>
        </w:rPr>
        <w:t xml:space="preserve">UIC a trouvé, au chapitre 4.2 du RID, des passages dans lesquels figurait une obligation de sécurité précise, incombant à un intervenant donné. </w:t>
      </w:r>
      <w:r w:rsidRPr="00B10BBC">
        <w:rPr>
          <w:lang w:val="fr-FR"/>
        </w:rPr>
        <w:t>Elle a remarqué que dans ledit chapitre, consacré à l</w:t>
      </w:r>
      <w:r w:rsidRPr="00B10BBC">
        <w:rPr>
          <w:lang w:val="fr-FR"/>
        </w:rPr>
        <w:t>’</w:t>
      </w:r>
      <w:r w:rsidRPr="00B10BBC">
        <w:rPr>
          <w:lang w:val="fr-FR"/>
        </w:rPr>
        <w:t>utilisation des citernes mobiles, au 4.2.</w:t>
      </w:r>
      <w:r>
        <w:rPr>
          <w:lang w:val="fr-FR"/>
        </w:rPr>
        <w:t>1.9.1, le RID et l</w:t>
      </w:r>
      <w:r>
        <w:rPr>
          <w:lang w:val="fr-FR"/>
        </w:rPr>
        <w:t>’</w:t>
      </w:r>
      <w:r>
        <w:rPr>
          <w:lang w:val="fr-FR"/>
        </w:rPr>
        <w:t>ADR prévoient une telle obligation mais divergent quant au participant auquel ladite obligation incombe :</w:t>
      </w:r>
    </w:p>
    <w:p w14:paraId="2DBAF97C" w14:textId="77777777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Le 4.2.1.9.1 du RID est libellé comme suit :</w:t>
      </w:r>
    </w:p>
    <w:p w14:paraId="7901D473" w14:textId="5EC43C80" w:rsidR="005154E6" w:rsidRPr="009739DF" w:rsidRDefault="005154E6" w:rsidP="005154E6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« Avant le remplissage, </w:t>
      </w:r>
      <w:r>
        <w:rPr>
          <w:u w:val="single"/>
          <w:lang w:val="fr-FR"/>
        </w:rPr>
        <w:t>le remplisseur</w:t>
      </w:r>
      <w:r>
        <w:rPr>
          <w:lang w:val="fr-FR"/>
        </w:rPr>
        <w:t xml:space="preserve"> doit s</w:t>
      </w:r>
      <w:r>
        <w:rPr>
          <w:lang w:val="fr-FR"/>
        </w:rPr>
        <w:t>’</w:t>
      </w:r>
      <w:r>
        <w:rPr>
          <w:lang w:val="fr-FR"/>
        </w:rPr>
        <w:t>assurer que la citerne mobile utilisée est du type approprié et veiller à ce qu</w:t>
      </w:r>
      <w:r>
        <w:rPr>
          <w:lang w:val="fr-FR"/>
        </w:rPr>
        <w:t>’</w:t>
      </w:r>
      <w:r>
        <w:rPr>
          <w:lang w:val="fr-FR"/>
        </w:rPr>
        <w:t>elle ne soit pas remplie de matières qui, au contact des matériaux du réservoir, des joints d</w:t>
      </w:r>
      <w:r>
        <w:rPr>
          <w:lang w:val="fr-FR"/>
        </w:rPr>
        <w:t>’</w:t>
      </w:r>
      <w:r>
        <w:rPr>
          <w:lang w:val="fr-FR"/>
        </w:rPr>
        <w:t>étanchéité, de l</w:t>
      </w:r>
      <w:r>
        <w:rPr>
          <w:lang w:val="fr-FR"/>
        </w:rPr>
        <w:t>’</w:t>
      </w:r>
      <w:r>
        <w:rPr>
          <w:lang w:val="fr-FR"/>
        </w:rPr>
        <w:t xml:space="preserve">équipement de service et des revêtements protecteurs éventuels, pourraient former des produits dangereux ou affaiblir sensiblement ces matériaux. </w:t>
      </w:r>
      <w:r>
        <w:rPr>
          <w:u w:val="single"/>
          <w:lang w:val="fr-FR"/>
        </w:rPr>
        <w:t>L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expéditeur</w:t>
      </w:r>
      <w:r>
        <w:rPr>
          <w:lang w:val="fr-FR"/>
        </w:rPr>
        <w:t xml:space="preserve"> pourra devoir demander au fabricant de la matière transportée et à l</w:t>
      </w:r>
      <w:r>
        <w:rPr>
          <w:lang w:val="fr-FR"/>
        </w:rPr>
        <w:t>’</w:t>
      </w:r>
      <w:r>
        <w:rPr>
          <w:lang w:val="fr-FR"/>
        </w:rPr>
        <w:t>autorité compétente des avis quant à la compatibilité de cette matière avec les matériaux de la citerne mobile. ».</w:t>
      </w:r>
    </w:p>
    <w:p w14:paraId="564027C7" w14:textId="459EE482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Le 4.2.1.9.1 de l</w:t>
      </w:r>
      <w:r>
        <w:rPr>
          <w:lang w:val="fr-FR"/>
        </w:rPr>
        <w:t>’</w:t>
      </w:r>
      <w:r>
        <w:rPr>
          <w:lang w:val="fr-FR"/>
        </w:rPr>
        <w:t>ADR est, quant à lui, libellé comme suit :</w:t>
      </w:r>
    </w:p>
    <w:p w14:paraId="7642DBA0" w14:textId="6306EF7A" w:rsidR="005154E6" w:rsidRPr="009739DF" w:rsidRDefault="005154E6" w:rsidP="005154E6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« Avant le remplissage, </w:t>
      </w:r>
      <w:r>
        <w:rPr>
          <w:u w:val="single"/>
          <w:lang w:val="fr-FR"/>
        </w:rPr>
        <w:t>l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expéditeur</w:t>
      </w:r>
      <w:r>
        <w:rPr>
          <w:lang w:val="fr-FR"/>
        </w:rPr>
        <w:t xml:space="preserve"> doit </w:t>
      </w:r>
      <w:r w:rsidRPr="00B10BBC">
        <w:rPr>
          <w:lang w:val="fr-FR"/>
        </w:rPr>
        <w:t>s</w:t>
      </w:r>
      <w:r w:rsidRPr="00B10BBC">
        <w:rPr>
          <w:lang w:val="fr-FR"/>
        </w:rPr>
        <w:t>’</w:t>
      </w:r>
      <w:r w:rsidRPr="00B10BBC">
        <w:rPr>
          <w:lang w:val="fr-FR"/>
        </w:rPr>
        <w:t xml:space="preserve">assurer [...]. </w:t>
      </w:r>
      <w:r w:rsidRPr="00B10BBC">
        <w:rPr>
          <w:u w:val="single"/>
          <w:lang w:val="fr-FR"/>
        </w:rPr>
        <w:t>L</w:t>
      </w:r>
      <w:r w:rsidRPr="00B10BBC">
        <w:rPr>
          <w:u w:val="single"/>
          <w:lang w:val="fr-FR"/>
        </w:rPr>
        <w:t>’</w:t>
      </w:r>
      <w:r w:rsidRPr="00B10BBC">
        <w:rPr>
          <w:u w:val="single"/>
          <w:lang w:val="fr-FR"/>
        </w:rPr>
        <w:t>expéditeur</w:t>
      </w:r>
      <w:r w:rsidRPr="00B10BBC">
        <w:rPr>
          <w:lang w:val="fr-FR"/>
        </w:rPr>
        <w:t xml:space="preserve"> pourra devoir [...]. »</w:t>
      </w:r>
    </w:p>
    <w:p w14:paraId="7DF07D43" w14:textId="4C2AF66C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Groupe de travail des citernes a en outre débattu de la possibilité de préciser l</w:t>
      </w:r>
      <w:r>
        <w:rPr>
          <w:lang w:val="fr-FR"/>
        </w:rPr>
        <w:t>’</w:t>
      </w:r>
      <w:r>
        <w:rPr>
          <w:lang w:val="fr-FR"/>
        </w:rPr>
        <w:t>obligation incombant à l</w:t>
      </w:r>
      <w:r>
        <w:rPr>
          <w:lang w:val="fr-FR"/>
        </w:rPr>
        <w:t>’</w:t>
      </w:r>
      <w:r>
        <w:rPr>
          <w:lang w:val="fr-FR"/>
        </w:rPr>
        <w:t>expéditeur (en ce qui concerne les citernes vides non nettoyées) au 1.4.2.1, consacré aux obligations des principaux intervenants, et notamment de l</w:t>
      </w:r>
      <w:r>
        <w:rPr>
          <w:lang w:val="fr-FR"/>
        </w:rPr>
        <w:t>’</w:t>
      </w:r>
      <w:r>
        <w:rPr>
          <w:lang w:val="fr-FR"/>
        </w:rPr>
        <w:t>expéditeur. Il a été avancé qu</w:t>
      </w:r>
      <w:r>
        <w:rPr>
          <w:lang w:val="fr-FR"/>
        </w:rPr>
        <w:t>’</w:t>
      </w:r>
      <w:r>
        <w:rPr>
          <w:lang w:val="fr-FR"/>
        </w:rPr>
        <w:t>au motif que les obligations figurant dans ce chapitre sont de nature générale, ne constituent pas des obligations précises et ne sont pas (censées être) exhaustives, l</w:t>
      </w:r>
      <w:r>
        <w:rPr>
          <w:lang w:val="fr-FR"/>
        </w:rPr>
        <w:t>’</w:t>
      </w:r>
      <w:r>
        <w:rPr>
          <w:lang w:val="fr-FR"/>
        </w:rPr>
        <w:t>ajout d</w:t>
      </w:r>
      <w:r>
        <w:rPr>
          <w:lang w:val="fr-FR"/>
        </w:rPr>
        <w:t>’</w:t>
      </w:r>
      <w:r>
        <w:rPr>
          <w:lang w:val="fr-FR"/>
        </w:rPr>
        <w:t xml:space="preserve">une </w:t>
      </w:r>
      <w:r w:rsidRPr="002324B4">
        <w:rPr>
          <w:lang w:val="fr-FR"/>
        </w:rPr>
        <w:t xml:space="preserve">obligation </w:t>
      </w:r>
      <w:r>
        <w:rPr>
          <w:u w:val="single"/>
          <w:lang w:val="fr-FR"/>
        </w:rPr>
        <w:t>précise</w:t>
      </w:r>
      <w:r>
        <w:rPr>
          <w:lang w:val="fr-FR"/>
        </w:rPr>
        <w:t xml:space="preserve"> ne répondrait pas à l</w:t>
      </w:r>
      <w:r>
        <w:rPr>
          <w:lang w:val="fr-FR"/>
        </w:rPr>
        <w:t>’</w:t>
      </w:r>
      <w:r>
        <w:rPr>
          <w:lang w:val="fr-FR"/>
        </w:rPr>
        <w:t>objectif de ce paragraphe.</w:t>
      </w:r>
    </w:p>
    <w:p w14:paraId="0E02622A" w14:textId="77777777" w:rsidR="005154E6" w:rsidRPr="009739DF" w:rsidRDefault="005154E6" w:rsidP="005154E6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chapitre 1.4 contient pourtant des obligations précises :</w:t>
      </w:r>
    </w:p>
    <w:p w14:paraId="0C7C8B40" w14:textId="569468C8" w:rsidR="005154E6" w:rsidRPr="009739DF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Au 1.4.3.7.1, consacré au déchargeur, tous les alinéas, sauf un, concernent des obligations précises (al</w:t>
      </w:r>
      <w:r w:rsidR="00863010">
        <w:rPr>
          <w:lang w:val="fr-FR"/>
        </w:rPr>
        <w:t>.</w:t>
      </w:r>
      <w:r>
        <w:rPr>
          <w:lang w:val="fr-FR"/>
        </w:rPr>
        <w:t xml:space="preserve"> a), b), d), e) et f)) ;</w:t>
      </w:r>
    </w:p>
    <w:p w14:paraId="0DC84B84" w14:textId="15366C9B" w:rsidR="00F9573C" w:rsidRPr="005154E6" w:rsidRDefault="005154E6" w:rsidP="005154E6">
      <w:pPr>
        <w:pStyle w:val="Bullet1G"/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 xml:space="preserve">De manière analogue, au 1.4.3.3, sur les </w:t>
      </w:r>
      <w:r w:rsidR="006E3061">
        <w:rPr>
          <w:lang w:val="fr-FR"/>
        </w:rPr>
        <w:t>11</w:t>
      </w:r>
      <w:r>
        <w:rPr>
          <w:lang w:val="fr-FR"/>
        </w:rPr>
        <w:t xml:space="preserve"> obligations de sécurité incombant au remplisseur, </w:t>
      </w:r>
      <w:r w:rsidR="00863010">
        <w:rPr>
          <w:lang w:val="fr-FR"/>
        </w:rPr>
        <w:t>10</w:t>
      </w:r>
      <w:r>
        <w:rPr>
          <w:lang w:val="fr-FR"/>
        </w:rPr>
        <w:t xml:space="preserve"> concernent des obligations précises qui lui incombent dans le cadre du 1.4.1. Seul le nota à la fin du 1.4.3.3 du RID contient une obligation d</w:t>
      </w:r>
      <w:r>
        <w:rPr>
          <w:lang w:val="fr-FR"/>
        </w:rPr>
        <w:t>’</w:t>
      </w:r>
      <w:r>
        <w:rPr>
          <w:lang w:val="fr-FR"/>
        </w:rPr>
        <w:t>ordre générale, puisqu</w:t>
      </w:r>
      <w:r>
        <w:rPr>
          <w:lang w:val="fr-FR"/>
        </w:rPr>
        <w:t>’</w:t>
      </w:r>
      <w:r>
        <w:rPr>
          <w:lang w:val="fr-FR"/>
        </w:rPr>
        <w:t>il y est précisé que le remplisseur doit établir des procédures pour s</w:t>
      </w:r>
      <w:r>
        <w:rPr>
          <w:lang w:val="fr-FR"/>
        </w:rPr>
        <w:t>’</w:t>
      </w:r>
      <w:r>
        <w:rPr>
          <w:lang w:val="fr-FR"/>
        </w:rPr>
        <w:t>assurer qu</w:t>
      </w:r>
      <w:r>
        <w:rPr>
          <w:lang w:val="fr-FR"/>
        </w:rPr>
        <w:t>’</w:t>
      </w:r>
      <w:r>
        <w:rPr>
          <w:lang w:val="fr-FR"/>
        </w:rPr>
        <w:t>il satisfait à toutes ses obligations.</w:t>
      </w:r>
    </w:p>
    <w:p w14:paraId="52617504" w14:textId="08FEE2D8" w:rsidR="005154E6" w:rsidRPr="005154E6" w:rsidRDefault="005154E6" w:rsidP="005154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54E6" w:rsidRPr="005154E6" w:rsidSect="005154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C167" w14:textId="77777777" w:rsidR="001879CB" w:rsidRDefault="001879CB" w:rsidP="00F95C08">
      <w:pPr>
        <w:spacing w:line="240" w:lineRule="auto"/>
      </w:pPr>
    </w:p>
  </w:endnote>
  <w:endnote w:type="continuationSeparator" w:id="0">
    <w:p w14:paraId="29E058CE" w14:textId="77777777" w:rsidR="001879CB" w:rsidRPr="00AC3823" w:rsidRDefault="001879CB" w:rsidP="00AC3823">
      <w:pPr>
        <w:pStyle w:val="Pieddepage"/>
      </w:pPr>
    </w:p>
  </w:endnote>
  <w:endnote w:type="continuationNotice" w:id="1">
    <w:p w14:paraId="1C82078E" w14:textId="77777777" w:rsidR="001879CB" w:rsidRDefault="001879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BB90" w14:textId="198F64FD" w:rsidR="005154E6" w:rsidRPr="005154E6" w:rsidRDefault="005154E6" w:rsidP="005154E6">
    <w:pPr>
      <w:pStyle w:val="Pieddepage"/>
      <w:tabs>
        <w:tab w:val="right" w:pos="9638"/>
      </w:tabs>
    </w:pPr>
    <w:r w:rsidRPr="005154E6">
      <w:rPr>
        <w:b/>
        <w:sz w:val="18"/>
      </w:rPr>
      <w:fldChar w:fldCharType="begin"/>
    </w:r>
    <w:r w:rsidRPr="005154E6">
      <w:rPr>
        <w:b/>
        <w:sz w:val="18"/>
      </w:rPr>
      <w:instrText xml:space="preserve"> PAGE  \* MERGEFORMAT </w:instrText>
    </w:r>
    <w:r w:rsidRPr="005154E6">
      <w:rPr>
        <w:b/>
        <w:sz w:val="18"/>
      </w:rPr>
      <w:fldChar w:fldCharType="separate"/>
    </w:r>
    <w:r w:rsidRPr="005154E6">
      <w:rPr>
        <w:b/>
        <w:noProof/>
        <w:sz w:val="18"/>
      </w:rPr>
      <w:t>2</w:t>
    </w:r>
    <w:r w:rsidRPr="005154E6">
      <w:rPr>
        <w:b/>
        <w:sz w:val="18"/>
      </w:rPr>
      <w:fldChar w:fldCharType="end"/>
    </w:r>
    <w:r>
      <w:rPr>
        <w:b/>
        <w:sz w:val="18"/>
      </w:rPr>
      <w:tab/>
    </w:r>
    <w:r>
      <w:t>GE.24-00136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061D" w14:textId="60FA8EFD" w:rsidR="005154E6" w:rsidRPr="005154E6" w:rsidRDefault="005154E6" w:rsidP="005154E6">
    <w:pPr>
      <w:pStyle w:val="Pieddepage"/>
      <w:tabs>
        <w:tab w:val="right" w:pos="9638"/>
      </w:tabs>
      <w:rPr>
        <w:b/>
        <w:sz w:val="18"/>
      </w:rPr>
    </w:pPr>
    <w:r>
      <w:t>GE.24-00136</w:t>
    </w:r>
    <w:r>
      <w:tab/>
    </w:r>
    <w:r w:rsidRPr="005154E6">
      <w:rPr>
        <w:b/>
        <w:sz w:val="18"/>
      </w:rPr>
      <w:fldChar w:fldCharType="begin"/>
    </w:r>
    <w:r w:rsidRPr="005154E6">
      <w:rPr>
        <w:b/>
        <w:sz w:val="18"/>
      </w:rPr>
      <w:instrText xml:space="preserve"> PAGE  \* MERGEFORMAT </w:instrText>
    </w:r>
    <w:r w:rsidRPr="005154E6">
      <w:rPr>
        <w:b/>
        <w:sz w:val="18"/>
      </w:rPr>
      <w:fldChar w:fldCharType="separate"/>
    </w:r>
    <w:r w:rsidRPr="005154E6">
      <w:rPr>
        <w:b/>
        <w:noProof/>
        <w:sz w:val="18"/>
      </w:rPr>
      <w:t>3</w:t>
    </w:r>
    <w:r w:rsidRPr="005154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D90" w14:textId="6B9DAF0B" w:rsidR="007F20FA" w:rsidRPr="005154E6" w:rsidRDefault="005154E6" w:rsidP="005154E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D5D519" wp14:editId="665F95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24-00136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38E170" wp14:editId="7AF213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8728701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F66">
      <w:rPr>
        <w:sz w:val="20"/>
      </w:rPr>
      <w:t xml:space="preserve">    020224    050224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29A6" w14:textId="77777777" w:rsidR="001879CB" w:rsidRPr="00AC3823" w:rsidRDefault="001879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1CE5F4" w14:textId="77777777" w:rsidR="001879CB" w:rsidRPr="00AC3823" w:rsidRDefault="001879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CFD192" w14:textId="77777777" w:rsidR="001879CB" w:rsidRPr="00AC3823" w:rsidRDefault="001879CB">
      <w:pPr>
        <w:spacing w:line="240" w:lineRule="auto"/>
        <w:rPr>
          <w:sz w:val="2"/>
          <w:szCs w:val="2"/>
        </w:rPr>
      </w:pPr>
    </w:p>
  </w:footnote>
  <w:footnote w:id="2">
    <w:p w14:paraId="372CD02A" w14:textId="0E12032F" w:rsidR="005154E6" w:rsidRPr="009739DF" w:rsidRDefault="005154E6" w:rsidP="005154E6">
      <w:pPr>
        <w:pStyle w:val="Notedebasdepage"/>
        <w:rPr>
          <w:lang w:val="fr-FR"/>
        </w:rPr>
      </w:pPr>
      <w:r>
        <w:rPr>
          <w:lang w:val="fr-FR"/>
        </w:rPr>
        <w:tab/>
      </w:r>
      <w:r w:rsidRPr="005154E6">
        <w:rPr>
          <w:sz w:val="20"/>
          <w:lang w:val="fr-FR"/>
        </w:rPr>
        <w:t>*</w:t>
      </w:r>
      <w:r w:rsidRPr="005154E6">
        <w:rPr>
          <w:sz w:val="20"/>
          <w:lang w:val="fr-FR"/>
        </w:rPr>
        <w:tab/>
      </w:r>
      <w:r>
        <w:rPr>
          <w:lang w:val="fr-FR"/>
        </w:rPr>
        <w:t>A/78/6 (Sect.</w:t>
      </w:r>
      <w:r w:rsidR="00B2280F">
        <w:rPr>
          <w:lang w:val="fr-FR"/>
        </w:rPr>
        <w:t xml:space="preserve"> </w:t>
      </w:r>
      <w:r>
        <w:rPr>
          <w:lang w:val="fr-FR"/>
        </w:rPr>
        <w:t>20), tableau 20.5.</w:t>
      </w:r>
    </w:p>
  </w:footnote>
  <w:footnote w:id="3">
    <w:p w14:paraId="4D3AB2C6" w14:textId="234EA8A0" w:rsidR="005154E6" w:rsidRPr="009739DF" w:rsidRDefault="005154E6" w:rsidP="005154E6">
      <w:pPr>
        <w:pStyle w:val="Notedebasdepage"/>
        <w:rPr>
          <w:lang w:val="fr-FR"/>
        </w:rPr>
      </w:pPr>
      <w:r>
        <w:rPr>
          <w:lang w:val="fr-FR"/>
        </w:rPr>
        <w:tab/>
      </w:r>
      <w:r w:rsidRPr="005154E6">
        <w:rPr>
          <w:sz w:val="20"/>
          <w:lang w:val="fr-FR"/>
        </w:rPr>
        <w:t>**</w:t>
      </w:r>
      <w:r w:rsidRPr="005154E6">
        <w:rPr>
          <w:sz w:val="20"/>
          <w:lang w:val="fr-FR"/>
        </w:rPr>
        <w:tab/>
      </w:r>
      <w:r>
        <w:rPr>
          <w:lang w:val="fr-FR"/>
        </w:rPr>
        <w:t>Diffusée par l</w:t>
      </w:r>
      <w:r>
        <w:rPr>
          <w:lang w:val="fr-FR"/>
        </w:rPr>
        <w:t>’</w:t>
      </w:r>
      <w:r>
        <w:rPr>
          <w:lang w:val="fr-FR"/>
        </w:rPr>
        <w:t xml:space="preserve">Organisation </w:t>
      </w:r>
      <w:proofErr w:type="spellStart"/>
      <w:r>
        <w:rPr>
          <w:lang w:val="fr-FR"/>
        </w:rPr>
        <w:t>intergouvernementale</w:t>
      </w:r>
      <w:proofErr w:type="spellEnd"/>
      <w:r>
        <w:rPr>
          <w:lang w:val="fr-FR"/>
        </w:rPr>
        <w:t xml:space="preserve"> pour les transports internationaux ferroviaires (OTIF) sous la cote OTIF/RID/RC/2024/26.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2DD4" w14:textId="6E417F8E" w:rsidR="005154E6" w:rsidRPr="005154E6" w:rsidRDefault="005154E6">
    <w:pPr>
      <w:pStyle w:val="En-tte"/>
    </w:pPr>
    <w:fldSimple w:instr=" TITLE  \* MERGEFORMAT ">
      <w:r w:rsidR="00C52EE1">
        <w:t>ECE/TRANS/WP.15/AC.1/2024/26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EB03" w14:textId="36E620C2" w:rsidR="005154E6" w:rsidRPr="005154E6" w:rsidRDefault="005154E6" w:rsidP="005154E6">
    <w:pPr>
      <w:pStyle w:val="En-tte"/>
      <w:jc w:val="right"/>
    </w:pPr>
    <w:fldSimple w:instr=" TITLE  \* MERGEFORMAT ">
      <w:r w:rsidR="00C52EE1">
        <w:t>ECE/TRANS/WP.15/AC.1/2024/26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20564498">
    <w:abstractNumId w:val="12"/>
  </w:num>
  <w:num w:numId="2" w16cid:durableId="1253316800">
    <w:abstractNumId w:val="11"/>
  </w:num>
  <w:num w:numId="3" w16cid:durableId="2051222231">
    <w:abstractNumId w:val="10"/>
  </w:num>
  <w:num w:numId="4" w16cid:durableId="1729306899">
    <w:abstractNumId w:val="8"/>
  </w:num>
  <w:num w:numId="5" w16cid:durableId="1872526936">
    <w:abstractNumId w:val="3"/>
  </w:num>
  <w:num w:numId="6" w16cid:durableId="2056392297">
    <w:abstractNumId w:val="2"/>
  </w:num>
  <w:num w:numId="7" w16cid:durableId="371654815">
    <w:abstractNumId w:val="1"/>
  </w:num>
  <w:num w:numId="8" w16cid:durableId="72359320">
    <w:abstractNumId w:val="0"/>
  </w:num>
  <w:num w:numId="9" w16cid:durableId="1773698424">
    <w:abstractNumId w:val="9"/>
  </w:num>
  <w:num w:numId="10" w16cid:durableId="223567537">
    <w:abstractNumId w:val="7"/>
  </w:num>
  <w:num w:numId="11" w16cid:durableId="1826965875">
    <w:abstractNumId w:val="6"/>
  </w:num>
  <w:num w:numId="12" w16cid:durableId="180895498">
    <w:abstractNumId w:val="5"/>
  </w:num>
  <w:num w:numId="13" w16cid:durableId="2019765993">
    <w:abstractNumId w:val="4"/>
  </w:num>
  <w:num w:numId="14" w16cid:durableId="429007040">
    <w:abstractNumId w:val="12"/>
  </w:num>
  <w:num w:numId="15" w16cid:durableId="820774177">
    <w:abstractNumId w:val="11"/>
  </w:num>
  <w:num w:numId="16" w16cid:durableId="730733549">
    <w:abstractNumId w:val="10"/>
  </w:num>
  <w:num w:numId="17" w16cid:durableId="584806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C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79C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5680"/>
    <w:rsid w:val="00441C3B"/>
    <w:rsid w:val="00446FE5"/>
    <w:rsid w:val="00452396"/>
    <w:rsid w:val="00477EB2"/>
    <w:rsid w:val="004837D8"/>
    <w:rsid w:val="004E2EED"/>
    <w:rsid w:val="004E468C"/>
    <w:rsid w:val="005154E6"/>
    <w:rsid w:val="005505B7"/>
    <w:rsid w:val="00573BE5"/>
    <w:rsid w:val="00586ED3"/>
    <w:rsid w:val="00596AA9"/>
    <w:rsid w:val="006B3B34"/>
    <w:rsid w:val="006E3061"/>
    <w:rsid w:val="0071601D"/>
    <w:rsid w:val="007A62E6"/>
    <w:rsid w:val="007F20FA"/>
    <w:rsid w:val="0080684C"/>
    <w:rsid w:val="00863010"/>
    <w:rsid w:val="00864BF0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0BBC"/>
    <w:rsid w:val="00B20E52"/>
    <w:rsid w:val="00B2280F"/>
    <w:rsid w:val="00B241F6"/>
    <w:rsid w:val="00B45F2E"/>
    <w:rsid w:val="00B765F7"/>
    <w:rsid w:val="00B77993"/>
    <w:rsid w:val="00BA0CA9"/>
    <w:rsid w:val="00BE0A5F"/>
    <w:rsid w:val="00C02897"/>
    <w:rsid w:val="00C21F66"/>
    <w:rsid w:val="00C52EE1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363A"/>
    <w:rsid w:val="00EF2E22"/>
    <w:rsid w:val="00F3176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CD95"/>
  <w15:docId w15:val="{2C37F7FC-7309-42C5-8D1B-6439326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5154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1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ga.e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47E4D-F8FD-4C70-8792-693968F32ECF}"/>
</file>

<file path=customXml/itemProps2.xml><?xml version="1.0" encoding="utf-8"?>
<ds:datastoreItem xmlns:ds="http://schemas.openxmlformats.org/officeDocument/2006/customXml" ds:itemID="{5FF902F3-B26D-49AE-A165-B43C4A2C05B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5</Pages>
  <Words>1619</Words>
  <Characters>11340</Characters>
  <Application>Microsoft Office Word</Application>
  <DocSecurity>0</DocSecurity>
  <Lines>945</Lines>
  <Paragraphs>518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ECE/TRANS/WP.15/AC.1/2024/26</vt:lpstr>
    </vt:vector>
  </TitlesOfParts>
  <Company>DCM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ECE/TRANS/WP.15/AC.1/2024/26</dc:title>
  <dc:subject/>
  <dc:creator>Corinne ROBERT</dc:creator>
  <cp:keywords/>
  <cp:lastModifiedBy>Corinne Robert</cp:lastModifiedBy>
  <cp:revision>2</cp:revision>
  <cp:lastPrinted>2024-02-05T09:03:00Z</cp:lastPrinted>
  <dcterms:created xsi:type="dcterms:W3CDTF">2024-02-05T09:05:00Z</dcterms:created>
  <dcterms:modified xsi:type="dcterms:W3CDTF">2024-02-05T09:05:00Z</dcterms:modified>
</cp:coreProperties>
</file>