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3954DE8" w14:textId="77777777" w:rsidTr="00B20551">
        <w:trPr>
          <w:cantSplit/>
          <w:trHeight w:hRule="exact" w:val="851"/>
        </w:trPr>
        <w:tc>
          <w:tcPr>
            <w:tcW w:w="1276" w:type="dxa"/>
            <w:tcBorders>
              <w:bottom w:val="single" w:sz="4" w:space="0" w:color="auto"/>
            </w:tcBorders>
            <w:vAlign w:val="bottom"/>
          </w:tcPr>
          <w:p w14:paraId="235461A7" w14:textId="77777777" w:rsidR="009E6CB7" w:rsidRDefault="009E6CB7" w:rsidP="00B20551">
            <w:pPr>
              <w:spacing w:after="80"/>
            </w:pPr>
            <w:bookmarkStart w:id="0" w:name="_Hlk155082662"/>
            <w:bookmarkEnd w:id="0"/>
          </w:p>
        </w:tc>
        <w:tc>
          <w:tcPr>
            <w:tcW w:w="2268" w:type="dxa"/>
            <w:tcBorders>
              <w:bottom w:val="single" w:sz="4" w:space="0" w:color="auto"/>
            </w:tcBorders>
            <w:vAlign w:val="bottom"/>
          </w:tcPr>
          <w:p w14:paraId="77331290"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D5C28C7" w14:textId="4093FC49" w:rsidR="009E6CB7" w:rsidRPr="00D47EEA" w:rsidRDefault="00486572" w:rsidP="00486572">
            <w:pPr>
              <w:jc w:val="right"/>
            </w:pPr>
            <w:r w:rsidRPr="00486572">
              <w:rPr>
                <w:sz w:val="40"/>
              </w:rPr>
              <w:t>ECE</w:t>
            </w:r>
            <w:r>
              <w:t>/TRANS/WP.15/AC.1/2024/26</w:t>
            </w:r>
          </w:p>
        </w:tc>
      </w:tr>
      <w:tr w:rsidR="009E6CB7" w14:paraId="15CB4399" w14:textId="77777777" w:rsidTr="00B20551">
        <w:trPr>
          <w:cantSplit/>
          <w:trHeight w:hRule="exact" w:val="2835"/>
        </w:trPr>
        <w:tc>
          <w:tcPr>
            <w:tcW w:w="1276" w:type="dxa"/>
            <w:tcBorders>
              <w:top w:val="single" w:sz="4" w:space="0" w:color="auto"/>
              <w:bottom w:val="single" w:sz="12" w:space="0" w:color="auto"/>
            </w:tcBorders>
          </w:tcPr>
          <w:p w14:paraId="21DAA19D" w14:textId="77777777" w:rsidR="009E6CB7" w:rsidRDefault="00686A48" w:rsidP="00B20551">
            <w:pPr>
              <w:spacing w:before="120"/>
            </w:pPr>
            <w:r>
              <w:rPr>
                <w:noProof/>
                <w:lang w:val="fr-CH" w:eastAsia="fr-CH"/>
              </w:rPr>
              <w:drawing>
                <wp:inline distT="0" distB="0" distL="0" distR="0" wp14:anchorId="69B3379A" wp14:editId="1B690FE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B76BFD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78D1D42" w14:textId="77777777" w:rsidR="009E6CB7" w:rsidRDefault="00486572" w:rsidP="00486572">
            <w:pPr>
              <w:spacing w:before="240" w:line="240" w:lineRule="exact"/>
            </w:pPr>
            <w:r>
              <w:t>Distr.: General</w:t>
            </w:r>
          </w:p>
          <w:p w14:paraId="4716DADC" w14:textId="4C37FDA6" w:rsidR="00486572" w:rsidRDefault="00A97CAD" w:rsidP="00486572">
            <w:pPr>
              <w:spacing w:line="240" w:lineRule="exact"/>
            </w:pPr>
            <w:r>
              <w:t>4</w:t>
            </w:r>
            <w:r w:rsidR="00486572">
              <w:t xml:space="preserve"> January 2024</w:t>
            </w:r>
          </w:p>
          <w:p w14:paraId="1F6A2DFC" w14:textId="77777777" w:rsidR="00486572" w:rsidRDefault="00486572" w:rsidP="00486572">
            <w:pPr>
              <w:spacing w:line="240" w:lineRule="exact"/>
            </w:pPr>
          </w:p>
          <w:p w14:paraId="75A9FFE7" w14:textId="4772ED78" w:rsidR="00486572" w:rsidRDefault="00486572" w:rsidP="00486572">
            <w:pPr>
              <w:spacing w:line="240" w:lineRule="exact"/>
            </w:pPr>
            <w:r>
              <w:t>Original: English</w:t>
            </w:r>
          </w:p>
        </w:tc>
      </w:tr>
    </w:tbl>
    <w:p w14:paraId="564D626E" w14:textId="77777777" w:rsidR="00486572" w:rsidRPr="00960236" w:rsidRDefault="00486572" w:rsidP="00C411EB">
      <w:pPr>
        <w:spacing w:before="120"/>
        <w:rPr>
          <w:b/>
          <w:sz w:val="28"/>
          <w:szCs w:val="28"/>
        </w:rPr>
      </w:pPr>
      <w:r w:rsidRPr="00960236">
        <w:rPr>
          <w:b/>
          <w:sz w:val="28"/>
          <w:szCs w:val="28"/>
        </w:rPr>
        <w:t>Economic Commission for Europe</w:t>
      </w:r>
    </w:p>
    <w:p w14:paraId="71C60A3F" w14:textId="77777777" w:rsidR="00486572" w:rsidRPr="00960236" w:rsidRDefault="00486572" w:rsidP="00C411EB">
      <w:pPr>
        <w:spacing w:before="120"/>
        <w:rPr>
          <w:sz w:val="28"/>
          <w:szCs w:val="28"/>
        </w:rPr>
      </w:pPr>
      <w:r w:rsidRPr="00960236">
        <w:rPr>
          <w:sz w:val="28"/>
          <w:szCs w:val="28"/>
        </w:rPr>
        <w:t>Inland Transport Committee</w:t>
      </w:r>
    </w:p>
    <w:p w14:paraId="55840F7E" w14:textId="77777777" w:rsidR="00486572" w:rsidRPr="00960236" w:rsidRDefault="00486572" w:rsidP="00C411EB">
      <w:pPr>
        <w:spacing w:before="120"/>
        <w:rPr>
          <w:b/>
          <w:sz w:val="24"/>
          <w:szCs w:val="24"/>
        </w:rPr>
      </w:pPr>
      <w:r w:rsidRPr="00960236">
        <w:rPr>
          <w:b/>
          <w:sz w:val="24"/>
          <w:szCs w:val="24"/>
        </w:rPr>
        <w:t>Working Party on the Transport of Dangerous Goods</w:t>
      </w:r>
    </w:p>
    <w:p w14:paraId="4653314F" w14:textId="77777777" w:rsidR="00486572" w:rsidRPr="00960236" w:rsidRDefault="00486572" w:rsidP="00C411EB">
      <w:pPr>
        <w:spacing w:before="120"/>
        <w:rPr>
          <w:b/>
        </w:rPr>
      </w:pPr>
      <w:r w:rsidRPr="00960236">
        <w:rPr>
          <w:b/>
        </w:rPr>
        <w:t>Joint Meeting of the RID Committee of Experts and the</w:t>
      </w:r>
      <w:r>
        <w:rPr>
          <w:b/>
        </w:rPr>
        <w:br/>
      </w:r>
      <w:r w:rsidRPr="00960236">
        <w:rPr>
          <w:b/>
        </w:rPr>
        <w:t>Working Party on the Transport of Dangerous Goods</w:t>
      </w:r>
    </w:p>
    <w:p w14:paraId="0491A26B" w14:textId="77777777" w:rsidR="0032459D" w:rsidRPr="00E12FCC" w:rsidRDefault="0032459D" w:rsidP="0032459D">
      <w:r w:rsidRPr="00E12FCC">
        <w:t xml:space="preserve">Bern, </w:t>
      </w:r>
      <w:r w:rsidRPr="005C3AB8">
        <w:rPr>
          <w:lang w:val="en-US"/>
        </w:rPr>
        <w:t>25-28 March 2024</w:t>
      </w:r>
    </w:p>
    <w:p w14:paraId="62108B8E" w14:textId="54361AD1" w:rsidR="0032459D" w:rsidRPr="00E12FCC" w:rsidRDefault="0032459D" w:rsidP="0032459D">
      <w:r w:rsidRPr="00E12FCC">
        <w:t xml:space="preserve">Item </w:t>
      </w:r>
      <w:r>
        <w:t>2</w:t>
      </w:r>
      <w:r w:rsidRPr="00E12FCC">
        <w:t xml:space="preserve"> of the provisional agenda</w:t>
      </w:r>
    </w:p>
    <w:p w14:paraId="7B9CD50D" w14:textId="7CFD0EB3" w:rsidR="001C6663" w:rsidRDefault="0032459D" w:rsidP="0032459D">
      <w:r>
        <w:rPr>
          <w:b/>
          <w:bCs/>
        </w:rPr>
        <w:t>Tanks</w:t>
      </w:r>
    </w:p>
    <w:p w14:paraId="4D899815" w14:textId="2858F2BD" w:rsidR="00745BF4" w:rsidRPr="00483063" w:rsidRDefault="00745BF4" w:rsidP="00745BF4">
      <w:pPr>
        <w:pStyle w:val="HChG"/>
        <w:rPr>
          <w:lang w:val="en-US" w:eastAsia="de-DE"/>
        </w:rPr>
      </w:pPr>
      <w:r>
        <w:rPr>
          <w:lang w:eastAsia="de-DE"/>
        </w:rPr>
        <w:tab/>
      </w:r>
      <w:r>
        <w:rPr>
          <w:lang w:eastAsia="de-DE"/>
        </w:rPr>
        <w:tab/>
      </w:r>
      <w:r w:rsidRPr="00483063">
        <w:rPr>
          <w:lang w:eastAsia="de-DE"/>
        </w:rPr>
        <w:t xml:space="preserve">Clarification of the </w:t>
      </w:r>
      <w:r>
        <w:rPr>
          <w:lang w:eastAsia="de-DE"/>
        </w:rPr>
        <w:t>role of the consignor in the expedition of tank-wagons, tank-</w:t>
      </w:r>
      <w:proofErr w:type="gramStart"/>
      <w:r>
        <w:rPr>
          <w:lang w:eastAsia="de-DE"/>
        </w:rPr>
        <w:t>containers</w:t>
      </w:r>
      <w:proofErr w:type="gramEnd"/>
      <w:r>
        <w:rPr>
          <w:lang w:eastAsia="de-DE"/>
        </w:rPr>
        <w:t xml:space="preserve"> and portable tanks for the carriage of refrigerated liquefied gases (loaded and empty uncleaned)</w:t>
      </w:r>
    </w:p>
    <w:p w14:paraId="1AA9E6D8" w14:textId="7AF48F48" w:rsidR="00745BF4" w:rsidRPr="00483063" w:rsidRDefault="00745BF4" w:rsidP="00745BF4">
      <w:pPr>
        <w:pStyle w:val="H1G"/>
        <w:rPr>
          <w:lang w:val="en-US" w:eastAsia="de-DE"/>
        </w:rPr>
      </w:pPr>
      <w:r>
        <w:rPr>
          <w:lang w:val="en-US" w:eastAsia="de-DE"/>
        </w:rPr>
        <w:tab/>
      </w:r>
      <w:r>
        <w:rPr>
          <w:lang w:val="en-US" w:eastAsia="de-DE"/>
        </w:rPr>
        <w:tab/>
        <w:t>Trans</w:t>
      </w:r>
      <w:r w:rsidRPr="00483063">
        <w:rPr>
          <w:lang w:val="en-US" w:eastAsia="de-DE"/>
        </w:rPr>
        <w:t>mitted by the International Union of Railways (UIC)</w:t>
      </w:r>
      <w:r w:rsidR="00C3704E" w:rsidRPr="00C3704E">
        <w:rPr>
          <w:rStyle w:val="FootnoteReference"/>
        </w:rPr>
        <w:t xml:space="preserve"> </w:t>
      </w:r>
      <w:r w:rsidR="00C3704E" w:rsidRPr="00E82BD0">
        <w:rPr>
          <w:rStyle w:val="FootnoteReference"/>
        </w:rPr>
        <w:footnoteReference w:customMarkFollows="1" w:id="2"/>
        <w:t xml:space="preserve">*, </w:t>
      </w:r>
      <w:r w:rsidR="00C3704E" w:rsidRPr="00E82BD0">
        <w:rPr>
          <w:rStyle w:val="FootnoteReference"/>
        </w:rPr>
        <w:footnoteReference w:customMarkFollows="1" w:id="3"/>
        <w:t>**</w:t>
      </w:r>
    </w:p>
    <w:p w14:paraId="4AB083F1" w14:textId="2B11BC90" w:rsidR="00CE7E06" w:rsidRPr="00483063" w:rsidRDefault="00C3704E" w:rsidP="00C3704E">
      <w:pPr>
        <w:pStyle w:val="HChG"/>
        <w:rPr>
          <w:lang w:eastAsia="de-DE"/>
        </w:rPr>
      </w:pPr>
      <w:r>
        <w:rPr>
          <w:lang w:eastAsia="de-DE"/>
        </w:rPr>
        <w:tab/>
      </w:r>
      <w:r w:rsidR="0077153B">
        <w:rPr>
          <w:lang w:eastAsia="de-DE"/>
        </w:rPr>
        <w:t>I.</w:t>
      </w:r>
      <w:r>
        <w:rPr>
          <w:lang w:eastAsia="de-DE"/>
        </w:rPr>
        <w:tab/>
      </w:r>
      <w:r w:rsidR="00CE7E06" w:rsidRPr="00483063">
        <w:rPr>
          <w:lang w:eastAsia="de-DE"/>
        </w:rPr>
        <w:t>Introduction</w:t>
      </w:r>
    </w:p>
    <w:p w14:paraId="747B5160" w14:textId="77777777" w:rsidR="00CE7E06" w:rsidRDefault="00CE7E06" w:rsidP="00C418F6">
      <w:pPr>
        <w:pStyle w:val="SingleTxtG"/>
        <w:rPr>
          <w:lang w:eastAsia="de-DE"/>
        </w:rPr>
      </w:pPr>
      <w:r w:rsidRPr="00483063">
        <w:rPr>
          <w:lang w:eastAsia="de-DE"/>
        </w:rPr>
        <w:t>1.</w:t>
      </w:r>
      <w:r w:rsidRPr="00483063">
        <w:rPr>
          <w:lang w:eastAsia="de-DE"/>
        </w:rPr>
        <w:tab/>
      </w:r>
      <w:r>
        <w:rPr>
          <w:lang w:eastAsia="de-DE"/>
        </w:rPr>
        <w:t xml:space="preserve">At its autumn 2023 session, the RID/ADR/ADN </w:t>
      </w:r>
      <w:r w:rsidRPr="00E33F2A">
        <w:rPr>
          <w:lang w:eastAsia="de-DE"/>
        </w:rPr>
        <w:t xml:space="preserve">Joint Meeting </w:t>
      </w:r>
      <w:r>
        <w:rPr>
          <w:lang w:eastAsia="de-DE"/>
        </w:rPr>
        <w:t>adopted the proposal from UIC (</w:t>
      </w:r>
      <w:r w:rsidRPr="00F810B3">
        <w:rPr>
          <w:lang w:eastAsia="de-DE"/>
        </w:rPr>
        <w:t>ECE/TRANS/WP.15/AC.1/2023/26</w:t>
      </w:r>
      <w:r>
        <w:rPr>
          <w:lang w:eastAsia="de-DE"/>
        </w:rPr>
        <w:t xml:space="preserve">) </w:t>
      </w:r>
      <w:r w:rsidRPr="00B457A3">
        <w:rPr>
          <w:lang w:eastAsia="de-DE"/>
        </w:rPr>
        <w:t>to</w:t>
      </w:r>
      <w:r>
        <w:rPr>
          <w:lang w:eastAsia="de-DE"/>
        </w:rPr>
        <w:t>:</w:t>
      </w:r>
    </w:p>
    <w:p w14:paraId="39EDBDCC" w14:textId="2F730ECD" w:rsidR="00CE7E06" w:rsidRPr="00FC0055" w:rsidRDefault="00CE7E06" w:rsidP="000B2357">
      <w:pPr>
        <w:pStyle w:val="Bullet1G"/>
        <w:rPr>
          <w:lang w:eastAsia="de-DE"/>
        </w:rPr>
      </w:pPr>
      <w:r>
        <w:rPr>
          <w:lang w:eastAsia="de-DE"/>
        </w:rPr>
        <w:t>A</w:t>
      </w:r>
      <w:r w:rsidRPr="00FC0055">
        <w:rPr>
          <w:lang w:eastAsia="de-DE"/>
        </w:rPr>
        <w:t xml:space="preserve">mend </w:t>
      </w:r>
      <w:r w:rsidRPr="0063541B">
        <w:rPr>
          <w:bCs/>
          <w:lang w:eastAsia="de-DE"/>
        </w:rPr>
        <w:t>4.3.3.5</w:t>
      </w:r>
      <w:r w:rsidRPr="00FC0055">
        <w:rPr>
          <w:lang w:eastAsia="de-DE"/>
        </w:rPr>
        <w:t xml:space="preserve"> by adding </w:t>
      </w:r>
      <w:r>
        <w:rPr>
          <w:lang w:eastAsia="de-DE"/>
        </w:rPr>
        <w:t>the following</w:t>
      </w:r>
      <w:r w:rsidRPr="00FC0055">
        <w:rPr>
          <w:lang w:eastAsia="de-DE"/>
        </w:rPr>
        <w:t xml:space="preserve"> new sentence </w:t>
      </w:r>
      <w:r>
        <w:rPr>
          <w:lang w:eastAsia="de-DE"/>
        </w:rPr>
        <w:t>at the end</w:t>
      </w:r>
      <w:r w:rsidRPr="00FC0055">
        <w:rPr>
          <w:lang w:eastAsia="de-DE"/>
        </w:rPr>
        <w:t xml:space="preserve">: </w:t>
      </w:r>
      <w:r w:rsidRPr="0063541B">
        <w:rPr>
          <w:lang w:eastAsia="de-DE"/>
        </w:rPr>
        <w:t>“The requirements of 4.3.3.5 need not be complied with for empty, uncleaned tanks/tank-containers.”</w:t>
      </w:r>
    </w:p>
    <w:p w14:paraId="6BFDA320" w14:textId="77777777" w:rsidR="00CE7E06" w:rsidRPr="00FC0055" w:rsidRDefault="00CE7E06" w:rsidP="000B2357">
      <w:pPr>
        <w:pStyle w:val="Bullet1G"/>
        <w:rPr>
          <w:lang w:eastAsia="de-DE"/>
        </w:rPr>
      </w:pPr>
      <w:r w:rsidRPr="00FC0055">
        <w:rPr>
          <w:lang w:eastAsia="de-DE"/>
        </w:rPr>
        <w:t xml:space="preserve">And to amend 4.3.3.6 to read (new wording in </w:t>
      </w:r>
      <w:bookmarkStart w:id="1" w:name="_Hlk152693824"/>
      <w:r w:rsidRPr="00FC0055">
        <w:rPr>
          <w:i/>
          <w:u w:val="single"/>
          <w:lang w:eastAsia="de-DE"/>
        </w:rPr>
        <w:t>italics, underlined</w:t>
      </w:r>
      <w:bookmarkEnd w:id="1"/>
      <w:r w:rsidRPr="00FC0055">
        <w:rPr>
          <w:lang w:eastAsia="de-DE"/>
        </w:rPr>
        <w:t>):</w:t>
      </w:r>
    </w:p>
    <w:p w14:paraId="7C67E48E" w14:textId="4F65A1F0" w:rsidR="00CE7E06" w:rsidRPr="002C403B" w:rsidRDefault="00CE7E06" w:rsidP="00DC047E">
      <w:pPr>
        <w:pStyle w:val="SingleTxtG"/>
        <w:ind w:left="1701"/>
        <w:rPr>
          <w:lang w:eastAsia="de-DE"/>
        </w:rPr>
      </w:pPr>
      <w:r w:rsidRPr="002C403B">
        <w:rPr>
          <w:lang w:eastAsia="de-DE"/>
        </w:rPr>
        <w:tab/>
      </w:r>
      <w:r w:rsidR="00DC047E">
        <w:rPr>
          <w:lang w:eastAsia="de-DE"/>
        </w:rPr>
        <w:t>"</w:t>
      </w:r>
      <w:r w:rsidRPr="00B457A3">
        <w:rPr>
          <w:b/>
          <w:bCs/>
          <w:lang w:eastAsia="de-DE"/>
        </w:rPr>
        <w:t>4.3.3.6</w:t>
      </w:r>
      <w:r w:rsidRPr="002C403B">
        <w:rPr>
          <w:lang w:eastAsia="de-DE"/>
        </w:rPr>
        <w:t xml:space="preserve"> Tanks/Tank-containers shall not be offered for carriage:</w:t>
      </w:r>
    </w:p>
    <w:p w14:paraId="06A50D73" w14:textId="4650356D" w:rsidR="00CE7E06" w:rsidRPr="002C403B" w:rsidRDefault="00CE7E06" w:rsidP="00DC047E">
      <w:pPr>
        <w:pStyle w:val="SingleTxtG"/>
        <w:ind w:left="2268" w:hanging="567"/>
        <w:rPr>
          <w:lang w:eastAsia="de-DE"/>
        </w:rPr>
      </w:pPr>
      <w:r w:rsidRPr="002C403B">
        <w:rPr>
          <w:lang w:eastAsia="de-DE"/>
        </w:rPr>
        <w:tab/>
      </w:r>
      <w:r w:rsidR="00DC047E">
        <w:rPr>
          <w:lang w:eastAsia="de-DE"/>
        </w:rPr>
        <w:tab/>
      </w:r>
      <w:r w:rsidRPr="002C403B">
        <w:rPr>
          <w:lang w:eastAsia="de-DE"/>
        </w:rPr>
        <w:t>(a)</w:t>
      </w:r>
      <w:r w:rsidR="009C0CC2">
        <w:rPr>
          <w:lang w:eastAsia="de-DE"/>
        </w:rPr>
        <w:tab/>
      </w:r>
      <w:r w:rsidRPr="002C403B">
        <w:rPr>
          <w:lang w:eastAsia="de-DE"/>
        </w:rPr>
        <w:t xml:space="preserve">In an ullage condition liable to produce an unacceptable hydraulic force due to surge within the </w:t>
      </w:r>
      <w:proofErr w:type="gramStart"/>
      <w:r w:rsidRPr="002C403B">
        <w:rPr>
          <w:lang w:eastAsia="de-DE"/>
        </w:rPr>
        <w:t>shell;</w:t>
      </w:r>
      <w:proofErr w:type="gramEnd"/>
    </w:p>
    <w:p w14:paraId="2AA0C2CC" w14:textId="3BAA7E46" w:rsidR="00CE7E06" w:rsidRPr="002C403B" w:rsidRDefault="00CE7E06" w:rsidP="00DC047E">
      <w:pPr>
        <w:pStyle w:val="SingleTxtG"/>
        <w:ind w:left="1701"/>
        <w:rPr>
          <w:lang w:eastAsia="de-DE"/>
        </w:rPr>
      </w:pPr>
      <w:r w:rsidRPr="002C403B">
        <w:rPr>
          <w:lang w:eastAsia="de-DE"/>
        </w:rPr>
        <w:tab/>
        <w:t>(b)</w:t>
      </w:r>
      <w:r w:rsidR="009C0CC2">
        <w:rPr>
          <w:lang w:eastAsia="de-DE"/>
        </w:rPr>
        <w:tab/>
      </w:r>
      <w:r w:rsidRPr="002C403B">
        <w:rPr>
          <w:lang w:eastAsia="de-DE"/>
        </w:rPr>
        <w:t xml:space="preserve">When </w:t>
      </w:r>
      <w:proofErr w:type="gramStart"/>
      <w:r w:rsidRPr="002C403B">
        <w:rPr>
          <w:lang w:eastAsia="de-DE"/>
        </w:rPr>
        <w:t>leaking;</w:t>
      </w:r>
      <w:proofErr w:type="gramEnd"/>
    </w:p>
    <w:p w14:paraId="4EB36AD3" w14:textId="0E1E67D3" w:rsidR="00CE7E06" w:rsidRPr="002C403B" w:rsidRDefault="00CE7E06" w:rsidP="00DC047E">
      <w:pPr>
        <w:pStyle w:val="SingleTxtG"/>
        <w:ind w:left="2268" w:hanging="567"/>
        <w:rPr>
          <w:lang w:eastAsia="de-DE"/>
        </w:rPr>
      </w:pPr>
      <w:r w:rsidRPr="002C403B">
        <w:rPr>
          <w:lang w:eastAsia="de-DE"/>
        </w:rPr>
        <w:tab/>
      </w:r>
      <w:r w:rsidR="00DC047E">
        <w:rPr>
          <w:lang w:eastAsia="de-DE"/>
        </w:rPr>
        <w:tab/>
      </w:r>
      <w:r w:rsidRPr="002C403B">
        <w:rPr>
          <w:lang w:eastAsia="de-DE"/>
        </w:rPr>
        <w:t>(c)</w:t>
      </w:r>
      <w:r w:rsidR="009C0CC2">
        <w:rPr>
          <w:lang w:eastAsia="de-DE"/>
        </w:rPr>
        <w:tab/>
      </w:r>
      <w:r w:rsidRPr="002C403B">
        <w:rPr>
          <w:lang w:eastAsia="de-DE"/>
        </w:rPr>
        <w:t xml:space="preserve">When damaged to such an extent that the integrity of the tank-container or its lifting or securing arrangements may be </w:t>
      </w:r>
      <w:proofErr w:type="gramStart"/>
      <w:r w:rsidRPr="002C403B">
        <w:rPr>
          <w:lang w:eastAsia="de-DE"/>
        </w:rPr>
        <w:t>affected;</w:t>
      </w:r>
      <w:proofErr w:type="gramEnd"/>
    </w:p>
    <w:p w14:paraId="69181260" w14:textId="3F81B93B" w:rsidR="00CE7E06" w:rsidRPr="002C403B" w:rsidRDefault="00CE7E06" w:rsidP="00DC047E">
      <w:pPr>
        <w:pStyle w:val="SingleTxtG"/>
        <w:ind w:left="2268" w:hanging="567"/>
        <w:rPr>
          <w:lang w:eastAsia="de-DE"/>
        </w:rPr>
      </w:pPr>
      <w:r w:rsidRPr="002C403B">
        <w:rPr>
          <w:lang w:eastAsia="de-DE"/>
        </w:rPr>
        <w:tab/>
      </w:r>
      <w:r w:rsidR="00DC047E">
        <w:rPr>
          <w:lang w:eastAsia="de-DE"/>
        </w:rPr>
        <w:tab/>
      </w:r>
      <w:r w:rsidRPr="002C403B">
        <w:rPr>
          <w:lang w:eastAsia="de-DE"/>
        </w:rPr>
        <w:t>(d)</w:t>
      </w:r>
      <w:r w:rsidR="009C0CC2">
        <w:rPr>
          <w:lang w:eastAsia="de-DE"/>
        </w:rPr>
        <w:tab/>
      </w:r>
      <w:r w:rsidRPr="002C403B">
        <w:rPr>
          <w:lang w:eastAsia="de-DE"/>
        </w:rPr>
        <w:t xml:space="preserve">Unless the service equipment has been examined and found to be in good working </w:t>
      </w:r>
      <w:proofErr w:type="gramStart"/>
      <w:r w:rsidRPr="002C403B">
        <w:rPr>
          <w:lang w:eastAsia="de-DE"/>
        </w:rPr>
        <w:t>order;</w:t>
      </w:r>
      <w:proofErr w:type="gramEnd"/>
      <w:r w:rsidRPr="002C403B">
        <w:rPr>
          <w:lang w:eastAsia="de-DE"/>
        </w:rPr>
        <w:t xml:space="preserve"> </w:t>
      </w:r>
    </w:p>
    <w:p w14:paraId="5B85E2BC" w14:textId="77777777" w:rsidR="00CE7E06" w:rsidRPr="002C403B" w:rsidRDefault="00CE7E06" w:rsidP="00C418F6">
      <w:pPr>
        <w:pStyle w:val="SingleTxtG"/>
        <w:rPr>
          <w:lang w:eastAsia="de-DE"/>
        </w:rPr>
      </w:pPr>
    </w:p>
    <w:p w14:paraId="3A583BC9" w14:textId="77777777" w:rsidR="00CE7E06" w:rsidRPr="00FD0EB9" w:rsidRDefault="00CE7E06" w:rsidP="0063541B">
      <w:pPr>
        <w:pStyle w:val="SingleTxtG"/>
        <w:ind w:left="1701"/>
        <w:rPr>
          <w:i/>
          <w:iCs/>
          <w:u w:val="single"/>
          <w:lang w:eastAsia="de-DE"/>
        </w:rPr>
      </w:pPr>
      <w:r w:rsidRPr="002C403B">
        <w:rPr>
          <w:lang w:eastAsia="de-DE"/>
        </w:rPr>
        <w:tab/>
      </w:r>
      <w:r w:rsidRPr="00FD0EB9">
        <w:rPr>
          <w:i/>
          <w:iCs/>
          <w:u w:val="single"/>
          <w:lang w:eastAsia="de-DE"/>
        </w:rPr>
        <w:t>and for refrigerated liquefied gases:</w:t>
      </w:r>
    </w:p>
    <w:p w14:paraId="515B4102" w14:textId="384E6B65" w:rsidR="00CE7E06" w:rsidRPr="009C1D46" w:rsidRDefault="00CE7E06" w:rsidP="0063541B">
      <w:pPr>
        <w:pStyle w:val="SingleTxtG"/>
        <w:ind w:left="2268" w:hanging="567"/>
        <w:rPr>
          <w:lang w:eastAsia="de-DE"/>
        </w:rPr>
      </w:pPr>
      <w:r w:rsidRPr="009C1D46">
        <w:rPr>
          <w:lang w:eastAsia="de-DE"/>
        </w:rPr>
        <w:lastRenderedPageBreak/>
        <w:tab/>
      </w:r>
      <w:r w:rsidR="0038457A">
        <w:rPr>
          <w:lang w:eastAsia="de-DE"/>
        </w:rPr>
        <w:tab/>
      </w:r>
      <w:r w:rsidRPr="009C1D46">
        <w:rPr>
          <w:lang w:eastAsia="de-DE"/>
        </w:rPr>
        <w:t>(e)</w:t>
      </w:r>
      <w:r w:rsidR="0038457A">
        <w:rPr>
          <w:lang w:eastAsia="de-DE"/>
        </w:rPr>
        <w:tab/>
      </w:r>
      <w:r w:rsidRPr="009C1D46">
        <w:rPr>
          <w:lang w:eastAsia="de-DE"/>
        </w:rPr>
        <w:t xml:space="preserve">Unless the actual holding time for the refrigerated liquefied gas being carried has been </w:t>
      </w:r>
      <w:proofErr w:type="gramStart"/>
      <w:r w:rsidRPr="009C1D46">
        <w:rPr>
          <w:lang w:eastAsia="de-DE"/>
        </w:rPr>
        <w:t>determined;</w:t>
      </w:r>
      <w:proofErr w:type="gramEnd"/>
    </w:p>
    <w:p w14:paraId="22EB0F6F" w14:textId="4E77161F" w:rsidR="00CE7E06" w:rsidRPr="009C1D46" w:rsidRDefault="00CE7E06" w:rsidP="0063541B">
      <w:pPr>
        <w:pStyle w:val="SingleTxtG"/>
        <w:ind w:left="2268" w:hanging="567"/>
        <w:rPr>
          <w:lang w:eastAsia="de-DE"/>
        </w:rPr>
      </w:pPr>
      <w:r w:rsidRPr="009C1D46">
        <w:rPr>
          <w:lang w:eastAsia="de-DE"/>
        </w:rPr>
        <w:tab/>
      </w:r>
      <w:r w:rsidR="0038457A">
        <w:rPr>
          <w:lang w:eastAsia="de-DE"/>
        </w:rPr>
        <w:tab/>
      </w:r>
      <w:r w:rsidRPr="009C1D46">
        <w:rPr>
          <w:lang w:eastAsia="de-DE"/>
        </w:rPr>
        <w:t>(f)</w:t>
      </w:r>
      <w:r w:rsidR="0038457A">
        <w:rPr>
          <w:lang w:eastAsia="de-DE"/>
        </w:rPr>
        <w:tab/>
      </w:r>
      <w:r w:rsidRPr="009C1D46">
        <w:rPr>
          <w:lang w:eastAsia="de-DE"/>
        </w:rPr>
        <w:t xml:space="preserve">Unless the duration of carriage, after taking into consideration any delays which might be encountered, does not exceed the actual holding </w:t>
      </w:r>
      <w:proofErr w:type="gramStart"/>
      <w:r w:rsidRPr="009C1D46">
        <w:rPr>
          <w:lang w:eastAsia="de-DE"/>
        </w:rPr>
        <w:t>time;</w:t>
      </w:r>
      <w:proofErr w:type="gramEnd"/>
    </w:p>
    <w:p w14:paraId="77A294A8" w14:textId="0BB2E3DF" w:rsidR="00CE7E06" w:rsidRPr="009C1D46" w:rsidRDefault="00CE7E06" w:rsidP="0063541B">
      <w:pPr>
        <w:pStyle w:val="SingleTxtG"/>
        <w:ind w:left="2268" w:hanging="567"/>
        <w:rPr>
          <w:lang w:eastAsia="de-DE"/>
        </w:rPr>
      </w:pPr>
      <w:r w:rsidRPr="009C1D46">
        <w:rPr>
          <w:lang w:eastAsia="de-DE"/>
        </w:rPr>
        <w:tab/>
      </w:r>
      <w:r w:rsidR="0038457A">
        <w:rPr>
          <w:lang w:eastAsia="de-DE"/>
        </w:rPr>
        <w:tab/>
      </w:r>
      <w:r w:rsidRPr="009C1D46">
        <w:rPr>
          <w:lang w:eastAsia="de-DE"/>
        </w:rPr>
        <w:t>(g)</w:t>
      </w:r>
      <w:r w:rsidR="0038457A">
        <w:rPr>
          <w:lang w:eastAsia="de-DE"/>
        </w:rPr>
        <w:tab/>
      </w:r>
      <w:r w:rsidRPr="009C1D46">
        <w:rPr>
          <w:lang w:eastAsia="de-DE"/>
        </w:rPr>
        <w:t xml:space="preserve">Unless the pressure is steady and has been lowered to a level such that the actual holding time may be </w:t>
      </w:r>
      <w:proofErr w:type="gramStart"/>
      <w:r w:rsidRPr="009C1D46">
        <w:rPr>
          <w:lang w:eastAsia="de-DE"/>
        </w:rPr>
        <w:t>achieved</w:t>
      </w:r>
      <w:r w:rsidRPr="0063541B">
        <w:rPr>
          <w:lang w:eastAsia="de-DE"/>
        </w:rPr>
        <w:t>4</w:t>
      </w:r>
      <w:r w:rsidRPr="009C1D46">
        <w:rPr>
          <w:lang w:eastAsia="de-DE"/>
        </w:rPr>
        <w:t>;</w:t>
      </w:r>
      <w:proofErr w:type="gramEnd"/>
    </w:p>
    <w:p w14:paraId="01A6BDEA" w14:textId="51B90C92" w:rsidR="00CE7E06" w:rsidRPr="000E5DEB" w:rsidRDefault="00CE7E06" w:rsidP="0063541B">
      <w:pPr>
        <w:pStyle w:val="SingleTxtG"/>
        <w:ind w:left="2268" w:hanging="567"/>
        <w:rPr>
          <w:i/>
          <w:iCs/>
          <w:u w:val="single"/>
          <w:lang w:eastAsia="de-DE"/>
        </w:rPr>
      </w:pPr>
      <w:r w:rsidRPr="009C1D46">
        <w:rPr>
          <w:lang w:eastAsia="de-DE"/>
        </w:rPr>
        <w:tab/>
      </w:r>
      <w:r w:rsidR="0038457A">
        <w:rPr>
          <w:lang w:eastAsia="de-DE"/>
        </w:rPr>
        <w:tab/>
      </w:r>
      <w:r w:rsidRPr="000E5DEB">
        <w:rPr>
          <w:i/>
          <w:iCs/>
          <w:u w:val="single"/>
          <w:lang w:eastAsia="de-DE"/>
        </w:rPr>
        <w:t>(h)</w:t>
      </w:r>
      <w:r w:rsidR="0038457A" w:rsidRPr="000E5DEB">
        <w:rPr>
          <w:i/>
          <w:iCs/>
          <w:u w:val="single"/>
          <w:lang w:eastAsia="de-DE"/>
        </w:rPr>
        <w:tab/>
      </w:r>
      <w:r w:rsidRPr="000E5DEB">
        <w:rPr>
          <w:i/>
          <w:iCs/>
          <w:u w:val="single"/>
          <w:lang w:eastAsia="de-DE"/>
        </w:rPr>
        <w:t>When empty, uncleaned, unless the pressure has been reduced to a level that ensures that the pressure relief devices will not activate during carriage</w:t>
      </w:r>
      <w:r w:rsidRPr="000E5DEB">
        <w:rPr>
          <w:b/>
          <w:bCs/>
          <w:i/>
          <w:iCs/>
          <w:u w:val="single"/>
          <w:vertAlign w:val="superscript"/>
          <w:lang w:eastAsia="de-DE"/>
        </w:rPr>
        <w:t>4</w:t>
      </w:r>
      <w:r w:rsidRPr="000E5DEB">
        <w:rPr>
          <w:i/>
          <w:iCs/>
          <w:u w:val="single"/>
          <w:lang w:eastAsia="de-DE"/>
        </w:rPr>
        <w:t>.</w:t>
      </w:r>
      <w:r w:rsidR="008F5C33" w:rsidRPr="000E5DEB">
        <w:rPr>
          <w:i/>
          <w:iCs/>
          <w:u w:val="single"/>
          <w:lang w:eastAsia="de-DE"/>
        </w:rPr>
        <w:t>"</w:t>
      </w:r>
    </w:p>
    <w:p w14:paraId="1F98B34D" w14:textId="11934CCC" w:rsidR="00CE7E06" w:rsidRDefault="00CE7E06" w:rsidP="00544844">
      <w:pPr>
        <w:pStyle w:val="SingleTxtG"/>
        <w:rPr>
          <w:lang w:eastAsia="de-DE"/>
        </w:rPr>
      </w:pPr>
      <w:r>
        <w:rPr>
          <w:lang w:eastAsia="de-DE"/>
        </w:rPr>
        <w:t>2.</w:t>
      </w:r>
      <w:r>
        <w:rPr>
          <w:lang w:eastAsia="de-DE"/>
        </w:rPr>
        <w:tab/>
        <w:t>UIC also proposed t</w:t>
      </w:r>
      <w:r w:rsidRPr="00B457A3">
        <w:rPr>
          <w:lang w:eastAsia="de-DE"/>
        </w:rPr>
        <w:t>o make explicit that what is regarded as the responsibility of the consignor, namely, to determine the holding time and to dispatch tanks which are empty not cleaned with the pressure lowered to such an extent that the pressure limiting devices will not activate during carriage by rail.</w:t>
      </w:r>
      <w:r>
        <w:rPr>
          <w:lang w:eastAsia="de-DE"/>
        </w:rPr>
        <w:t xml:space="preserve"> The Joint Meeting confirmed that these responsibilities lie with the consignor:</w:t>
      </w:r>
    </w:p>
    <w:p w14:paraId="40234F17" w14:textId="1D6BAE0C" w:rsidR="00CE7E06" w:rsidRDefault="00CE7E06" w:rsidP="00B70414">
      <w:pPr>
        <w:pStyle w:val="SingleTxtG"/>
        <w:rPr>
          <w:lang w:eastAsia="de-DE"/>
        </w:rPr>
      </w:pPr>
      <w:r>
        <w:rPr>
          <w:lang w:eastAsia="de-DE"/>
        </w:rPr>
        <w:t xml:space="preserve">From the report of the </w:t>
      </w:r>
      <w:r w:rsidRPr="0091125B">
        <w:rPr>
          <w:lang w:eastAsia="de-DE"/>
        </w:rPr>
        <w:t>Working Group on Tanks</w:t>
      </w:r>
      <w:r>
        <w:rPr>
          <w:lang w:eastAsia="de-DE"/>
        </w:rPr>
        <w:t xml:space="preserve"> (</w:t>
      </w:r>
      <w:r w:rsidRPr="0063541B">
        <w:rPr>
          <w:lang w:val="en-US" w:eastAsia="de-DE"/>
        </w:rPr>
        <w:t>ECE/TRANS/WP.15/AC.1/ 170/Add.1)</w:t>
      </w:r>
      <w:r>
        <w:rPr>
          <w:lang w:eastAsia="de-DE"/>
        </w:rPr>
        <w:t>:</w:t>
      </w:r>
    </w:p>
    <w:p w14:paraId="4774E6A4" w14:textId="5208B581" w:rsidR="00CE7E06" w:rsidRPr="00B24BB0" w:rsidRDefault="00B24BB0" w:rsidP="00CA00DB">
      <w:pPr>
        <w:pStyle w:val="SingleTxtG"/>
        <w:ind w:left="1701"/>
        <w:rPr>
          <w:i/>
          <w:iCs/>
          <w:lang w:eastAsia="de-DE"/>
        </w:rPr>
      </w:pPr>
      <w:r>
        <w:rPr>
          <w:lang w:eastAsia="de-DE"/>
        </w:rPr>
        <w:t>"</w:t>
      </w:r>
      <w:r w:rsidR="00CE7E06" w:rsidRPr="00523C61">
        <w:rPr>
          <w:i/>
          <w:iCs/>
          <w:lang w:eastAsia="de-DE"/>
        </w:rPr>
        <w:t>Item 3: Clarification of the provisions on the holding time for the carriage of tanks with refrigerated liquefied gases</w:t>
      </w:r>
    </w:p>
    <w:p w14:paraId="6AC0EBFB" w14:textId="517EEB97" w:rsidR="00CE7E06" w:rsidRPr="0063541B" w:rsidRDefault="00CE7E06" w:rsidP="00CA00DB">
      <w:pPr>
        <w:pStyle w:val="SingleTxtG"/>
        <w:ind w:left="1701"/>
        <w:rPr>
          <w:i/>
          <w:iCs/>
          <w:lang w:val="fr-FR" w:eastAsia="de-DE"/>
        </w:rPr>
      </w:pPr>
      <w:proofErr w:type="gramStart"/>
      <w:r w:rsidRPr="0063541B">
        <w:rPr>
          <w:i/>
          <w:iCs/>
          <w:lang w:val="fr-FR" w:eastAsia="de-DE"/>
        </w:rPr>
        <w:t>Document:</w:t>
      </w:r>
      <w:proofErr w:type="gramEnd"/>
      <w:r w:rsidRPr="0063541B">
        <w:rPr>
          <w:i/>
          <w:iCs/>
          <w:lang w:val="fr-FR" w:eastAsia="de-DE"/>
        </w:rPr>
        <w:t xml:space="preserve"> ECE/TRANS/WP.15/AC.1/2023/26 (UIC)</w:t>
      </w:r>
      <w:r w:rsidR="00CA00DB">
        <w:rPr>
          <w:i/>
          <w:iCs/>
          <w:lang w:val="fr-FR" w:eastAsia="de-DE"/>
        </w:rPr>
        <w:t>"</w:t>
      </w:r>
      <w:r w:rsidRPr="0063541B">
        <w:rPr>
          <w:i/>
          <w:iCs/>
          <w:lang w:val="fr-FR" w:eastAsia="de-DE"/>
        </w:rPr>
        <w:t>.</w:t>
      </w:r>
    </w:p>
    <w:p w14:paraId="1023BD6A" w14:textId="7419E0F6" w:rsidR="00CE7E06" w:rsidRPr="00E83E28" w:rsidRDefault="00CE7E06" w:rsidP="00214CC8">
      <w:pPr>
        <w:pStyle w:val="SingleTxtG"/>
        <w:ind w:left="1701"/>
        <w:rPr>
          <w:i/>
          <w:iCs/>
          <w:lang w:eastAsia="de-DE"/>
        </w:rPr>
      </w:pPr>
      <w:r w:rsidRPr="00E83E28">
        <w:rPr>
          <w:i/>
          <w:iCs/>
          <w:lang w:eastAsia="de-DE"/>
        </w:rPr>
        <w:t>5.</w:t>
      </w:r>
      <w:r>
        <w:rPr>
          <w:i/>
          <w:iCs/>
          <w:lang w:eastAsia="de-DE"/>
        </w:rPr>
        <w:tab/>
      </w:r>
      <w:r w:rsidRPr="00E83E28">
        <w:rPr>
          <w:i/>
          <w:iCs/>
          <w:lang w:eastAsia="de-DE"/>
        </w:rPr>
        <w:t>There was general support for the principle. It was agreed that the consignor is responsible for offering the empty uncleaned tank-wagons and tank-containers in a condition that the pressure relief devices are not activated during carriage.</w:t>
      </w:r>
      <w:r w:rsidR="00D811FB">
        <w:rPr>
          <w:lang w:eastAsia="de-DE"/>
        </w:rPr>
        <w:t>"</w:t>
      </w:r>
    </w:p>
    <w:p w14:paraId="427C500A" w14:textId="7DA1ED2A" w:rsidR="00CE7E06" w:rsidRPr="000A55B1" w:rsidRDefault="00CE7E06" w:rsidP="007F6C24">
      <w:pPr>
        <w:pStyle w:val="HChG"/>
        <w:rPr>
          <w:lang w:eastAsia="de-DE"/>
        </w:rPr>
      </w:pPr>
      <w:r w:rsidRPr="0091125B">
        <w:rPr>
          <w:lang w:eastAsia="de-DE"/>
        </w:rPr>
        <w:tab/>
      </w:r>
      <w:r w:rsidR="0077153B">
        <w:rPr>
          <w:lang w:eastAsia="de-DE"/>
        </w:rPr>
        <w:t>II.</w:t>
      </w:r>
      <w:r w:rsidR="007F6C24">
        <w:rPr>
          <w:lang w:eastAsia="de-DE"/>
        </w:rPr>
        <w:tab/>
      </w:r>
      <w:r w:rsidR="007F6C24">
        <w:rPr>
          <w:lang w:eastAsia="de-DE"/>
        </w:rPr>
        <w:tab/>
      </w:r>
      <w:r w:rsidRPr="000A55B1">
        <w:rPr>
          <w:lang w:eastAsia="de-DE"/>
        </w:rPr>
        <w:t>Issue</w:t>
      </w:r>
    </w:p>
    <w:p w14:paraId="3CD6E5E1" w14:textId="253B1069" w:rsidR="00CE7E06" w:rsidRPr="007F6C24" w:rsidRDefault="00CE7E06" w:rsidP="007F6C24">
      <w:pPr>
        <w:pStyle w:val="SingleTxtG"/>
      </w:pPr>
      <w:r w:rsidRPr="007F6C24">
        <w:t>3.</w:t>
      </w:r>
      <w:r w:rsidRPr="007F6C24">
        <w:tab/>
        <w:t>However, the Working Group on Tanks could not agree on a wording and choice of chapter for this clarification of the role of the consignor (for details on the discussion, see annex).</w:t>
      </w:r>
    </w:p>
    <w:p w14:paraId="27FD405E" w14:textId="6B65B77E" w:rsidR="00CE7E06" w:rsidRPr="007F6C24" w:rsidRDefault="00CE7E06" w:rsidP="007F6C24">
      <w:pPr>
        <w:pStyle w:val="SingleTxtG"/>
      </w:pPr>
      <w:r w:rsidRPr="007F6C24">
        <w:t>4.</w:t>
      </w:r>
      <w:r w:rsidRPr="007F6C24">
        <w:tab/>
        <w:t>UIC considers the amendments that were accepted by the Joint Meeting to be an improvement. Nevertheless, UIC still fears that doubts about who is responsible for fulfilling the requirements of 4.3.3.5 and 4.3.3.6 may still arise with some participants in the carriage of dangerous goods. This can in turn still lead to premature activation of the pressure limiting device(s), with all the delays and costs that go with it – and this is exactly what UIC initially set out to remedy.</w:t>
      </w:r>
    </w:p>
    <w:p w14:paraId="0DA75B76" w14:textId="77777777" w:rsidR="00CE7E06" w:rsidRPr="007F6C24" w:rsidRDefault="00CE7E06" w:rsidP="007F6C24">
      <w:pPr>
        <w:pStyle w:val="SingleTxtG"/>
      </w:pPr>
      <w:r w:rsidRPr="007F6C24">
        <w:t>5.</w:t>
      </w:r>
      <w:r w:rsidRPr="007F6C24">
        <w:tab/>
        <w:t>The removal of this ambiguity in the responsibility of the consignor is of particular importance for unaccompanied transport, such as by train or ship.</w:t>
      </w:r>
    </w:p>
    <w:p w14:paraId="24C91D2F" w14:textId="265409B3" w:rsidR="00CE7E06" w:rsidRPr="00310AF1" w:rsidRDefault="007F6C24" w:rsidP="007F6C24">
      <w:pPr>
        <w:pStyle w:val="HChG"/>
        <w:rPr>
          <w:lang w:eastAsia="de-DE"/>
        </w:rPr>
      </w:pPr>
      <w:r>
        <w:rPr>
          <w:lang w:eastAsia="de-DE"/>
        </w:rPr>
        <w:tab/>
      </w:r>
      <w:r w:rsidR="0077153B">
        <w:rPr>
          <w:lang w:eastAsia="de-DE"/>
        </w:rPr>
        <w:t>III.</w:t>
      </w:r>
      <w:r>
        <w:rPr>
          <w:lang w:eastAsia="de-DE"/>
        </w:rPr>
        <w:tab/>
      </w:r>
      <w:r w:rsidR="00CE7E06">
        <w:rPr>
          <w:lang w:eastAsia="de-DE"/>
        </w:rPr>
        <w:t>Development since September 2023 Joint Meeting</w:t>
      </w:r>
    </w:p>
    <w:p w14:paraId="619E7DB1" w14:textId="4D6AA92D" w:rsidR="00CE7E06" w:rsidRPr="004279B0" w:rsidRDefault="00CE7E06" w:rsidP="00EF389B">
      <w:pPr>
        <w:pStyle w:val="SingleTxtG"/>
        <w:rPr>
          <w:lang w:val="en-US" w:eastAsia="de-DE"/>
        </w:rPr>
      </w:pPr>
      <w:r>
        <w:rPr>
          <w:lang w:eastAsia="de-DE"/>
        </w:rPr>
        <w:t>6.</w:t>
      </w:r>
      <w:r>
        <w:rPr>
          <w:lang w:eastAsia="de-DE"/>
        </w:rPr>
        <w:tab/>
        <w:t xml:space="preserve">UIC therefore introduced to the </w:t>
      </w:r>
      <w:r w:rsidR="00025880">
        <w:rPr>
          <w:lang w:eastAsia="de-DE"/>
        </w:rPr>
        <w:t>sixteenth</w:t>
      </w:r>
      <w:r>
        <w:rPr>
          <w:lang w:eastAsia="de-DE"/>
        </w:rPr>
        <w:t xml:space="preserve"> s</w:t>
      </w:r>
      <w:r w:rsidRPr="00FD6E9F">
        <w:rPr>
          <w:lang w:eastAsia="de-DE"/>
        </w:rPr>
        <w:t>ession of the RID Committee of Experts’ standing working group</w:t>
      </w:r>
      <w:r>
        <w:rPr>
          <w:lang w:eastAsia="de-DE"/>
        </w:rPr>
        <w:t xml:space="preserve"> (20-23 November 2023, London) for reconsideration </w:t>
      </w:r>
      <w:r w:rsidRPr="00310AF1">
        <w:rPr>
          <w:lang w:eastAsia="de-DE"/>
        </w:rPr>
        <w:t xml:space="preserve">the possibility of making explicit in either </w:t>
      </w:r>
      <w:r>
        <w:rPr>
          <w:lang w:eastAsia="de-DE"/>
        </w:rPr>
        <w:t>Chapter</w:t>
      </w:r>
      <w:r w:rsidRPr="00310AF1">
        <w:rPr>
          <w:lang w:eastAsia="de-DE"/>
        </w:rPr>
        <w:t xml:space="preserve"> 1.4 or 4.3.3.6 that it is the </w:t>
      </w:r>
      <w:r w:rsidRPr="00310AF1">
        <w:rPr>
          <w:u w:val="single"/>
          <w:lang w:eastAsia="de-DE"/>
        </w:rPr>
        <w:t>consignor’s</w:t>
      </w:r>
      <w:r w:rsidRPr="00310AF1">
        <w:rPr>
          <w:lang w:eastAsia="de-DE"/>
        </w:rPr>
        <w:t xml:space="preserve"> obligation to determine the holding time and to ensure that, when empty, uncleaned, tank-wagons and tank-containers for the carriage of refrigerated liquefied gases shall not be offered for carriage unless the pressure has been reduced to a level that ensures that the pressure relief devices will not activate during carriage </w:t>
      </w:r>
      <w:r w:rsidRPr="004279B0">
        <w:rPr>
          <w:lang w:val="en-US" w:eastAsia="de-DE"/>
        </w:rPr>
        <w:t xml:space="preserve">(see informal document </w:t>
      </w:r>
      <w:hyperlink r:id="rId12" w:history="1">
        <w:r w:rsidRPr="00EF389B">
          <w:t>INF.3</w:t>
        </w:r>
      </w:hyperlink>
      <w:r w:rsidR="00A7073F">
        <w:t xml:space="preserve"> from th</w:t>
      </w:r>
      <w:r w:rsidR="006A14FB">
        <w:t xml:space="preserve">e </w:t>
      </w:r>
      <w:r w:rsidR="006A14FB">
        <w:rPr>
          <w:lang w:eastAsia="de-DE"/>
        </w:rPr>
        <w:t>sixteenth s</w:t>
      </w:r>
      <w:r w:rsidR="006A14FB" w:rsidRPr="00FD6E9F">
        <w:rPr>
          <w:lang w:eastAsia="de-DE"/>
        </w:rPr>
        <w:t>ession of the RID Committee of Experts’ standing working group</w:t>
      </w:r>
      <w:r w:rsidRPr="004279B0">
        <w:rPr>
          <w:lang w:val="en-US" w:eastAsia="de-DE"/>
        </w:rPr>
        <w:t>).</w:t>
      </w:r>
    </w:p>
    <w:p w14:paraId="3CBACBD8" w14:textId="4527E6B2" w:rsidR="00CE7E06" w:rsidRDefault="00CE7E06" w:rsidP="00EF389B">
      <w:pPr>
        <w:pStyle w:val="SingleTxtG"/>
        <w:rPr>
          <w:lang w:eastAsia="de-DE"/>
        </w:rPr>
      </w:pPr>
      <w:r>
        <w:rPr>
          <w:lang w:eastAsia="de-DE"/>
        </w:rPr>
        <w:t>7.</w:t>
      </w:r>
      <w:r>
        <w:rPr>
          <w:lang w:eastAsia="de-DE"/>
        </w:rPr>
        <w:tab/>
        <w:t>During the discussion in that meeting UIC clarified that:</w:t>
      </w:r>
    </w:p>
    <w:p w14:paraId="652AEEB0" w14:textId="0FE8F7DF" w:rsidR="00CE7E06" w:rsidRPr="002E0D8F" w:rsidRDefault="00CE7E06" w:rsidP="002E0D8F">
      <w:pPr>
        <w:pStyle w:val="Bullet1G"/>
        <w:rPr>
          <w:rFonts w:asciiTheme="majorBidi" w:hAnsiTheme="majorBidi" w:cstheme="majorBidi"/>
          <w:lang w:eastAsia="de-DE"/>
        </w:rPr>
      </w:pPr>
      <w:r w:rsidRPr="002E0D8F">
        <w:rPr>
          <w:rFonts w:asciiTheme="majorBidi" w:hAnsiTheme="majorBidi" w:cstheme="majorBidi"/>
          <w:lang w:eastAsia="de-DE"/>
        </w:rPr>
        <w:t xml:space="preserve">Lowering of the pressure of empty, uncleaned tanks has to be done as short as possible before handover for </w:t>
      </w:r>
      <w:proofErr w:type="gramStart"/>
      <w:r w:rsidRPr="002E0D8F">
        <w:rPr>
          <w:rFonts w:asciiTheme="majorBidi" w:hAnsiTheme="majorBidi" w:cstheme="majorBidi"/>
          <w:lang w:eastAsia="de-DE"/>
        </w:rPr>
        <w:t>transport;</w:t>
      </w:r>
      <w:proofErr w:type="gramEnd"/>
    </w:p>
    <w:p w14:paraId="02757B7B" w14:textId="7779D54A" w:rsidR="00CE7E06" w:rsidRPr="002E0D8F" w:rsidRDefault="00CE7E06" w:rsidP="002E0D8F">
      <w:pPr>
        <w:pStyle w:val="Bullet1G"/>
        <w:rPr>
          <w:rFonts w:asciiTheme="majorBidi" w:hAnsiTheme="majorBidi" w:cstheme="majorBidi"/>
          <w:lang w:eastAsia="de-DE"/>
        </w:rPr>
      </w:pPr>
      <w:r w:rsidRPr="002E0D8F">
        <w:rPr>
          <w:rFonts w:asciiTheme="majorBidi" w:hAnsiTheme="majorBidi" w:cstheme="majorBidi"/>
          <w:lang w:eastAsia="de-DE"/>
        </w:rPr>
        <w:t xml:space="preserve">The desired clarification of the responsibility of the consignor applies not only to his duties for empty not cleaned tanks, but to loaded tanks as </w:t>
      </w:r>
      <w:proofErr w:type="gramStart"/>
      <w:r w:rsidRPr="002E0D8F">
        <w:rPr>
          <w:rFonts w:asciiTheme="majorBidi" w:hAnsiTheme="majorBidi" w:cstheme="majorBidi"/>
          <w:lang w:eastAsia="de-DE"/>
        </w:rPr>
        <w:t>well;</w:t>
      </w:r>
      <w:proofErr w:type="gramEnd"/>
    </w:p>
    <w:p w14:paraId="01083FC4" w14:textId="77777777" w:rsidR="00CE7E06" w:rsidRPr="002E0D8F" w:rsidRDefault="00CE7E06" w:rsidP="002E0D8F">
      <w:pPr>
        <w:pStyle w:val="Bullet1G"/>
        <w:rPr>
          <w:rFonts w:asciiTheme="majorBidi" w:hAnsiTheme="majorBidi" w:cstheme="majorBidi"/>
          <w:lang w:eastAsia="de-DE"/>
        </w:rPr>
      </w:pPr>
      <w:r w:rsidRPr="002E0D8F">
        <w:rPr>
          <w:rFonts w:asciiTheme="majorBidi" w:hAnsiTheme="majorBidi" w:cstheme="majorBidi"/>
          <w:lang w:eastAsia="de-DE"/>
        </w:rPr>
        <w:lastRenderedPageBreak/>
        <w:t>In case of 4.3.3.5 (actual holding time) and 4.3.3.6 (offering of tanks for carriage) the consignor is responsible for the fulfilment of the whole paragraph, notwithstanding the fact that the task of determining the actual holding time or offering a tank for carriage and of carrying out the required checks in 4.3.3.6 before doing so may be carried out by other actors than the consignor (for example the unloader). This is also clearly stated in RID/ADR/ADN 1.4.2.1.2.</w:t>
      </w:r>
    </w:p>
    <w:p w14:paraId="1F23655E" w14:textId="17F86954" w:rsidR="00CE7E06" w:rsidRDefault="00CE7E06" w:rsidP="002E0D8F">
      <w:pPr>
        <w:pStyle w:val="Bullet1G"/>
        <w:rPr>
          <w:rFonts w:asciiTheme="majorBidi" w:hAnsiTheme="majorBidi" w:cstheme="majorBidi"/>
          <w:lang w:eastAsia="de-DE"/>
        </w:rPr>
      </w:pPr>
      <w:r w:rsidRPr="002E0D8F">
        <w:rPr>
          <w:rFonts w:asciiTheme="majorBidi" w:hAnsiTheme="majorBidi" w:cstheme="majorBidi"/>
          <w:lang w:eastAsia="de-DE"/>
        </w:rPr>
        <w:t xml:space="preserve">It is therefore in the consignor's interest to give clear instructions for the different actors along the transport chain of the tank, and it is in that light that EIGA elaborated its guidance document “Methods to prevent the premature activation of relief devices on tanks” (available at </w:t>
      </w:r>
      <w:hyperlink r:id="rId13" w:history="1">
        <w:r w:rsidRPr="002E0D8F">
          <w:rPr>
            <w:rStyle w:val="Hyperlink"/>
            <w:rFonts w:asciiTheme="majorBidi" w:hAnsiTheme="majorBidi" w:cstheme="majorBidi"/>
            <w:lang w:eastAsia="de-DE"/>
          </w:rPr>
          <w:t>www.eiga.eu</w:t>
        </w:r>
      </w:hyperlink>
      <w:r w:rsidRPr="002E0D8F">
        <w:rPr>
          <w:rFonts w:asciiTheme="majorBidi" w:hAnsiTheme="majorBidi" w:cstheme="majorBidi"/>
          <w:lang w:eastAsia="de-DE"/>
        </w:rPr>
        <w:t xml:space="preserve">). Relevant extract from that document, paragraph 4.5.4 Tank Journey, notably </w:t>
      </w:r>
      <w:r w:rsidR="007354C0">
        <w:rPr>
          <w:rFonts w:asciiTheme="majorBidi" w:hAnsiTheme="majorBidi" w:cstheme="majorBidi"/>
          <w:lang w:eastAsia="de-DE"/>
        </w:rPr>
        <w:t>underlined</w:t>
      </w:r>
      <w:r w:rsidRPr="002E0D8F">
        <w:rPr>
          <w:rFonts w:asciiTheme="majorBidi" w:hAnsiTheme="majorBidi" w:cstheme="majorBidi"/>
          <w:lang w:eastAsia="de-DE"/>
        </w:rPr>
        <w:t xml:space="preserve"> text:</w:t>
      </w:r>
    </w:p>
    <w:p w14:paraId="54578991" w14:textId="0235A3EE" w:rsidR="007354C0" w:rsidRDefault="00B26F3C" w:rsidP="007354C0">
      <w:pPr>
        <w:pStyle w:val="SingleTxtG"/>
        <w:ind w:left="1701"/>
        <w:rPr>
          <w:lang w:eastAsia="de-DE"/>
        </w:rPr>
      </w:pPr>
      <w:r>
        <w:rPr>
          <w:lang w:eastAsia="de-DE"/>
        </w:rPr>
        <w:t>"</w:t>
      </w:r>
      <w:r w:rsidR="007354C0">
        <w:rPr>
          <w:lang w:eastAsia="de-DE"/>
        </w:rPr>
        <w:t xml:space="preserve">The consignee can only influence certain aspects of the process; the condition of the tank is fixed </w:t>
      </w:r>
      <w:proofErr w:type="gramStart"/>
      <w:r w:rsidR="007354C0">
        <w:rPr>
          <w:lang w:eastAsia="de-DE"/>
        </w:rPr>
        <w:t>i.e.</w:t>
      </w:r>
      <w:proofErr w:type="gramEnd"/>
      <w:r w:rsidR="007354C0">
        <w:rPr>
          <w:lang w:eastAsia="de-DE"/>
        </w:rPr>
        <w:t xml:space="preserve"> the state of the insulation, the condition of the liquid that is being filled, this will typically come from a plant, and will be at a fixed temperature and pressure. </w:t>
      </w:r>
      <w:r w:rsidR="007354C0" w:rsidRPr="0063541B">
        <w:rPr>
          <w:u w:val="single"/>
          <w:lang w:eastAsia="de-DE"/>
        </w:rPr>
        <w:t>What can be influenced by the consignee is that the tank is cooled down correctly and the pressure is lowered prior to the journey commencing.</w:t>
      </w:r>
    </w:p>
    <w:p w14:paraId="297F2381" w14:textId="64C85A37" w:rsidR="007354C0" w:rsidRDefault="007354C0" w:rsidP="007354C0">
      <w:pPr>
        <w:pStyle w:val="SingleTxtG"/>
        <w:ind w:left="1701"/>
        <w:rPr>
          <w:lang w:eastAsia="de-DE"/>
        </w:rPr>
      </w:pPr>
      <w:r>
        <w:rPr>
          <w:lang w:eastAsia="de-DE"/>
        </w:rPr>
        <w:t>[…]</w:t>
      </w:r>
    </w:p>
    <w:p w14:paraId="733F7618" w14:textId="4EF3A0CA" w:rsidR="00B26F3C" w:rsidRDefault="007354C0" w:rsidP="007354C0">
      <w:pPr>
        <w:pStyle w:val="SingleTxtG"/>
        <w:ind w:left="1701"/>
        <w:rPr>
          <w:lang w:eastAsia="de-DE"/>
        </w:rPr>
      </w:pPr>
      <w:r w:rsidRPr="0063541B">
        <w:rPr>
          <w:u w:val="single"/>
          <w:lang w:eastAsia="de-DE"/>
        </w:rPr>
        <w:t xml:space="preserve">When a full tank has been "emptied" and is being prepared for transport the only influence that the consignee can have </w:t>
      </w:r>
      <w:proofErr w:type="gramStart"/>
      <w:r w:rsidRPr="0063541B">
        <w:rPr>
          <w:u w:val="single"/>
          <w:lang w:eastAsia="de-DE"/>
        </w:rPr>
        <w:t>is</w:t>
      </w:r>
      <w:proofErr w:type="gramEnd"/>
      <w:r w:rsidRPr="0063541B">
        <w:rPr>
          <w:u w:val="single"/>
          <w:lang w:eastAsia="de-DE"/>
        </w:rPr>
        <w:t xml:space="preserve"> to lower the tank pressure as far as possible prior to the journey commencing.</w:t>
      </w:r>
      <w:r w:rsidR="00B26F3C">
        <w:rPr>
          <w:lang w:eastAsia="de-DE"/>
        </w:rPr>
        <w:t>"</w:t>
      </w:r>
    </w:p>
    <w:p w14:paraId="6565F9EE" w14:textId="2FED6F4B" w:rsidR="00CE7E06" w:rsidRDefault="00CE7E06" w:rsidP="006B7E64">
      <w:pPr>
        <w:pStyle w:val="SingleTxtG"/>
        <w:rPr>
          <w:lang w:eastAsia="de-DE"/>
        </w:rPr>
      </w:pPr>
      <w:r>
        <w:rPr>
          <w:lang w:eastAsia="de-DE"/>
        </w:rPr>
        <w:t>8.</w:t>
      </w:r>
      <w:r>
        <w:rPr>
          <w:lang w:eastAsia="de-DE"/>
        </w:rPr>
        <w:tab/>
        <w:t xml:space="preserve">Based on informal document INF.3 and the discussion in the standing working group, several delegations expressed their support for including a clarification of the role of the consignor, and they proposed to place that in Chapter 1.4 ‘Safety obligations of the participants’, specifically in 1.4.2.1.1 ‘consignor’, by adding a new reference to the </w:t>
      </w:r>
      <w:proofErr w:type="gramStart"/>
      <w:r>
        <w:rPr>
          <w:lang w:eastAsia="de-DE"/>
        </w:rPr>
        <w:t>particular obligations</w:t>
      </w:r>
      <w:proofErr w:type="gramEnd"/>
      <w:r>
        <w:rPr>
          <w:lang w:eastAsia="de-DE"/>
        </w:rPr>
        <w:t xml:space="preserve"> he has to fulfil. UIC was asked to present a formal proposal along these lines to the RID/ADR/ADN Joint Meeting.</w:t>
      </w:r>
    </w:p>
    <w:p w14:paraId="5F3B0DDB" w14:textId="66E95DEF" w:rsidR="00CE7E06" w:rsidRDefault="00CE7E06" w:rsidP="006B7E64">
      <w:pPr>
        <w:pStyle w:val="SingleTxtG"/>
        <w:rPr>
          <w:lang w:eastAsia="de-DE"/>
        </w:rPr>
      </w:pPr>
      <w:r>
        <w:rPr>
          <w:lang w:eastAsia="de-DE"/>
        </w:rPr>
        <w:t>9.</w:t>
      </w:r>
      <w:r>
        <w:rPr>
          <w:lang w:eastAsia="de-DE"/>
        </w:rPr>
        <w:tab/>
        <w:t>Lastly, the specification for empty, uncleaned tanks and tank-containers should be extended to portable tanks. A proposal to that extent will be submitted to the UN Sub-Committee on the Transport of Dangerous Goods of June-July 2024</w:t>
      </w:r>
      <w:r w:rsidRPr="009C6BD8">
        <w:rPr>
          <w:lang w:eastAsia="de-DE"/>
        </w:rPr>
        <w:t>:</w:t>
      </w:r>
    </w:p>
    <w:p w14:paraId="491F4131" w14:textId="53926D93" w:rsidR="00497124" w:rsidRPr="009C6BD8" w:rsidRDefault="00497124" w:rsidP="006B7E64">
      <w:pPr>
        <w:pStyle w:val="SingleTxtG"/>
        <w:rPr>
          <w:lang w:eastAsia="de-DE"/>
        </w:rPr>
      </w:pPr>
      <w:r>
        <w:rPr>
          <w:lang w:eastAsia="de-DE"/>
        </w:rPr>
        <w:t>"</w:t>
      </w:r>
    </w:p>
    <w:p w14:paraId="539288A6" w14:textId="21C5795C" w:rsidR="00CE7E06" w:rsidRPr="009C6BD8" w:rsidRDefault="00CE7E06" w:rsidP="0069744C">
      <w:pPr>
        <w:pStyle w:val="Bullet1G"/>
        <w:rPr>
          <w:i/>
          <w:iCs/>
          <w:u w:val="single"/>
          <w:lang w:eastAsia="de-DE"/>
        </w:rPr>
      </w:pPr>
      <w:r w:rsidRPr="009C6BD8">
        <w:rPr>
          <w:lang w:eastAsia="de-DE"/>
        </w:rPr>
        <w:tab/>
        <w:t xml:space="preserve">In </w:t>
      </w:r>
      <w:r w:rsidRPr="0063541B">
        <w:rPr>
          <w:bCs/>
          <w:lang w:eastAsia="de-DE"/>
        </w:rPr>
        <w:t>4.2.3.7.1</w:t>
      </w:r>
      <w:r w:rsidRPr="009C6BD8">
        <w:rPr>
          <w:lang w:eastAsia="de-DE"/>
        </w:rPr>
        <w:t xml:space="preserve">, which refers to the actual holding time to be calculated before each journey, add after paragraph (d): </w:t>
      </w:r>
      <w:r w:rsidRPr="0063541B">
        <w:rPr>
          <w:u w:val="single"/>
          <w:lang w:eastAsia="de-DE"/>
        </w:rPr>
        <w:t>"</w:t>
      </w:r>
      <w:r w:rsidRPr="0063541B">
        <w:rPr>
          <w:iCs/>
          <w:lang w:eastAsia="de-DE"/>
        </w:rPr>
        <w:t>These requirements need not be complied with for empty portable tanks not cleaned.</w:t>
      </w:r>
      <w:r>
        <w:rPr>
          <w:iCs/>
          <w:lang w:eastAsia="de-DE"/>
        </w:rPr>
        <w:t>"</w:t>
      </w:r>
    </w:p>
    <w:p w14:paraId="55817AFE" w14:textId="77777777" w:rsidR="00CE7E06" w:rsidRPr="009C6BD8" w:rsidRDefault="00CE7E06" w:rsidP="0069744C">
      <w:pPr>
        <w:pStyle w:val="Bullet1G"/>
        <w:rPr>
          <w:lang w:eastAsia="de-DE"/>
        </w:rPr>
      </w:pPr>
      <w:r w:rsidRPr="009C6BD8">
        <w:rPr>
          <w:lang w:eastAsia="de-DE"/>
        </w:rPr>
        <w:tab/>
        <w:t xml:space="preserve">In </w:t>
      </w:r>
      <w:r w:rsidRPr="0063541B">
        <w:rPr>
          <w:bCs/>
          <w:lang w:eastAsia="de-DE"/>
        </w:rPr>
        <w:t>4.2.3.8</w:t>
      </w:r>
      <w:r w:rsidRPr="009C6BD8">
        <w:rPr>
          <w:lang w:eastAsia="de-DE"/>
        </w:rPr>
        <w:t xml:space="preserve">, which says “Portable tanks shall not be offered for transport”, add a paragraph (g): </w:t>
      </w:r>
      <w:r w:rsidRPr="0063541B">
        <w:rPr>
          <w:u w:val="single"/>
          <w:lang w:eastAsia="de-DE"/>
        </w:rPr>
        <w:t>"</w:t>
      </w:r>
      <w:r>
        <w:rPr>
          <w:u w:val="single"/>
          <w:lang w:eastAsia="de-DE"/>
        </w:rPr>
        <w:t xml:space="preserve">g) </w:t>
      </w:r>
      <w:r w:rsidRPr="0063541B">
        <w:rPr>
          <w:iCs/>
          <w:lang w:eastAsia="de-DE"/>
        </w:rPr>
        <w:t>When empty, uncleaned, unless the pressure has been reduced to a level that ensures that the pressure relief devices will not activate during transport.</w:t>
      </w:r>
      <w:r>
        <w:rPr>
          <w:iCs/>
          <w:lang w:eastAsia="de-DE"/>
        </w:rPr>
        <w:t>"</w:t>
      </w:r>
    </w:p>
    <w:p w14:paraId="4C3D683D" w14:textId="2FCD889A" w:rsidR="00CE7E06" w:rsidRPr="009C6BD8" w:rsidRDefault="00CE7E06" w:rsidP="0069744C">
      <w:pPr>
        <w:pStyle w:val="Bullet1G"/>
        <w:rPr>
          <w:lang w:eastAsia="de-DE"/>
        </w:rPr>
      </w:pPr>
      <w:r w:rsidRPr="009C6BD8">
        <w:rPr>
          <w:lang w:eastAsia="de-DE"/>
        </w:rPr>
        <w:tab/>
        <w:t xml:space="preserve">Because a paragraph has been added, a change to (e) and (f) of this </w:t>
      </w:r>
      <w:r>
        <w:rPr>
          <w:lang w:eastAsia="de-DE"/>
        </w:rPr>
        <w:t>sub-section</w:t>
      </w:r>
      <w:r w:rsidRPr="009C6BD8">
        <w:rPr>
          <w:lang w:eastAsia="de-DE"/>
        </w:rPr>
        <w:t xml:space="preserve"> is also necessary: deleting the word “and” at the end of (e) and adding the word “and” at the end of (f).</w:t>
      </w:r>
    </w:p>
    <w:p w14:paraId="01F5E612" w14:textId="092B1D56" w:rsidR="00CE7E06" w:rsidRPr="00E57BD1" w:rsidRDefault="00CE7E06" w:rsidP="0069744C">
      <w:pPr>
        <w:pStyle w:val="Bullet1G"/>
        <w:rPr>
          <w:lang w:eastAsia="de-DE"/>
        </w:rPr>
      </w:pPr>
      <w:r>
        <w:rPr>
          <w:lang w:eastAsia="de-DE"/>
        </w:rPr>
        <w:tab/>
      </w:r>
      <w:r w:rsidRPr="00B7065D">
        <w:rPr>
          <w:lang w:eastAsia="de-DE"/>
        </w:rPr>
        <w:t xml:space="preserve">The addition </w:t>
      </w:r>
      <w:r w:rsidRPr="008623ED">
        <w:rPr>
          <w:lang w:eastAsia="de-DE"/>
        </w:rPr>
        <w:t>“</w:t>
      </w:r>
      <w:r w:rsidRPr="0063541B">
        <w:rPr>
          <w:iCs/>
          <w:lang w:eastAsia="de-DE"/>
        </w:rPr>
        <w:t>and for refrigerated liquefied gases:</w:t>
      </w:r>
      <w:r w:rsidRPr="008623ED">
        <w:rPr>
          <w:lang w:eastAsia="de-DE"/>
        </w:rPr>
        <w:t>”</w:t>
      </w:r>
      <w:r>
        <w:rPr>
          <w:lang w:eastAsia="de-DE"/>
        </w:rPr>
        <w:t xml:space="preserve"> </w:t>
      </w:r>
      <w:r w:rsidRPr="00B7065D">
        <w:rPr>
          <w:lang w:eastAsia="de-DE"/>
        </w:rPr>
        <w:t xml:space="preserve">as done in </w:t>
      </w:r>
      <w:r>
        <w:rPr>
          <w:lang w:eastAsia="de-DE"/>
        </w:rPr>
        <w:t xml:space="preserve">RID/ADR </w:t>
      </w:r>
      <w:r w:rsidRPr="00B7065D">
        <w:rPr>
          <w:lang w:eastAsia="de-DE"/>
        </w:rPr>
        <w:t>4.3.3.6 is not necessary</w:t>
      </w:r>
      <w:r>
        <w:rPr>
          <w:lang w:eastAsia="de-DE"/>
        </w:rPr>
        <w:t xml:space="preserve"> for 4.2.3.8</w:t>
      </w:r>
      <w:r w:rsidRPr="00B7065D">
        <w:rPr>
          <w:lang w:eastAsia="de-DE"/>
        </w:rPr>
        <w:t xml:space="preserve">, because </w:t>
      </w:r>
      <w:r>
        <w:rPr>
          <w:lang w:eastAsia="de-DE"/>
        </w:rPr>
        <w:t>this paragraph</w:t>
      </w:r>
      <w:r w:rsidRPr="00B7065D">
        <w:rPr>
          <w:lang w:eastAsia="de-DE"/>
        </w:rPr>
        <w:t xml:space="preserve"> falls under 4.2.3, which is </w:t>
      </w:r>
      <w:r>
        <w:rPr>
          <w:lang w:eastAsia="de-DE"/>
        </w:rPr>
        <w:t>exclusively</w:t>
      </w:r>
      <w:r w:rsidRPr="00B7065D">
        <w:rPr>
          <w:lang w:eastAsia="de-DE"/>
        </w:rPr>
        <w:t xml:space="preserve"> </w:t>
      </w:r>
      <w:r>
        <w:rPr>
          <w:lang w:eastAsia="de-DE"/>
        </w:rPr>
        <w:t xml:space="preserve">for </w:t>
      </w:r>
      <w:r w:rsidRPr="00B7065D">
        <w:rPr>
          <w:lang w:eastAsia="de-DE"/>
        </w:rPr>
        <w:t xml:space="preserve">refrigerated liquefied gases. </w:t>
      </w:r>
      <w:proofErr w:type="gramStart"/>
      <w:r w:rsidRPr="00B7065D">
        <w:rPr>
          <w:lang w:eastAsia="de-DE"/>
        </w:rPr>
        <w:t>Therefore</w:t>
      </w:r>
      <w:proofErr w:type="gramEnd"/>
      <w:r w:rsidRPr="00B7065D">
        <w:rPr>
          <w:lang w:eastAsia="de-DE"/>
        </w:rPr>
        <w:t xml:space="preserve"> only the addition of (g) is required </w:t>
      </w:r>
      <w:r>
        <w:rPr>
          <w:lang w:eastAsia="de-DE"/>
        </w:rPr>
        <w:t xml:space="preserve">for the sub-section </w:t>
      </w:r>
      <w:r w:rsidRPr="00B7065D">
        <w:rPr>
          <w:lang w:eastAsia="de-DE"/>
        </w:rPr>
        <w:t>to be aligned with</w:t>
      </w:r>
      <w:r>
        <w:rPr>
          <w:lang w:eastAsia="de-DE"/>
        </w:rPr>
        <w:t xml:space="preserve"> RID/ADR</w:t>
      </w:r>
      <w:r w:rsidRPr="00B7065D">
        <w:rPr>
          <w:lang w:eastAsia="de-DE"/>
        </w:rPr>
        <w:t xml:space="preserve"> </w:t>
      </w:r>
      <w:r>
        <w:rPr>
          <w:lang w:eastAsia="de-DE"/>
        </w:rPr>
        <w:t>4</w:t>
      </w:r>
      <w:r w:rsidRPr="00B7065D">
        <w:rPr>
          <w:lang w:eastAsia="de-DE"/>
        </w:rPr>
        <w:t>.3.3.5 and 4.3.3.6.</w:t>
      </w:r>
      <w:r w:rsidR="00497124">
        <w:rPr>
          <w:lang w:eastAsia="de-DE"/>
        </w:rPr>
        <w:t>"</w:t>
      </w:r>
    </w:p>
    <w:p w14:paraId="660B21C0" w14:textId="56111288" w:rsidR="00CE7E06" w:rsidRDefault="00CE7E06" w:rsidP="006B7E64">
      <w:pPr>
        <w:pStyle w:val="SingleTxtG"/>
        <w:rPr>
          <w:lang w:eastAsia="de-DE"/>
        </w:rPr>
      </w:pPr>
      <w:r>
        <w:rPr>
          <w:lang w:eastAsia="de-DE"/>
        </w:rPr>
        <w:t>10.</w:t>
      </w:r>
      <w:r>
        <w:rPr>
          <w:lang w:eastAsia="de-DE"/>
        </w:rPr>
        <w:tab/>
        <w:t xml:space="preserve">A first discussion on this proposal was held in the Sub-Committee meeting of November/December 2023. If the proposal for portable tanks is approved, the amendment to the Model Regulations will enter into force in 2025. The proposal below </w:t>
      </w:r>
      <w:proofErr w:type="gramStart"/>
      <w:r>
        <w:rPr>
          <w:lang w:eastAsia="de-DE"/>
        </w:rPr>
        <w:t>is based on the assumption</w:t>
      </w:r>
      <w:proofErr w:type="gramEnd"/>
      <w:r>
        <w:rPr>
          <w:lang w:eastAsia="de-DE"/>
        </w:rPr>
        <w:t xml:space="preserve"> that the requested amendments for portable tanks are approved in June-/July 2024.</w:t>
      </w:r>
    </w:p>
    <w:p w14:paraId="1C497AC8" w14:textId="68AF43C4" w:rsidR="00CE7E06" w:rsidRPr="006950B8" w:rsidRDefault="004F62C1" w:rsidP="004F62C1">
      <w:pPr>
        <w:pStyle w:val="HChG"/>
        <w:rPr>
          <w:lang w:eastAsia="de-DE"/>
        </w:rPr>
      </w:pPr>
      <w:r>
        <w:rPr>
          <w:lang w:eastAsia="de-DE"/>
        </w:rPr>
        <w:lastRenderedPageBreak/>
        <w:tab/>
      </w:r>
      <w:r w:rsidR="00555B93">
        <w:rPr>
          <w:lang w:eastAsia="de-DE"/>
        </w:rPr>
        <w:t>IV.</w:t>
      </w:r>
      <w:r w:rsidR="00555B93">
        <w:rPr>
          <w:lang w:eastAsia="de-DE"/>
        </w:rPr>
        <w:tab/>
      </w:r>
      <w:r w:rsidR="00CE7E06" w:rsidRPr="006950B8">
        <w:rPr>
          <w:lang w:eastAsia="de-DE"/>
        </w:rPr>
        <w:t>Proposal</w:t>
      </w:r>
    </w:p>
    <w:p w14:paraId="4922586E" w14:textId="77777777" w:rsidR="00CE7E06" w:rsidRDefault="00CE7E06" w:rsidP="004F62C1">
      <w:pPr>
        <w:pStyle w:val="SingleTxtG"/>
        <w:rPr>
          <w:lang w:eastAsia="de-DE"/>
        </w:rPr>
      </w:pPr>
      <w:r>
        <w:rPr>
          <w:lang w:eastAsia="de-DE"/>
        </w:rPr>
        <w:t>11.</w:t>
      </w:r>
      <w:r>
        <w:rPr>
          <w:lang w:eastAsia="de-DE"/>
        </w:rPr>
        <w:tab/>
        <w:t>Based on the above, UIC proposes the following to the RID/ADR/ADN Joint Meeting:</w:t>
      </w:r>
    </w:p>
    <w:p w14:paraId="45A74CAD" w14:textId="10ACFABA" w:rsidR="00CE7E06" w:rsidRDefault="00CE7E06" w:rsidP="004F62C1">
      <w:pPr>
        <w:pStyle w:val="SingleTxtG"/>
        <w:rPr>
          <w:lang w:eastAsia="de-DE"/>
        </w:rPr>
      </w:pPr>
      <w:r>
        <w:rPr>
          <w:lang w:eastAsia="de-DE"/>
        </w:rPr>
        <w:t>Add to 1.4.2.1.1 a new paragraph (</w:t>
      </w:r>
      <w:proofErr w:type="gramStart"/>
      <w:r>
        <w:rPr>
          <w:lang w:eastAsia="de-DE"/>
        </w:rPr>
        <w:t>f)</w:t>
      </w:r>
      <w:r w:rsidR="00027049" w:rsidDel="00027049">
        <w:rPr>
          <w:lang w:eastAsia="de-DE"/>
        </w:rPr>
        <w:t xml:space="preserve"> </w:t>
      </w:r>
      <w:r w:rsidR="00027049">
        <w:rPr>
          <w:lang w:eastAsia="de-DE"/>
        </w:rPr>
        <w:t xml:space="preserve"> as</w:t>
      </w:r>
      <w:proofErr w:type="gramEnd"/>
      <w:r w:rsidR="00027049">
        <w:rPr>
          <w:lang w:eastAsia="de-DE"/>
        </w:rPr>
        <w:t xml:space="preserve"> follows:</w:t>
      </w:r>
    </w:p>
    <w:p w14:paraId="63AEA213" w14:textId="2FF46ABD" w:rsidR="00B9164B" w:rsidRDefault="00D926A6" w:rsidP="00D926A6">
      <w:pPr>
        <w:pStyle w:val="SingleTxtG"/>
        <w:rPr>
          <w:lang w:eastAsia="de-DE"/>
        </w:rPr>
      </w:pPr>
      <w:r>
        <w:rPr>
          <w:lang w:eastAsia="de-DE"/>
        </w:rPr>
        <w:t>"</w:t>
      </w:r>
      <w:r w:rsidR="00CE7E06" w:rsidRPr="0063541B">
        <w:rPr>
          <w:lang w:eastAsia="de-DE"/>
        </w:rPr>
        <w:t>(</w:t>
      </w:r>
      <w:proofErr w:type="gramStart"/>
      <w:r w:rsidR="00CE7E06" w:rsidRPr="0063541B">
        <w:rPr>
          <w:lang w:eastAsia="de-DE"/>
        </w:rPr>
        <w:t>f)  in</w:t>
      </w:r>
      <w:proofErr w:type="gramEnd"/>
      <w:r w:rsidR="00CE7E06" w:rsidRPr="0063541B">
        <w:rPr>
          <w:lang w:eastAsia="de-DE"/>
        </w:rPr>
        <w:t xml:space="preserve"> the case of tanks carrying refrigerated liquefied gases ensure that the actual holding time is determined or, in the case of empty, uncleaned tanks, ensure that the pressure is sufficiently</w:t>
      </w:r>
      <w:r>
        <w:rPr>
          <w:lang w:eastAsia="de-DE"/>
        </w:rPr>
        <w:t xml:space="preserve"> </w:t>
      </w:r>
      <w:r w:rsidR="00CE7E06" w:rsidRPr="0063541B">
        <w:rPr>
          <w:lang w:eastAsia="de-DE"/>
        </w:rPr>
        <w:t>reduced.</w:t>
      </w:r>
      <w:r>
        <w:rPr>
          <w:lang w:eastAsia="de-DE"/>
        </w:rPr>
        <w:t>"</w:t>
      </w:r>
    </w:p>
    <w:p w14:paraId="3684182C" w14:textId="445A1FCC" w:rsidR="007D71B7" w:rsidRDefault="007D71B7" w:rsidP="00D926A6">
      <w:pPr>
        <w:pStyle w:val="SingleTxtG"/>
        <w:rPr>
          <w:lang w:eastAsia="de-DE"/>
        </w:rPr>
      </w:pPr>
      <w:r>
        <w:rPr>
          <w:lang w:eastAsia="de-DE"/>
        </w:rPr>
        <w:br w:type="page"/>
      </w:r>
    </w:p>
    <w:p w14:paraId="5082ADE6" w14:textId="01FF1DA9" w:rsidR="007D71B7" w:rsidRDefault="007D71B7" w:rsidP="007A1FF0">
      <w:pPr>
        <w:pStyle w:val="HChG"/>
      </w:pPr>
      <w:r>
        <w:lastRenderedPageBreak/>
        <w:t>Annex</w:t>
      </w:r>
    </w:p>
    <w:p w14:paraId="5CAFC1CD" w14:textId="571B7DEC" w:rsidR="00293F54" w:rsidRDefault="00293F54" w:rsidP="00293F54">
      <w:pPr>
        <w:pStyle w:val="HChG"/>
        <w:rPr>
          <w:lang w:eastAsia="de-DE"/>
        </w:rPr>
      </w:pPr>
      <w:r>
        <w:rPr>
          <w:lang w:eastAsia="de-DE"/>
        </w:rPr>
        <w:tab/>
      </w:r>
      <w:r>
        <w:rPr>
          <w:lang w:eastAsia="de-DE"/>
        </w:rPr>
        <w:tab/>
        <w:t>D</w:t>
      </w:r>
      <w:r w:rsidRPr="00DB1544">
        <w:rPr>
          <w:lang w:eastAsia="de-DE"/>
        </w:rPr>
        <w:t xml:space="preserve">etails </w:t>
      </w:r>
      <w:r>
        <w:rPr>
          <w:lang w:eastAsia="de-DE"/>
        </w:rPr>
        <w:t>based on</w:t>
      </w:r>
      <w:r w:rsidRPr="00DB1544">
        <w:rPr>
          <w:lang w:eastAsia="de-DE"/>
        </w:rPr>
        <w:t xml:space="preserve"> discussion</w:t>
      </w:r>
      <w:r>
        <w:rPr>
          <w:lang w:eastAsia="de-DE"/>
        </w:rPr>
        <w:t xml:space="preserve"> about the </w:t>
      </w:r>
      <w:r w:rsidRPr="007976F1">
        <w:rPr>
          <w:lang w:eastAsia="de-DE"/>
        </w:rPr>
        <w:t>wording and choice of chapter for th</w:t>
      </w:r>
      <w:r>
        <w:rPr>
          <w:lang w:eastAsia="de-DE"/>
        </w:rPr>
        <w:t xml:space="preserve">e </w:t>
      </w:r>
      <w:r w:rsidRPr="007976F1">
        <w:rPr>
          <w:lang w:eastAsia="de-DE"/>
        </w:rPr>
        <w:t>clarification of</w:t>
      </w:r>
      <w:r>
        <w:rPr>
          <w:lang w:eastAsia="de-DE"/>
        </w:rPr>
        <w:t xml:space="preserve"> </w:t>
      </w:r>
      <w:r w:rsidRPr="007976F1">
        <w:rPr>
          <w:lang w:eastAsia="de-DE"/>
        </w:rPr>
        <w:t>the role of the consignor</w:t>
      </w:r>
      <w:r>
        <w:rPr>
          <w:lang w:eastAsia="de-DE"/>
        </w:rPr>
        <w:t>, held in the Working Group on Tanks of the Joint Meeting September 2023</w:t>
      </w:r>
    </w:p>
    <w:p w14:paraId="79D7AD6D" w14:textId="17361300" w:rsidR="00293F54" w:rsidRPr="00EE083A" w:rsidRDefault="00293F54" w:rsidP="00293F54">
      <w:pPr>
        <w:pStyle w:val="SingleTxtG"/>
        <w:rPr>
          <w:lang w:eastAsia="de-DE"/>
        </w:rPr>
      </w:pPr>
      <w:r>
        <w:rPr>
          <w:lang w:eastAsia="de-DE"/>
        </w:rPr>
        <w:t>1.</w:t>
      </w:r>
      <w:r>
        <w:rPr>
          <w:lang w:eastAsia="de-DE"/>
        </w:rPr>
        <w:tab/>
        <w:t xml:space="preserve">The Working Group on Tanks did not agree to specify the responsible participant in RID/ADR 4.3.3.6, as proposed by UIC, on the grounds that this was not the right place to specify the responsibilities of the participants. </w:t>
      </w:r>
    </w:p>
    <w:p w14:paraId="48365826" w14:textId="10839828" w:rsidR="00293F54" w:rsidRDefault="00293F54" w:rsidP="00293F54">
      <w:pPr>
        <w:pStyle w:val="SingleTxtG"/>
        <w:rPr>
          <w:lang w:eastAsia="de-DE"/>
        </w:rPr>
      </w:pPr>
      <w:r>
        <w:rPr>
          <w:lang w:eastAsia="de-DE"/>
        </w:rPr>
        <w:t>2.</w:t>
      </w:r>
      <w:r>
        <w:rPr>
          <w:lang w:eastAsia="de-DE"/>
        </w:rPr>
        <w:tab/>
        <w:t xml:space="preserve">However, since that meeting, UIC has found examples in RID where a specific safety obligation is assigned to a participant in Chapter 4.2. In the chapter dedicated to the use of portable tanks, in paragraph 4.2.1.9.1, RID and ADR not only assign a specific obligation to a participant, but also differ in which participant is responsible for that </w:t>
      </w:r>
      <w:proofErr w:type="gramStart"/>
      <w:r>
        <w:rPr>
          <w:lang w:eastAsia="de-DE"/>
        </w:rPr>
        <w:t>particular obligation</w:t>
      </w:r>
      <w:proofErr w:type="gramEnd"/>
      <w:r>
        <w:rPr>
          <w:lang w:eastAsia="de-DE"/>
        </w:rPr>
        <w:t>:</w:t>
      </w:r>
    </w:p>
    <w:p w14:paraId="67E073AF" w14:textId="77777777" w:rsidR="00293F54" w:rsidRDefault="00293F54" w:rsidP="00B55ABC">
      <w:pPr>
        <w:pStyle w:val="Bullet1G"/>
        <w:rPr>
          <w:lang w:eastAsia="de-DE"/>
        </w:rPr>
      </w:pPr>
      <w:r>
        <w:rPr>
          <w:lang w:eastAsia="de-DE"/>
        </w:rPr>
        <w:t xml:space="preserve">In </w:t>
      </w:r>
      <w:r w:rsidRPr="00295EDC">
        <w:rPr>
          <w:lang w:eastAsia="de-DE"/>
        </w:rPr>
        <w:t>RID 4.2.1.9.1</w:t>
      </w:r>
      <w:r>
        <w:rPr>
          <w:lang w:eastAsia="de-DE"/>
        </w:rPr>
        <w:t xml:space="preserve"> it reads:</w:t>
      </w:r>
    </w:p>
    <w:p w14:paraId="28C2DE29" w14:textId="77777777" w:rsidR="00293F54" w:rsidRDefault="00293F54" w:rsidP="00B55ABC">
      <w:pPr>
        <w:pStyle w:val="SingleTxtG"/>
        <w:ind w:left="2268"/>
        <w:rPr>
          <w:lang w:eastAsia="de-DE"/>
        </w:rPr>
      </w:pPr>
      <w:r w:rsidRPr="00295EDC">
        <w:rPr>
          <w:lang w:eastAsia="de-DE"/>
        </w:rPr>
        <w:t xml:space="preserve">“Prior to filling, </w:t>
      </w:r>
      <w:r w:rsidRPr="0063541B">
        <w:rPr>
          <w:u w:val="single"/>
          <w:lang w:eastAsia="de-DE"/>
        </w:rPr>
        <w:t>the filler</w:t>
      </w:r>
      <w:r w:rsidRPr="00295EDC">
        <w:rPr>
          <w:lang w:eastAsia="de-DE"/>
        </w:rPr>
        <w:t xml:space="preserve"> shall ensure that the appropriate portable tank is used and that the portable tank is not filled with substances which in contact with the materials of the shell, gaskets, service equipment and any protective linings, are likely to react dangerously with them to form dangerous products or appreciably weaken these materials. </w:t>
      </w:r>
      <w:r w:rsidRPr="0063541B">
        <w:rPr>
          <w:u w:val="single"/>
          <w:lang w:eastAsia="de-DE"/>
        </w:rPr>
        <w:t>The consignor</w:t>
      </w:r>
      <w:r w:rsidRPr="00295EDC">
        <w:rPr>
          <w:lang w:eastAsia="de-DE"/>
        </w:rPr>
        <w:t xml:space="preserve"> may need to consult the manufacturer of the substance in conjunction with the competent authority for guidance on the compatibility of the substance with the portable tank materials.”</w:t>
      </w:r>
    </w:p>
    <w:p w14:paraId="42E8FAA2" w14:textId="77777777" w:rsidR="00293F54" w:rsidRDefault="00293F54" w:rsidP="00B55ABC">
      <w:pPr>
        <w:pStyle w:val="Bullet1G"/>
        <w:rPr>
          <w:lang w:eastAsia="de-DE"/>
        </w:rPr>
      </w:pPr>
      <w:r>
        <w:rPr>
          <w:lang w:eastAsia="de-DE"/>
        </w:rPr>
        <w:t>While ADR 4.2.1.9.1 reads:</w:t>
      </w:r>
    </w:p>
    <w:p w14:paraId="7EE3F9CE" w14:textId="77777777" w:rsidR="00293F54" w:rsidRPr="00295EDC" w:rsidRDefault="00293F54" w:rsidP="00B55ABC">
      <w:pPr>
        <w:pStyle w:val="SingleTxtG"/>
        <w:ind w:left="2268"/>
        <w:rPr>
          <w:lang w:eastAsia="de-DE"/>
        </w:rPr>
      </w:pPr>
      <w:r>
        <w:rPr>
          <w:lang w:eastAsia="de-DE"/>
        </w:rPr>
        <w:t>“</w:t>
      </w:r>
      <w:r w:rsidRPr="002C0ECD">
        <w:rPr>
          <w:lang w:eastAsia="de-DE"/>
        </w:rPr>
        <w:t xml:space="preserve">Prior to filling, </w:t>
      </w:r>
      <w:r w:rsidRPr="0063541B">
        <w:rPr>
          <w:u w:val="single"/>
          <w:lang w:eastAsia="de-DE"/>
        </w:rPr>
        <w:t>the consignor</w:t>
      </w:r>
      <w:r w:rsidRPr="002C0ECD">
        <w:rPr>
          <w:lang w:eastAsia="de-DE"/>
        </w:rPr>
        <w:t xml:space="preserve"> shall ensure </w:t>
      </w:r>
      <w:r>
        <w:rPr>
          <w:lang w:eastAsia="de-DE"/>
        </w:rPr>
        <w:t>[…]</w:t>
      </w:r>
      <w:r w:rsidRPr="002C0ECD">
        <w:rPr>
          <w:lang w:eastAsia="de-DE"/>
        </w:rPr>
        <w:t xml:space="preserve"> these materials. </w:t>
      </w:r>
      <w:r w:rsidRPr="0063541B">
        <w:rPr>
          <w:u w:val="single"/>
          <w:lang w:eastAsia="de-DE"/>
        </w:rPr>
        <w:t>The consignor</w:t>
      </w:r>
      <w:r w:rsidRPr="002C0ECD">
        <w:rPr>
          <w:lang w:eastAsia="de-DE"/>
        </w:rPr>
        <w:t xml:space="preserve"> may need </w:t>
      </w:r>
      <w:r>
        <w:rPr>
          <w:lang w:eastAsia="de-DE"/>
        </w:rPr>
        <w:t xml:space="preserve">[…] </w:t>
      </w:r>
      <w:r w:rsidRPr="002C0ECD">
        <w:rPr>
          <w:lang w:eastAsia="de-DE"/>
        </w:rPr>
        <w:t>portable tank materials.”</w:t>
      </w:r>
    </w:p>
    <w:p w14:paraId="342B1289" w14:textId="480EF95F" w:rsidR="00293F54" w:rsidRDefault="00293F54" w:rsidP="00293F54">
      <w:pPr>
        <w:pStyle w:val="SingleTxtG"/>
        <w:rPr>
          <w:lang w:eastAsia="de-DE"/>
        </w:rPr>
      </w:pPr>
      <w:r>
        <w:rPr>
          <w:lang w:eastAsia="de-DE"/>
        </w:rPr>
        <w:t>3.</w:t>
      </w:r>
      <w:r>
        <w:rPr>
          <w:lang w:eastAsia="de-DE"/>
        </w:rPr>
        <w:tab/>
        <w:t xml:space="preserve">The Working Group on Tanks also discussed the option to specify the obligation of the consignor (concerning empty, uncleaned tanks) in 1.4.2.1 ‘Safety obligations of the main participants, consignor’. </w:t>
      </w:r>
      <w:proofErr w:type="gramStart"/>
      <w:r>
        <w:rPr>
          <w:lang w:eastAsia="de-DE"/>
        </w:rPr>
        <w:t>On the ground that</w:t>
      </w:r>
      <w:proofErr w:type="gramEnd"/>
      <w:r>
        <w:rPr>
          <w:lang w:eastAsia="de-DE"/>
        </w:rPr>
        <w:t xml:space="preserve"> the obligations cited in that chapter are of a general nature, do not contain specific obligations and are not (meant to be) exhaustive, the inclusion of one </w:t>
      </w:r>
      <w:r w:rsidRPr="00A200B0">
        <w:rPr>
          <w:u w:val="single"/>
          <w:lang w:eastAsia="de-DE"/>
        </w:rPr>
        <w:t>specific</w:t>
      </w:r>
      <w:r>
        <w:rPr>
          <w:lang w:eastAsia="de-DE"/>
        </w:rPr>
        <w:t xml:space="preserve"> obligation would not fit the purpose of that paragraph.</w:t>
      </w:r>
    </w:p>
    <w:p w14:paraId="19A8FE26" w14:textId="01818ECE" w:rsidR="00293F54" w:rsidRDefault="00293F54" w:rsidP="00293F54">
      <w:pPr>
        <w:pStyle w:val="SingleTxtG"/>
        <w:rPr>
          <w:lang w:eastAsia="de-DE"/>
        </w:rPr>
      </w:pPr>
      <w:r>
        <w:rPr>
          <w:lang w:eastAsia="de-DE"/>
        </w:rPr>
        <w:t>4.</w:t>
      </w:r>
      <w:r>
        <w:rPr>
          <w:lang w:eastAsia="de-DE"/>
        </w:rPr>
        <w:tab/>
        <w:t>There are examples in Chapter 1.4 that prescribe specific obligations:</w:t>
      </w:r>
    </w:p>
    <w:p w14:paraId="032AC343" w14:textId="77777777" w:rsidR="00293F54" w:rsidRDefault="00293F54" w:rsidP="000563F8">
      <w:pPr>
        <w:pStyle w:val="Bullet1G"/>
        <w:rPr>
          <w:lang w:eastAsia="de-DE"/>
        </w:rPr>
      </w:pPr>
      <w:r>
        <w:rPr>
          <w:lang w:eastAsia="de-DE"/>
        </w:rPr>
        <w:t xml:space="preserve">In </w:t>
      </w:r>
      <w:r w:rsidRPr="00EE083A">
        <w:rPr>
          <w:lang w:eastAsia="de-DE"/>
        </w:rPr>
        <w:t>1.4.3.7.1</w:t>
      </w:r>
      <w:r>
        <w:rPr>
          <w:lang w:eastAsia="de-DE"/>
        </w:rPr>
        <w:t>,</w:t>
      </w:r>
      <w:r w:rsidRPr="00EE083A">
        <w:rPr>
          <w:lang w:eastAsia="de-DE"/>
        </w:rPr>
        <w:t xml:space="preserve"> pertaining to the </w:t>
      </w:r>
      <w:r>
        <w:rPr>
          <w:lang w:eastAsia="de-DE"/>
        </w:rPr>
        <w:t>u</w:t>
      </w:r>
      <w:r w:rsidRPr="00EE083A">
        <w:rPr>
          <w:lang w:eastAsia="de-DE"/>
        </w:rPr>
        <w:t>nloader</w:t>
      </w:r>
      <w:r>
        <w:rPr>
          <w:lang w:eastAsia="de-DE"/>
        </w:rPr>
        <w:t>, all-but-one paragraph</w:t>
      </w:r>
      <w:r w:rsidRPr="00EE083A">
        <w:rPr>
          <w:lang w:eastAsia="de-DE"/>
        </w:rPr>
        <w:t xml:space="preserve"> prescribe</w:t>
      </w:r>
      <w:r>
        <w:rPr>
          <w:lang w:eastAsia="de-DE"/>
        </w:rPr>
        <w:t xml:space="preserve"> specific safety obligations, namely </w:t>
      </w:r>
      <w:r w:rsidRPr="00EE083A">
        <w:rPr>
          <w:lang w:eastAsia="de-DE"/>
        </w:rPr>
        <w:t>(a), (b</w:t>
      </w:r>
      <w:proofErr w:type="gramStart"/>
      <w:r w:rsidRPr="00EE083A">
        <w:rPr>
          <w:lang w:eastAsia="de-DE"/>
        </w:rPr>
        <w:t>),(</w:t>
      </w:r>
      <w:proofErr w:type="gramEnd"/>
      <w:r w:rsidRPr="00EE083A">
        <w:rPr>
          <w:lang w:eastAsia="de-DE"/>
        </w:rPr>
        <w:t>d)</w:t>
      </w:r>
      <w:r>
        <w:rPr>
          <w:lang w:eastAsia="de-DE"/>
        </w:rPr>
        <w:t xml:space="preserve">, (e) </w:t>
      </w:r>
      <w:r w:rsidRPr="00EE083A">
        <w:rPr>
          <w:lang w:eastAsia="de-DE"/>
        </w:rPr>
        <w:t xml:space="preserve">and (f). </w:t>
      </w:r>
    </w:p>
    <w:p w14:paraId="1A919172" w14:textId="77777777" w:rsidR="00293F54" w:rsidRPr="003303D4" w:rsidRDefault="00293F54" w:rsidP="000563F8">
      <w:pPr>
        <w:pStyle w:val="Bullet1G"/>
        <w:rPr>
          <w:lang w:eastAsia="de-DE"/>
        </w:rPr>
      </w:pPr>
      <w:r>
        <w:rPr>
          <w:lang w:eastAsia="de-DE"/>
        </w:rPr>
        <w:t>Similarly, out of the eleven safety obligations in 1.4.3.3 (pertaining to the filler), ten are specific actions that shall be done in the context of 1.4.1. Only the note at the end of RID 1.4.3.3 is a general requirement, as it refers to the establishment of procedures to ensure that he fulfils all his obligations.</w:t>
      </w:r>
    </w:p>
    <w:p w14:paraId="0BE1770F" w14:textId="482936BB" w:rsidR="007D71B7" w:rsidRPr="00293F54" w:rsidRDefault="00293F54" w:rsidP="00293F54">
      <w:pPr>
        <w:spacing w:before="240"/>
        <w:jc w:val="center"/>
        <w:rPr>
          <w:u w:val="single"/>
        </w:rPr>
      </w:pPr>
      <w:r>
        <w:rPr>
          <w:u w:val="single"/>
        </w:rPr>
        <w:tab/>
      </w:r>
      <w:r>
        <w:rPr>
          <w:u w:val="single"/>
        </w:rPr>
        <w:tab/>
      </w:r>
      <w:r>
        <w:rPr>
          <w:u w:val="single"/>
        </w:rPr>
        <w:tab/>
      </w:r>
    </w:p>
    <w:sectPr w:rsidR="007D71B7" w:rsidRPr="00293F54" w:rsidSect="00486572">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F6073" w14:textId="77777777" w:rsidR="00331B6B" w:rsidRDefault="00331B6B"/>
  </w:endnote>
  <w:endnote w:type="continuationSeparator" w:id="0">
    <w:p w14:paraId="6EA19C1D" w14:textId="77777777" w:rsidR="00331B6B" w:rsidRDefault="00331B6B"/>
  </w:endnote>
  <w:endnote w:type="continuationNotice" w:id="1">
    <w:p w14:paraId="154D9022" w14:textId="77777777" w:rsidR="00331B6B" w:rsidRDefault="00331B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C5E98" w14:textId="0B431CDA" w:rsidR="00486572" w:rsidRPr="00486572" w:rsidRDefault="00486572" w:rsidP="00486572">
    <w:pPr>
      <w:pStyle w:val="Footer"/>
      <w:tabs>
        <w:tab w:val="right" w:pos="9638"/>
      </w:tabs>
      <w:rPr>
        <w:sz w:val="18"/>
      </w:rPr>
    </w:pPr>
    <w:r w:rsidRPr="00486572">
      <w:rPr>
        <w:b/>
        <w:sz w:val="18"/>
      </w:rPr>
      <w:fldChar w:fldCharType="begin"/>
    </w:r>
    <w:r w:rsidRPr="00486572">
      <w:rPr>
        <w:b/>
        <w:sz w:val="18"/>
      </w:rPr>
      <w:instrText xml:space="preserve"> PAGE  \* MERGEFORMAT </w:instrText>
    </w:r>
    <w:r w:rsidRPr="00486572">
      <w:rPr>
        <w:b/>
        <w:sz w:val="18"/>
      </w:rPr>
      <w:fldChar w:fldCharType="separate"/>
    </w:r>
    <w:r w:rsidRPr="00486572">
      <w:rPr>
        <w:b/>
        <w:noProof/>
        <w:sz w:val="18"/>
      </w:rPr>
      <w:t>2</w:t>
    </w:r>
    <w:r w:rsidRPr="0048657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0DF6" w14:textId="3B83EC6A" w:rsidR="00486572" w:rsidRPr="00486572" w:rsidRDefault="00486572" w:rsidP="00486572">
    <w:pPr>
      <w:pStyle w:val="Footer"/>
      <w:tabs>
        <w:tab w:val="right" w:pos="9638"/>
      </w:tabs>
      <w:rPr>
        <w:b/>
        <w:sz w:val="18"/>
      </w:rPr>
    </w:pPr>
    <w:r>
      <w:tab/>
    </w:r>
    <w:r w:rsidRPr="00486572">
      <w:rPr>
        <w:b/>
        <w:sz w:val="18"/>
      </w:rPr>
      <w:fldChar w:fldCharType="begin"/>
    </w:r>
    <w:r w:rsidRPr="00486572">
      <w:rPr>
        <w:b/>
        <w:sz w:val="18"/>
      </w:rPr>
      <w:instrText xml:space="preserve"> PAGE  \* MERGEFORMAT </w:instrText>
    </w:r>
    <w:r w:rsidRPr="00486572">
      <w:rPr>
        <w:b/>
        <w:sz w:val="18"/>
      </w:rPr>
      <w:fldChar w:fldCharType="separate"/>
    </w:r>
    <w:r w:rsidRPr="00486572">
      <w:rPr>
        <w:b/>
        <w:noProof/>
        <w:sz w:val="18"/>
      </w:rPr>
      <w:t>3</w:t>
    </w:r>
    <w:r w:rsidRPr="0048657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5095" w14:textId="48B8478A" w:rsidR="00C7374F" w:rsidRDefault="00C7374F" w:rsidP="00C7374F">
    <w:pPr>
      <w:pStyle w:val="Footer"/>
    </w:pPr>
    <w:r w:rsidRPr="0027112F">
      <w:rPr>
        <w:noProof/>
        <w:lang w:val="en-US"/>
      </w:rPr>
      <w:drawing>
        <wp:anchor distT="0" distB="0" distL="114300" distR="114300" simplePos="0" relativeHeight="251659264" behindDoc="0" locked="1" layoutInCell="1" allowOverlap="1" wp14:anchorId="4E8983F6" wp14:editId="0C9845B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09D57D7" w14:textId="4994A1F6" w:rsidR="00C7374F" w:rsidRPr="00C7374F" w:rsidRDefault="00C7374F" w:rsidP="00C7374F">
    <w:pPr>
      <w:pStyle w:val="Footer"/>
      <w:ind w:right="1134"/>
      <w:rPr>
        <w:sz w:val="20"/>
      </w:rPr>
    </w:pPr>
    <w:r>
      <w:rPr>
        <w:sz w:val="20"/>
      </w:rPr>
      <w:t>GE.24-00136(E)</w:t>
    </w:r>
    <w:r>
      <w:rPr>
        <w:noProof/>
        <w:sz w:val="20"/>
      </w:rPr>
      <w:drawing>
        <wp:anchor distT="0" distB="0" distL="114300" distR="114300" simplePos="0" relativeHeight="251660288" behindDoc="0" locked="0" layoutInCell="1" allowOverlap="1" wp14:anchorId="363C3C9A" wp14:editId="7A43C527">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E0109" w14:textId="77777777" w:rsidR="00331B6B" w:rsidRPr="000B175B" w:rsidRDefault="00331B6B" w:rsidP="000B175B">
      <w:pPr>
        <w:tabs>
          <w:tab w:val="right" w:pos="2155"/>
        </w:tabs>
        <w:spacing w:after="80"/>
        <w:ind w:left="680"/>
        <w:rPr>
          <w:u w:val="single"/>
        </w:rPr>
      </w:pPr>
      <w:r>
        <w:rPr>
          <w:u w:val="single"/>
        </w:rPr>
        <w:tab/>
      </w:r>
    </w:p>
  </w:footnote>
  <w:footnote w:type="continuationSeparator" w:id="0">
    <w:p w14:paraId="72A24224" w14:textId="77777777" w:rsidR="00331B6B" w:rsidRPr="00FC68B7" w:rsidRDefault="00331B6B" w:rsidP="00FC68B7">
      <w:pPr>
        <w:tabs>
          <w:tab w:val="left" w:pos="2155"/>
        </w:tabs>
        <w:spacing w:after="80"/>
        <w:ind w:left="680"/>
        <w:rPr>
          <w:u w:val="single"/>
        </w:rPr>
      </w:pPr>
      <w:r>
        <w:rPr>
          <w:u w:val="single"/>
        </w:rPr>
        <w:tab/>
      </w:r>
    </w:p>
  </w:footnote>
  <w:footnote w:type="continuationNotice" w:id="1">
    <w:p w14:paraId="36263C01" w14:textId="77777777" w:rsidR="00331B6B" w:rsidRDefault="00331B6B"/>
  </w:footnote>
  <w:footnote w:id="2">
    <w:p w14:paraId="6483D665" w14:textId="77777777" w:rsidR="00C3704E" w:rsidRPr="00032120" w:rsidRDefault="00C3704E" w:rsidP="00C3704E">
      <w:pPr>
        <w:pStyle w:val="FootnoteText"/>
        <w:rPr>
          <w:lang w:val="fr-CH"/>
        </w:rPr>
      </w:pPr>
      <w:r>
        <w:rPr>
          <w:rStyle w:val="FootnoteReference"/>
        </w:rPr>
        <w:tab/>
      </w:r>
      <w:r w:rsidRPr="001E6946">
        <w:rPr>
          <w:rStyle w:val="FootnoteReference"/>
          <w:b/>
        </w:rPr>
        <w:t>*</w:t>
      </w:r>
      <w:r>
        <w:rPr>
          <w:rStyle w:val="FootnoteReference"/>
          <w:sz w:val="20"/>
          <w:vertAlign w:val="baseline"/>
        </w:rPr>
        <w:tab/>
      </w:r>
      <w:r w:rsidRPr="00513E18">
        <w:rPr>
          <w:szCs w:val="18"/>
        </w:rPr>
        <w:t>A/78/6 (Sect.20), table 20.5.</w:t>
      </w:r>
    </w:p>
  </w:footnote>
  <w:footnote w:id="3">
    <w:p w14:paraId="30C4C732" w14:textId="07F43A8D" w:rsidR="00C3704E" w:rsidRPr="00E244BE" w:rsidRDefault="00C3704E" w:rsidP="00C3704E">
      <w:pPr>
        <w:pStyle w:val="FootnoteText"/>
        <w:rPr>
          <w:lang w:val="fr-CH"/>
        </w:rPr>
      </w:pPr>
      <w:r>
        <w:rPr>
          <w:rStyle w:val="FootnoteReference"/>
        </w:rPr>
        <w:tab/>
      </w:r>
      <w:r w:rsidRPr="001E6946">
        <w:rPr>
          <w:rStyle w:val="FootnoteReference"/>
          <w:b/>
        </w:rPr>
        <w:t>**</w:t>
      </w:r>
      <w:r>
        <w:rPr>
          <w:rStyle w:val="FootnoteReference"/>
          <w:sz w:val="20"/>
          <w:vertAlign w:val="baseline"/>
        </w:rPr>
        <w:tab/>
      </w:r>
      <w:r w:rsidRPr="00513E18">
        <w:rPr>
          <w:szCs w:val="18"/>
        </w:rPr>
        <w:t>Circulated by the Intergovernmental Organisation for International Carriage by Rail (OTIF) under the symbol OTIF/RID/RC/2024/</w:t>
      </w:r>
      <w:r>
        <w:rPr>
          <w:szCs w:val="18"/>
        </w:rPr>
        <w:t>26</w:t>
      </w:r>
      <w:r w:rsidRPr="00513E18">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1439" w14:textId="79DE3BF7" w:rsidR="00486572" w:rsidRPr="00486572" w:rsidRDefault="00C7374F">
    <w:pPr>
      <w:pStyle w:val="Header"/>
    </w:pPr>
    <w:r>
      <w:fldChar w:fldCharType="begin"/>
    </w:r>
    <w:r>
      <w:instrText xml:space="preserve"> TITLE  \* MERGEFORMAT </w:instrText>
    </w:r>
    <w:r>
      <w:fldChar w:fldCharType="separate"/>
    </w:r>
    <w:r w:rsidR="00486572">
      <w:t>ECE/TRANS/WP.15/AC.1/2024/26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726DB" w14:textId="466F9387" w:rsidR="00486572" w:rsidRPr="00486572" w:rsidRDefault="00C7374F" w:rsidP="00486572">
    <w:pPr>
      <w:pStyle w:val="Header"/>
      <w:jc w:val="right"/>
    </w:pPr>
    <w:r>
      <w:fldChar w:fldCharType="begin"/>
    </w:r>
    <w:r>
      <w:instrText xml:space="preserve"> TITLE  \* MERGEFORMAT </w:instrText>
    </w:r>
    <w:r>
      <w:fldChar w:fldCharType="separate"/>
    </w:r>
    <w:r w:rsidR="00486572">
      <w:t>ECE/TRANS/WP.15/AC.1/2024/26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9D666F6"/>
    <w:multiLevelType w:val="hybridMultilevel"/>
    <w:tmpl w:val="58C04B2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BFA048A"/>
    <w:multiLevelType w:val="hybridMultilevel"/>
    <w:tmpl w:val="B91A9E4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F01EEC"/>
    <w:multiLevelType w:val="hybridMultilevel"/>
    <w:tmpl w:val="19B6CA24"/>
    <w:lvl w:ilvl="0" w:tplc="C34837D8">
      <w:start w:val="1"/>
      <w:numFmt w:val="bullet"/>
      <w:lvlText w:val="−"/>
      <w:lvlJc w:val="left"/>
      <w:pPr>
        <w:ind w:left="1146" w:hanging="360"/>
      </w:pPr>
      <w:rPr>
        <w:rFonts w:ascii="Arial" w:hAnsi="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9E49E5"/>
    <w:multiLevelType w:val="hybridMultilevel"/>
    <w:tmpl w:val="4D563CF0"/>
    <w:lvl w:ilvl="0" w:tplc="040C000B">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16cid:durableId="1367608356">
    <w:abstractNumId w:val="1"/>
  </w:num>
  <w:num w:numId="2" w16cid:durableId="221989000">
    <w:abstractNumId w:val="0"/>
  </w:num>
  <w:num w:numId="3" w16cid:durableId="1530683713">
    <w:abstractNumId w:val="2"/>
  </w:num>
  <w:num w:numId="4" w16cid:durableId="1481774406">
    <w:abstractNumId w:val="3"/>
  </w:num>
  <w:num w:numId="5" w16cid:durableId="1199704521">
    <w:abstractNumId w:val="8"/>
  </w:num>
  <w:num w:numId="6" w16cid:durableId="1677154506">
    <w:abstractNumId w:val="9"/>
  </w:num>
  <w:num w:numId="7" w16cid:durableId="1608394005">
    <w:abstractNumId w:val="7"/>
  </w:num>
  <w:num w:numId="8" w16cid:durableId="330377578">
    <w:abstractNumId w:val="6"/>
  </w:num>
  <w:num w:numId="9" w16cid:durableId="409472890">
    <w:abstractNumId w:val="5"/>
  </w:num>
  <w:num w:numId="10" w16cid:durableId="1753120451">
    <w:abstractNumId w:val="4"/>
  </w:num>
  <w:num w:numId="11" w16cid:durableId="494423149">
    <w:abstractNumId w:val="17"/>
  </w:num>
  <w:num w:numId="12" w16cid:durableId="657222454">
    <w:abstractNumId w:val="16"/>
  </w:num>
  <w:num w:numId="13" w16cid:durableId="1728454267">
    <w:abstractNumId w:val="10"/>
  </w:num>
  <w:num w:numId="14" w16cid:durableId="1508862618">
    <w:abstractNumId w:val="13"/>
  </w:num>
  <w:num w:numId="15" w16cid:durableId="282469877">
    <w:abstractNumId w:val="18"/>
  </w:num>
  <w:num w:numId="16" w16cid:durableId="1211845648">
    <w:abstractNumId w:val="15"/>
  </w:num>
  <w:num w:numId="17" w16cid:durableId="1794907616">
    <w:abstractNumId w:val="20"/>
  </w:num>
  <w:num w:numId="18" w16cid:durableId="230701644">
    <w:abstractNumId w:val="21"/>
  </w:num>
  <w:num w:numId="19" w16cid:durableId="2046831458">
    <w:abstractNumId w:val="11"/>
  </w:num>
  <w:num w:numId="20" w16cid:durableId="1981618837">
    <w:abstractNumId w:val="11"/>
  </w:num>
  <w:num w:numId="21" w16cid:durableId="5908164">
    <w:abstractNumId w:val="22"/>
  </w:num>
  <w:num w:numId="22" w16cid:durableId="1927687233">
    <w:abstractNumId w:val="19"/>
  </w:num>
  <w:num w:numId="23" w16cid:durableId="1321079910">
    <w:abstractNumId w:val="12"/>
  </w:num>
  <w:num w:numId="24" w16cid:durableId="1222131083">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572"/>
    <w:rsid w:val="00002A7D"/>
    <w:rsid w:val="000038A8"/>
    <w:rsid w:val="00006790"/>
    <w:rsid w:val="00025880"/>
    <w:rsid w:val="00027049"/>
    <w:rsid w:val="00027624"/>
    <w:rsid w:val="00050F6B"/>
    <w:rsid w:val="000563F8"/>
    <w:rsid w:val="000678CD"/>
    <w:rsid w:val="00072C8C"/>
    <w:rsid w:val="00081CE0"/>
    <w:rsid w:val="00084D30"/>
    <w:rsid w:val="00090320"/>
    <w:rsid w:val="000931C0"/>
    <w:rsid w:val="0009732C"/>
    <w:rsid w:val="000A01F9"/>
    <w:rsid w:val="000A2E09"/>
    <w:rsid w:val="000B175B"/>
    <w:rsid w:val="000B2357"/>
    <w:rsid w:val="000B3A0F"/>
    <w:rsid w:val="000E0415"/>
    <w:rsid w:val="000E5DEB"/>
    <w:rsid w:val="000F7715"/>
    <w:rsid w:val="00156B99"/>
    <w:rsid w:val="00166124"/>
    <w:rsid w:val="00184DDA"/>
    <w:rsid w:val="001900CD"/>
    <w:rsid w:val="001A0452"/>
    <w:rsid w:val="001B4B04"/>
    <w:rsid w:val="001B5875"/>
    <w:rsid w:val="001C4B9C"/>
    <w:rsid w:val="001C6663"/>
    <w:rsid w:val="001C7895"/>
    <w:rsid w:val="001D26DF"/>
    <w:rsid w:val="001E555D"/>
    <w:rsid w:val="001F0D75"/>
    <w:rsid w:val="001F1599"/>
    <w:rsid w:val="001F19C4"/>
    <w:rsid w:val="002043F0"/>
    <w:rsid w:val="00211E0B"/>
    <w:rsid w:val="00214CC8"/>
    <w:rsid w:val="00232575"/>
    <w:rsid w:val="00247258"/>
    <w:rsid w:val="00257CAC"/>
    <w:rsid w:val="00264441"/>
    <w:rsid w:val="0027237A"/>
    <w:rsid w:val="00293F54"/>
    <w:rsid w:val="002974E9"/>
    <w:rsid w:val="002A7F94"/>
    <w:rsid w:val="002B109A"/>
    <w:rsid w:val="002C6D45"/>
    <w:rsid w:val="002D6E53"/>
    <w:rsid w:val="002E0D8F"/>
    <w:rsid w:val="002F046D"/>
    <w:rsid w:val="002F3023"/>
    <w:rsid w:val="002F3361"/>
    <w:rsid w:val="00301764"/>
    <w:rsid w:val="003229D8"/>
    <w:rsid w:val="0032459D"/>
    <w:rsid w:val="00331B6B"/>
    <w:rsid w:val="00336C97"/>
    <w:rsid w:val="00337F88"/>
    <w:rsid w:val="00342432"/>
    <w:rsid w:val="0035223F"/>
    <w:rsid w:val="00352D4B"/>
    <w:rsid w:val="0035638C"/>
    <w:rsid w:val="0038457A"/>
    <w:rsid w:val="003A46BB"/>
    <w:rsid w:val="003A4EC7"/>
    <w:rsid w:val="003A7295"/>
    <w:rsid w:val="003B1F60"/>
    <w:rsid w:val="003C2CC4"/>
    <w:rsid w:val="003D4B23"/>
    <w:rsid w:val="003E278A"/>
    <w:rsid w:val="00413520"/>
    <w:rsid w:val="00430D57"/>
    <w:rsid w:val="004325CB"/>
    <w:rsid w:val="00440A07"/>
    <w:rsid w:val="00462880"/>
    <w:rsid w:val="00476F24"/>
    <w:rsid w:val="00486572"/>
    <w:rsid w:val="00486684"/>
    <w:rsid w:val="00497124"/>
    <w:rsid w:val="004C55B0"/>
    <w:rsid w:val="004F62C1"/>
    <w:rsid w:val="004F6BA0"/>
    <w:rsid w:val="00503BEA"/>
    <w:rsid w:val="00530EB3"/>
    <w:rsid w:val="00533616"/>
    <w:rsid w:val="00535ABA"/>
    <w:rsid w:val="0053768B"/>
    <w:rsid w:val="005420F2"/>
    <w:rsid w:val="0054285C"/>
    <w:rsid w:val="00544844"/>
    <w:rsid w:val="005548E8"/>
    <w:rsid w:val="00555B93"/>
    <w:rsid w:val="005757C1"/>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3541B"/>
    <w:rsid w:val="00640B26"/>
    <w:rsid w:val="0065766B"/>
    <w:rsid w:val="006770B2"/>
    <w:rsid w:val="00686A48"/>
    <w:rsid w:val="006940E1"/>
    <w:rsid w:val="0069744C"/>
    <w:rsid w:val="006A14FB"/>
    <w:rsid w:val="006A3C72"/>
    <w:rsid w:val="006A7392"/>
    <w:rsid w:val="006B03A1"/>
    <w:rsid w:val="006B67D9"/>
    <w:rsid w:val="006B7E64"/>
    <w:rsid w:val="006C5535"/>
    <w:rsid w:val="006D0589"/>
    <w:rsid w:val="006D4679"/>
    <w:rsid w:val="006E564B"/>
    <w:rsid w:val="006E7154"/>
    <w:rsid w:val="007003CD"/>
    <w:rsid w:val="00705C4F"/>
    <w:rsid w:val="0070701E"/>
    <w:rsid w:val="007173E0"/>
    <w:rsid w:val="0072632A"/>
    <w:rsid w:val="007354C0"/>
    <w:rsid w:val="007358E8"/>
    <w:rsid w:val="00736ECE"/>
    <w:rsid w:val="0074533B"/>
    <w:rsid w:val="00745BF4"/>
    <w:rsid w:val="007643BC"/>
    <w:rsid w:val="0077153B"/>
    <w:rsid w:val="007801C5"/>
    <w:rsid w:val="00780C68"/>
    <w:rsid w:val="007959FE"/>
    <w:rsid w:val="007A0CF1"/>
    <w:rsid w:val="007A1FF0"/>
    <w:rsid w:val="007A478E"/>
    <w:rsid w:val="007B6BA5"/>
    <w:rsid w:val="007C3390"/>
    <w:rsid w:val="007C42D8"/>
    <w:rsid w:val="007C4F4B"/>
    <w:rsid w:val="007D71B7"/>
    <w:rsid w:val="007D7362"/>
    <w:rsid w:val="007F5CE2"/>
    <w:rsid w:val="007F6611"/>
    <w:rsid w:val="007F6C24"/>
    <w:rsid w:val="00800522"/>
    <w:rsid w:val="00810BAC"/>
    <w:rsid w:val="008175E9"/>
    <w:rsid w:val="008242D7"/>
    <w:rsid w:val="00825228"/>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8F5C33"/>
    <w:rsid w:val="00923E28"/>
    <w:rsid w:val="00926E47"/>
    <w:rsid w:val="00944A28"/>
    <w:rsid w:val="00947162"/>
    <w:rsid w:val="00951123"/>
    <w:rsid w:val="009610D0"/>
    <w:rsid w:val="0096375C"/>
    <w:rsid w:val="009662E6"/>
    <w:rsid w:val="0097095E"/>
    <w:rsid w:val="0098592B"/>
    <w:rsid w:val="00985FC4"/>
    <w:rsid w:val="00990766"/>
    <w:rsid w:val="00990827"/>
    <w:rsid w:val="00991261"/>
    <w:rsid w:val="009964C4"/>
    <w:rsid w:val="009A7B81"/>
    <w:rsid w:val="009C0CC2"/>
    <w:rsid w:val="009C1D46"/>
    <w:rsid w:val="009D01C0"/>
    <w:rsid w:val="009D6A08"/>
    <w:rsid w:val="009E0A16"/>
    <w:rsid w:val="009E6CB7"/>
    <w:rsid w:val="009E7970"/>
    <w:rsid w:val="009F2EAC"/>
    <w:rsid w:val="009F57E3"/>
    <w:rsid w:val="009F5EBF"/>
    <w:rsid w:val="00A10F4F"/>
    <w:rsid w:val="00A11067"/>
    <w:rsid w:val="00A1704A"/>
    <w:rsid w:val="00A25F93"/>
    <w:rsid w:val="00A425EB"/>
    <w:rsid w:val="00A553C6"/>
    <w:rsid w:val="00A67A03"/>
    <w:rsid w:val="00A7073F"/>
    <w:rsid w:val="00A72F22"/>
    <w:rsid w:val="00A733BC"/>
    <w:rsid w:val="00A748A6"/>
    <w:rsid w:val="00A76A69"/>
    <w:rsid w:val="00A879A4"/>
    <w:rsid w:val="00A97CAD"/>
    <w:rsid w:val="00AA0FF8"/>
    <w:rsid w:val="00AC0F2C"/>
    <w:rsid w:val="00AC502A"/>
    <w:rsid w:val="00AF58C1"/>
    <w:rsid w:val="00B04A3F"/>
    <w:rsid w:val="00B06643"/>
    <w:rsid w:val="00B15055"/>
    <w:rsid w:val="00B20551"/>
    <w:rsid w:val="00B21F84"/>
    <w:rsid w:val="00B23D55"/>
    <w:rsid w:val="00B24BB0"/>
    <w:rsid w:val="00B26F3C"/>
    <w:rsid w:val="00B30179"/>
    <w:rsid w:val="00B33FC7"/>
    <w:rsid w:val="00B37B15"/>
    <w:rsid w:val="00B45C02"/>
    <w:rsid w:val="00B55ABC"/>
    <w:rsid w:val="00B70414"/>
    <w:rsid w:val="00B70B63"/>
    <w:rsid w:val="00B72A1E"/>
    <w:rsid w:val="00B81E12"/>
    <w:rsid w:val="00B9164B"/>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35674"/>
    <w:rsid w:val="00C3704E"/>
    <w:rsid w:val="00C408B7"/>
    <w:rsid w:val="00C411EB"/>
    <w:rsid w:val="00C418F6"/>
    <w:rsid w:val="00C463DD"/>
    <w:rsid w:val="00C7374F"/>
    <w:rsid w:val="00C745C3"/>
    <w:rsid w:val="00C978F5"/>
    <w:rsid w:val="00CA00DB"/>
    <w:rsid w:val="00CA24A4"/>
    <w:rsid w:val="00CB348D"/>
    <w:rsid w:val="00CD46F5"/>
    <w:rsid w:val="00CE4A8F"/>
    <w:rsid w:val="00CE78F6"/>
    <w:rsid w:val="00CE7E06"/>
    <w:rsid w:val="00CF071D"/>
    <w:rsid w:val="00D0123D"/>
    <w:rsid w:val="00D15B04"/>
    <w:rsid w:val="00D2031B"/>
    <w:rsid w:val="00D25FE2"/>
    <w:rsid w:val="00D368BE"/>
    <w:rsid w:val="00D37DA9"/>
    <w:rsid w:val="00D406A7"/>
    <w:rsid w:val="00D40765"/>
    <w:rsid w:val="00D43252"/>
    <w:rsid w:val="00D44CEC"/>
    <w:rsid w:val="00D44D86"/>
    <w:rsid w:val="00D50B7D"/>
    <w:rsid w:val="00D52012"/>
    <w:rsid w:val="00D704E5"/>
    <w:rsid w:val="00D72727"/>
    <w:rsid w:val="00D811FB"/>
    <w:rsid w:val="00D926A6"/>
    <w:rsid w:val="00D978C6"/>
    <w:rsid w:val="00DA0956"/>
    <w:rsid w:val="00DA357F"/>
    <w:rsid w:val="00DA3E12"/>
    <w:rsid w:val="00DB6908"/>
    <w:rsid w:val="00DC047E"/>
    <w:rsid w:val="00DC18AD"/>
    <w:rsid w:val="00DF7CAE"/>
    <w:rsid w:val="00E423C0"/>
    <w:rsid w:val="00E62CEF"/>
    <w:rsid w:val="00E6414C"/>
    <w:rsid w:val="00E7260F"/>
    <w:rsid w:val="00E8702D"/>
    <w:rsid w:val="00E905F4"/>
    <w:rsid w:val="00E916A9"/>
    <w:rsid w:val="00E916DE"/>
    <w:rsid w:val="00E925AD"/>
    <w:rsid w:val="00E96630"/>
    <w:rsid w:val="00ED18DC"/>
    <w:rsid w:val="00ED6201"/>
    <w:rsid w:val="00ED7A2A"/>
    <w:rsid w:val="00EF1D7F"/>
    <w:rsid w:val="00EF389B"/>
    <w:rsid w:val="00F0137E"/>
    <w:rsid w:val="00F21786"/>
    <w:rsid w:val="00F34E31"/>
    <w:rsid w:val="00F3742B"/>
    <w:rsid w:val="00F41FDB"/>
    <w:rsid w:val="00F50596"/>
    <w:rsid w:val="00F56D63"/>
    <w:rsid w:val="00F609A9"/>
    <w:rsid w:val="00F80C99"/>
    <w:rsid w:val="00F867EC"/>
    <w:rsid w:val="00F91B2B"/>
    <w:rsid w:val="00FC03CD"/>
    <w:rsid w:val="00FC0646"/>
    <w:rsid w:val="00FC68B7"/>
    <w:rsid w:val="00FE6985"/>
    <w:rsid w:val="00FF7B5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52CA2"/>
  <w15:docId w15:val="{C08B7587-4792-4C13-A5FF-F7130DC3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uiPriority w:val="99"/>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paragraph" w:styleId="ListParagraph">
    <w:name w:val="List Paragraph"/>
    <w:basedOn w:val="Normal"/>
    <w:uiPriority w:val="34"/>
    <w:qFormat/>
    <w:rsid w:val="00CE7E06"/>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paragraph" w:styleId="CommentText">
    <w:name w:val="annotation text"/>
    <w:basedOn w:val="Normal"/>
    <w:link w:val="CommentTextChar"/>
    <w:uiPriority w:val="99"/>
    <w:unhideWhenUsed/>
    <w:rsid w:val="00CE7E06"/>
    <w:pPr>
      <w:spacing w:after="160" w:line="240" w:lineRule="auto"/>
    </w:pPr>
    <w:rPr>
      <w:rFonts w:asciiTheme="minorHAnsi" w:eastAsiaTheme="minorHAnsi" w:hAnsiTheme="minorHAnsi" w:cstheme="minorBidi"/>
      <w:kern w:val="2"/>
      <w:lang w:eastAsia="en-US"/>
      <w14:ligatures w14:val="standardContextual"/>
    </w:rPr>
  </w:style>
  <w:style w:type="character" w:customStyle="1" w:styleId="CommentTextChar">
    <w:name w:val="Comment Text Char"/>
    <w:basedOn w:val="DefaultParagraphFont"/>
    <w:link w:val="CommentText"/>
    <w:uiPriority w:val="99"/>
    <w:rsid w:val="00CE7E06"/>
    <w:rPr>
      <w:rFonts w:asciiTheme="minorHAnsi" w:eastAsiaTheme="minorHAnsi" w:hAnsiTheme="minorHAnsi" w:cstheme="minorBidi"/>
      <w:kern w:val="2"/>
      <w:lang w:val="en-GB" w:eastAsia="en-US"/>
      <w14:ligatures w14:val="standardContextual"/>
    </w:rPr>
  </w:style>
  <w:style w:type="character" w:styleId="CommentReference">
    <w:name w:val="annotation reference"/>
    <w:basedOn w:val="DefaultParagraphFont"/>
    <w:uiPriority w:val="99"/>
    <w:semiHidden/>
    <w:unhideWhenUsed/>
    <w:rsid w:val="00CE7E06"/>
    <w:rPr>
      <w:sz w:val="16"/>
      <w:szCs w:val="16"/>
    </w:rPr>
  </w:style>
  <w:style w:type="character" w:customStyle="1" w:styleId="FootnoteTextChar">
    <w:name w:val="Footnote Text Char"/>
    <w:aliases w:val="5_G Char,5_GR Char"/>
    <w:basedOn w:val="DefaultParagraphFont"/>
    <w:link w:val="FootnoteText"/>
    <w:rsid w:val="00C3704E"/>
    <w:rPr>
      <w:sz w:val="18"/>
      <w:lang w:val="en-GB"/>
    </w:rPr>
  </w:style>
  <w:style w:type="paragraph" w:styleId="Revision">
    <w:name w:val="Revision"/>
    <w:hidden/>
    <w:uiPriority w:val="99"/>
    <w:semiHidden/>
    <w:rsid w:val="00DC047E"/>
    <w:pPr>
      <w:spacing w:line="240" w:lineRule="auto"/>
    </w:pPr>
    <w:rPr>
      <w:lang w:val="en-GB"/>
    </w:rPr>
  </w:style>
  <w:style w:type="paragraph" w:styleId="CommentSubject">
    <w:name w:val="annotation subject"/>
    <w:basedOn w:val="CommentText"/>
    <w:next w:val="CommentText"/>
    <w:link w:val="CommentSubjectChar"/>
    <w:semiHidden/>
    <w:unhideWhenUsed/>
    <w:rsid w:val="00825228"/>
    <w:pPr>
      <w:spacing w:after="0"/>
    </w:pPr>
    <w:rPr>
      <w:rFonts w:ascii="Times New Roman" w:eastAsia="Times New Roman" w:hAnsi="Times New Roman" w:cs="Times New Roman"/>
      <w:b/>
      <w:bCs/>
      <w:kern w:val="0"/>
      <w:lang w:eastAsia="fr-FR"/>
      <w14:ligatures w14:val="none"/>
    </w:rPr>
  </w:style>
  <w:style w:type="character" w:customStyle="1" w:styleId="CommentSubjectChar">
    <w:name w:val="Comment Subject Char"/>
    <w:basedOn w:val="CommentTextChar"/>
    <w:link w:val="CommentSubject"/>
    <w:semiHidden/>
    <w:rsid w:val="00825228"/>
    <w:rPr>
      <w:rFonts w:asciiTheme="minorHAnsi" w:eastAsiaTheme="minorHAnsi" w:hAnsiTheme="minorHAnsi" w:cstheme="minorBidi"/>
      <w:b/>
      <w:bCs/>
      <w:kern w:val="2"/>
      <w:lang w:val="en-GB"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iga.eu"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if.org/fileadmin/new/2-Activities/2D-Dangerous-Goods/2Dc2_infdoc_StandingWG/2023/RID_CE_GTP_2023-INF_03_e_responsabilities_consignor.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3.xml><?xml version="1.0" encoding="utf-8"?>
<ds:datastoreItem xmlns:ds="http://schemas.openxmlformats.org/officeDocument/2006/customXml" ds:itemID="{BABBB2FF-1951-4778-8C48-3C133A41CE8D}"/>
</file>

<file path=customXml/itemProps4.xml><?xml version="1.0" encoding="utf-8"?>
<ds:datastoreItem xmlns:ds="http://schemas.openxmlformats.org/officeDocument/2006/customXml" ds:itemID="{DFDB4A9A-DD1D-431C-883D-883845E55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5</Pages>
  <Words>1785</Words>
  <Characters>9414</Characters>
  <Application>Microsoft Office Word</Application>
  <DocSecurity>0</DocSecurity>
  <Lines>177</Lines>
  <Paragraphs>72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ECE/TRANS/WP.15/AC.1/2024/26</dc:title>
  <dc:subject>2400136</dc:subject>
  <dc:creator>Secretariat</dc:creator>
  <cp:keywords/>
  <dc:description/>
  <cp:lastModifiedBy>Pauline Anne Escalante</cp:lastModifiedBy>
  <cp:revision>2</cp:revision>
  <cp:lastPrinted>2009-02-18T09:36:00Z</cp:lastPrinted>
  <dcterms:created xsi:type="dcterms:W3CDTF">2024-01-04T09:56:00Z</dcterms:created>
  <dcterms:modified xsi:type="dcterms:W3CDTF">2024-01-04T09:56:00Z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