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910E777" w14:textId="77777777" w:rsidTr="00387CD4">
        <w:trPr>
          <w:trHeight w:hRule="exact" w:val="851"/>
        </w:trPr>
        <w:tc>
          <w:tcPr>
            <w:tcW w:w="142" w:type="dxa"/>
            <w:tcBorders>
              <w:bottom w:val="single" w:sz="4" w:space="0" w:color="auto"/>
            </w:tcBorders>
          </w:tcPr>
          <w:p w14:paraId="3DE570D0" w14:textId="77777777" w:rsidR="002D5AAC" w:rsidRDefault="002D5AAC" w:rsidP="009824A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625BC7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BB35F0" w14:textId="34B56585" w:rsidR="002D5AAC" w:rsidRDefault="009824A2" w:rsidP="009824A2">
            <w:pPr>
              <w:jc w:val="right"/>
            </w:pPr>
            <w:r w:rsidRPr="009824A2">
              <w:rPr>
                <w:sz w:val="40"/>
              </w:rPr>
              <w:t>ECE</w:t>
            </w:r>
            <w:r>
              <w:t>/TRANS/WP.15/AC.1/2024/7</w:t>
            </w:r>
          </w:p>
        </w:tc>
      </w:tr>
      <w:tr w:rsidR="002D5AAC" w:rsidRPr="00F50823" w14:paraId="6993D19A" w14:textId="77777777" w:rsidTr="00387CD4">
        <w:trPr>
          <w:trHeight w:hRule="exact" w:val="2835"/>
        </w:trPr>
        <w:tc>
          <w:tcPr>
            <w:tcW w:w="1280" w:type="dxa"/>
            <w:gridSpan w:val="2"/>
            <w:tcBorders>
              <w:top w:val="single" w:sz="4" w:space="0" w:color="auto"/>
              <w:bottom w:val="single" w:sz="12" w:space="0" w:color="auto"/>
            </w:tcBorders>
          </w:tcPr>
          <w:p w14:paraId="188CB1AD" w14:textId="77777777" w:rsidR="002D5AAC" w:rsidRDefault="002E5067" w:rsidP="00387CD4">
            <w:pPr>
              <w:spacing w:before="120"/>
              <w:jc w:val="center"/>
            </w:pPr>
            <w:r>
              <w:rPr>
                <w:noProof/>
                <w:lang w:val="fr-CH" w:eastAsia="fr-CH"/>
              </w:rPr>
              <w:drawing>
                <wp:inline distT="0" distB="0" distL="0" distR="0" wp14:anchorId="356BAA79" wp14:editId="7E77A5F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888ED9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4070FC7" w14:textId="77777777" w:rsidR="002D5AAC" w:rsidRDefault="009824A2" w:rsidP="00387CD4">
            <w:pPr>
              <w:spacing w:before="240"/>
              <w:rPr>
                <w:lang w:val="en-US"/>
              </w:rPr>
            </w:pPr>
            <w:r>
              <w:rPr>
                <w:lang w:val="en-US"/>
              </w:rPr>
              <w:t>Distr.: General</w:t>
            </w:r>
          </w:p>
          <w:p w14:paraId="15C8A9F2" w14:textId="77777777" w:rsidR="009824A2" w:rsidRDefault="009824A2" w:rsidP="009824A2">
            <w:pPr>
              <w:spacing w:line="240" w:lineRule="exact"/>
              <w:rPr>
                <w:lang w:val="en-US"/>
              </w:rPr>
            </w:pPr>
            <w:r>
              <w:rPr>
                <w:lang w:val="en-US"/>
              </w:rPr>
              <w:t>18 December 2023</w:t>
            </w:r>
          </w:p>
          <w:p w14:paraId="75144D23" w14:textId="77777777" w:rsidR="009824A2" w:rsidRDefault="009824A2" w:rsidP="009824A2">
            <w:pPr>
              <w:spacing w:line="240" w:lineRule="exact"/>
              <w:rPr>
                <w:lang w:val="en-US"/>
              </w:rPr>
            </w:pPr>
            <w:r>
              <w:rPr>
                <w:lang w:val="en-US"/>
              </w:rPr>
              <w:t>Russian</w:t>
            </w:r>
          </w:p>
          <w:p w14:paraId="6810DA4E" w14:textId="002A8270" w:rsidR="009824A2" w:rsidRPr="008D53B6" w:rsidRDefault="009824A2" w:rsidP="009824A2">
            <w:pPr>
              <w:spacing w:line="240" w:lineRule="exact"/>
              <w:rPr>
                <w:lang w:val="en-US"/>
              </w:rPr>
            </w:pPr>
            <w:r>
              <w:rPr>
                <w:lang w:val="en-US"/>
              </w:rPr>
              <w:t>Original: English</w:t>
            </w:r>
          </w:p>
        </w:tc>
      </w:tr>
    </w:tbl>
    <w:p w14:paraId="66DCF70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129589A" w14:textId="77777777" w:rsidR="009824A2" w:rsidRPr="009824A2" w:rsidRDefault="009824A2" w:rsidP="009824A2">
      <w:pPr>
        <w:spacing w:before="120"/>
        <w:rPr>
          <w:sz w:val="28"/>
          <w:szCs w:val="28"/>
        </w:rPr>
      </w:pPr>
      <w:r w:rsidRPr="009824A2">
        <w:rPr>
          <w:sz w:val="28"/>
          <w:szCs w:val="28"/>
        </w:rPr>
        <w:t>Комитет по внутреннему транспорту</w:t>
      </w:r>
    </w:p>
    <w:p w14:paraId="4A38E316" w14:textId="77777777" w:rsidR="009824A2" w:rsidRPr="009824A2" w:rsidRDefault="009824A2" w:rsidP="009824A2">
      <w:pPr>
        <w:spacing w:before="120"/>
        <w:rPr>
          <w:b/>
          <w:bCs/>
          <w:sz w:val="24"/>
          <w:szCs w:val="24"/>
        </w:rPr>
      </w:pPr>
      <w:r w:rsidRPr="009824A2">
        <w:rPr>
          <w:b/>
          <w:bCs/>
          <w:sz w:val="24"/>
          <w:szCs w:val="24"/>
        </w:rPr>
        <w:t>Рабочая группа по перевозкам опасных грузов</w:t>
      </w:r>
    </w:p>
    <w:p w14:paraId="036CA65A" w14:textId="048A499C" w:rsidR="009824A2" w:rsidRPr="003424DF" w:rsidRDefault="009824A2" w:rsidP="009824A2">
      <w:pPr>
        <w:spacing w:before="120"/>
        <w:rPr>
          <w:b/>
        </w:rPr>
      </w:pPr>
      <w:r>
        <w:rPr>
          <w:b/>
          <w:bCs/>
        </w:rPr>
        <w:t>Совместное совещание Комиссии экспертов МПОГ</w:t>
      </w:r>
      <w:r>
        <w:rPr>
          <w:b/>
          <w:bCs/>
        </w:rPr>
        <w:br/>
        <w:t>и Рабочей группы по перевозкам опасных грузов</w:t>
      </w:r>
    </w:p>
    <w:p w14:paraId="7A3678A0" w14:textId="77777777" w:rsidR="009824A2" w:rsidRPr="003424DF" w:rsidRDefault="009824A2" w:rsidP="009824A2">
      <w:r>
        <w:t>Берн, 25–28 марта 2024 года</w:t>
      </w:r>
    </w:p>
    <w:p w14:paraId="16BE793B" w14:textId="77777777" w:rsidR="009824A2" w:rsidRPr="003424DF" w:rsidRDefault="009824A2" w:rsidP="009824A2">
      <w:r>
        <w:t>Пункт 5 а) предварительной повестки дня</w:t>
      </w:r>
    </w:p>
    <w:p w14:paraId="243D7D83" w14:textId="77777777" w:rsidR="009824A2" w:rsidRPr="003424DF" w:rsidRDefault="009824A2" w:rsidP="009824A2">
      <w:pPr>
        <w:rPr>
          <w:b/>
          <w:bCs/>
        </w:rPr>
      </w:pPr>
      <w:r>
        <w:rPr>
          <w:b/>
          <w:bCs/>
        </w:rPr>
        <w:t>Предложения о внесении поправок в МПОГ/ДОПОГ/ВОПОГ:</w:t>
      </w:r>
    </w:p>
    <w:p w14:paraId="6604E374" w14:textId="77777777" w:rsidR="009824A2" w:rsidRPr="003424DF" w:rsidRDefault="009824A2" w:rsidP="009824A2">
      <w:pPr>
        <w:rPr>
          <w:b/>
          <w:bCs/>
        </w:rPr>
      </w:pPr>
      <w:r>
        <w:rPr>
          <w:b/>
          <w:bCs/>
        </w:rPr>
        <w:t>нерассмотренные вопросы</w:t>
      </w:r>
    </w:p>
    <w:p w14:paraId="6496C350" w14:textId="2BDE3CF4" w:rsidR="009824A2" w:rsidRPr="003424DF" w:rsidRDefault="009824A2" w:rsidP="009824A2">
      <w:pPr>
        <w:pStyle w:val="HChG"/>
      </w:pPr>
      <w:r>
        <w:tab/>
      </w:r>
      <w:r>
        <w:tab/>
      </w:r>
      <w:r>
        <w:rPr>
          <w:bCs/>
        </w:rPr>
        <w:t>Краски и типографские краски, классифицируемые как</w:t>
      </w:r>
      <w:r>
        <w:rPr>
          <w:bCs/>
          <w:lang w:val="en-US"/>
        </w:rPr>
        <w:t> </w:t>
      </w:r>
      <w:r>
        <w:rPr>
          <w:bCs/>
        </w:rPr>
        <w:t>вещество, опасное для окружающей среды (№</w:t>
      </w:r>
      <w:r>
        <w:rPr>
          <w:bCs/>
          <w:lang w:val="en-US"/>
        </w:rPr>
        <w:t> </w:t>
      </w:r>
      <w:r>
        <w:rPr>
          <w:bCs/>
        </w:rPr>
        <w:t>ООН</w:t>
      </w:r>
      <w:r>
        <w:rPr>
          <w:bCs/>
          <w:lang w:val="en-US"/>
        </w:rPr>
        <w:t> </w:t>
      </w:r>
      <w:r>
        <w:rPr>
          <w:bCs/>
        </w:rPr>
        <w:t>3082</w:t>
      </w:r>
      <w:r>
        <w:rPr>
          <w:bCs/>
          <w:lang w:val="en-US"/>
        </w:rPr>
        <w:t> </w:t>
      </w:r>
      <w:r>
        <w:rPr>
          <w:bCs/>
        </w:rPr>
        <w:t>класса 9), и требования к</w:t>
      </w:r>
      <w:r>
        <w:rPr>
          <w:bCs/>
          <w:lang w:val="en-US"/>
        </w:rPr>
        <w:t> </w:t>
      </w:r>
      <w:r>
        <w:rPr>
          <w:bCs/>
        </w:rPr>
        <w:t>эксплуатационным испытаниям, связанные с</w:t>
      </w:r>
      <w:r>
        <w:rPr>
          <w:bCs/>
          <w:lang w:val="en-US"/>
        </w:rPr>
        <w:t> </w:t>
      </w:r>
      <w:r>
        <w:rPr>
          <w:bCs/>
        </w:rPr>
        <w:t>упаковкой для небольших количеств</w:t>
      </w:r>
    </w:p>
    <w:p w14:paraId="319826E9" w14:textId="509EFFBE" w:rsidR="00E12C5F" w:rsidRDefault="009824A2" w:rsidP="009824A2">
      <w:pPr>
        <w:pStyle w:val="H1G"/>
        <w:rPr>
          <w:b w:val="0"/>
          <w:bCs/>
          <w:sz w:val="20"/>
        </w:rPr>
      </w:pPr>
      <w:r>
        <w:tab/>
      </w:r>
      <w:r>
        <w:tab/>
        <w:t>Представлено Европейским советом производителей красителей, типографских и художественных красок (ЕКАК)</w:t>
      </w:r>
      <w:r w:rsidRPr="009824A2">
        <w:rPr>
          <w:rStyle w:val="aa"/>
          <w:b w:val="0"/>
          <w:bCs/>
          <w:sz w:val="20"/>
          <w:vertAlign w:val="baseline"/>
        </w:rPr>
        <w:footnoteReference w:customMarkFollows="1" w:id="1"/>
        <w:t>*</w:t>
      </w:r>
      <w:r w:rsidRPr="009824A2">
        <w:rPr>
          <w:b w:val="0"/>
          <w:bCs/>
          <w:sz w:val="20"/>
        </w:rPr>
        <w:t xml:space="preserve"> </w:t>
      </w:r>
      <w:r w:rsidRPr="009824A2">
        <w:rPr>
          <w:rStyle w:val="aa"/>
          <w:b w:val="0"/>
          <w:bCs/>
          <w:sz w:val="20"/>
          <w:vertAlign w:val="baseline"/>
        </w:rPr>
        <w:footnoteReference w:customMarkFollows="1" w:id="2"/>
        <w:t>**</w:t>
      </w:r>
    </w:p>
    <w:p w14:paraId="414FC18B" w14:textId="6EF6429E" w:rsidR="009824A2" w:rsidRPr="003424DF" w:rsidRDefault="009824A2" w:rsidP="009824A2">
      <w:pPr>
        <w:pStyle w:val="HChG"/>
        <w:ind w:left="1215" w:hanging="855"/>
      </w:pPr>
      <w:r>
        <w:rPr>
          <w:bCs/>
        </w:rPr>
        <w:tab/>
        <w:t>I.</w:t>
      </w:r>
      <w:r>
        <w:tab/>
      </w:r>
      <w:r>
        <w:rPr>
          <w:bCs/>
        </w:rPr>
        <w:t>Введение</w:t>
      </w:r>
    </w:p>
    <w:p w14:paraId="7F006372" w14:textId="20F6DB9B" w:rsidR="009824A2" w:rsidRPr="003424DF" w:rsidRDefault="009824A2" w:rsidP="009824A2">
      <w:pPr>
        <w:pStyle w:val="SingleTxtG"/>
      </w:pPr>
      <w:r>
        <w:t>1.</w:t>
      </w:r>
      <w:r>
        <w:tab/>
        <w:t>В результате предыдущего предложения ЕКАК в сентябре 2021 года (документ ECE/TRANS/WP.15/AC.1/2021/37, неофициальные документы INF.26 и INF.46 (ЕКАК), а также неофициальный документ INF.37 Норвегии) в рамках МПОГ/ДОПОГ была принята переходная мера, предусматривающая освобождение от требования об</w:t>
      </w:r>
      <w:r>
        <w:rPr>
          <w:lang w:val="en-US"/>
        </w:rPr>
        <w:t> </w:t>
      </w:r>
      <w:r>
        <w:t>испытании характеристик упаковки для некоторых лакокрасочных материалов под</w:t>
      </w:r>
      <w:r>
        <w:rPr>
          <w:lang w:val="en-US"/>
        </w:rPr>
        <w:t> </w:t>
      </w:r>
      <w:r>
        <w:t>№ ООН 3082. При поддержке нескольких членов Рабочей группы по перевозкам опасных грузов (WP.15) было представлено предложенное Норвегией многостороннее соглашение M343, действующее с 18 октября 2021 года по 30 июня 2023 года. Впоследствии в МПОГ/ДОПОГ 2023 года был включен пункт 1.6.1.51, который в</w:t>
      </w:r>
      <w:r>
        <w:rPr>
          <w:lang w:val="en-US"/>
        </w:rPr>
        <w:t>  </w:t>
      </w:r>
      <w:r>
        <w:t>настоящее время действует до 30 июня 2025 года.</w:t>
      </w:r>
    </w:p>
    <w:p w14:paraId="4CF40CEA" w14:textId="021DB75A" w:rsidR="009824A2" w:rsidRPr="003424DF" w:rsidRDefault="009824A2" w:rsidP="009824A2">
      <w:pPr>
        <w:pStyle w:val="SingleTxtG"/>
      </w:pPr>
      <w:r>
        <w:t>2.</w:t>
      </w:r>
      <w:r>
        <w:tab/>
        <w:t xml:space="preserve">В нынешней переходной мере конкретно упоминаются три консерванта, чья реклассификация в соответствии с пятнадцатой Адаптацией к техническому прогрессу (АТП) Регламента ЕС по классификации, маркировке и упаковке веществ (Регламент CLP) (дата начала применения </w:t>
      </w:r>
      <w:r w:rsidRPr="009824A2">
        <w:rPr>
          <w:bCs/>
        </w:rPr>
        <w:t>—</w:t>
      </w:r>
      <w:r>
        <w:t xml:space="preserve"> 1 марта 2022 года) привела к идентификации некоторых красок и типографских красок на водной основе в качестве смесей, опасных для окружающей среды (класс 9) (в основном из-за высоких </w:t>
      </w:r>
      <w:r w:rsidR="00B441C2">
        <w:t>«</w:t>
      </w:r>
      <w:r>
        <w:t>множителей М</w:t>
      </w:r>
      <w:r w:rsidR="00B441C2">
        <w:t>»</w:t>
      </w:r>
      <w:r>
        <w:t xml:space="preserve">, присвоенных этим веществам). Консерванты необходимы для правильного </w:t>
      </w:r>
      <w:r>
        <w:lastRenderedPageBreak/>
        <w:t>функционирования и стабилизации красок и типографских красок, в частности для предотвращения порчи продукта в результате загрязнения или во время хранения. Замена этих консервантов очень сложна и даже невозможна, так как данная отрасль не</w:t>
      </w:r>
      <w:r w:rsidR="00B441C2">
        <w:t> </w:t>
      </w:r>
      <w:r>
        <w:t>в состоянии найти альтернативный вариант, который бы соответствовал техническим характеристикам. В настоящее время предусмотрены дополнительные (ре-)классификации высокотоксичных веществ в соответствии с Регламентом CLP, в</w:t>
      </w:r>
      <w:r>
        <w:rPr>
          <w:lang w:val="en-US"/>
        </w:rPr>
        <w:t> </w:t>
      </w:r>
      <w:r>
        <w:t>результате чего еще больше смесей будут попадать в класс 9, даже если они содержат очень низкие уровни (например</w:t>
      </w:r>
      <w:r w:rsidR="007219F2">
        <w:t>,</w:t>
      </w:r>
      <w:r>
        <w:t xml:space="preserve"> &lt; 0,025</w:t>
      </w:r>
      <w:r w:rsidR="007219F2">
        <w:t> </w:t>
      </w:r>
      <w:r>
        <w:t>%) соответствующих веществ. Это включает в</w:t>
      </w:r>
      <w:r w:rsidR="00B441C2">
        <w:t> </w:t>
      </w:r>
      <w:r>
        <w:t>себя рассмотрение коэффициентов М, которые применяются к классификации опасности, например консервантов (более подробная информация о</w:t>
      </w:r>
      <w:r w:rsidR="00B441C2">
        <w:t> </w:t>
      </w:r>
      <w:r>
        <w:t>коэффициентах</w:t>
      </w:r>
      <w:r w:rsidR="00B441C2">
        <w:t> </w:t>
      </w:r>
      <w:r>
        <w:t>М приведена в приложении).</w:t>
      </w:r>
    </w:p>
    <w:p w14:paraId="49A05AA1" w14:textId="5F496E13" w:rsidR="009824A2" w:rsidRPr="00F871FF" w:rsidRDefault="009824A2" w:rsidP="009824A2">
      <w:pPr>
        <w:pStyle w:val="SingleTxtG"/>
      </w:pPr>
      <w:r>
        <w:t>3.</w:t>
      </w:r>
      <w:r>
        <w:tab/>
        <w:t xml:space="preserve">Отсутствие соответствующей пластиковой упаковки, одобренной Организацией Объединенных Наций, необходимой для перевозки этих красок и типографских красок на водной основе в объемах от 5 до 30 литров, создает весьма сложную ситуацию для мирового сектора красок и типографских красок. К упаковке таких продуктов предъявляются особые требования </w:t>
      </w:r>
      <w:r w:rsidRPr="009824A2">
        <w:rPr>
          <w:bCs/>
        </w:rPr>
        <w:t>—</w:t>
      </w:r>
      <w:r>
        <w:t xml:space="preserve"> в частности, упаковка должна быть способна открываться и надежно закрываться многократно, с тем чтобы можно было подвергнуть краски на водной основе колеровке в местах продажи (например</w:t>
      </w:r>
      <w:r w:rsidRPr="009824A2">
        <w:t>,</w:t>
      </w:r>
      <w:r>
        <w:t xml:space="preserve"> в</w:t>
      </w:r>
      <w:r>
        <w:rPr>
          <w:lang w:val="en-US"/>
        </w:rPr>
        <w:t> </w:t>
      </w:r>
      <w:r>
        <w:t xml:space="preserve">магазинах </w:t>
      </w:r>
      <w:r w:rsidR="00B441C2">
        <w:t>«</w:t>
      </w:r>
      <w:r>
        <w:t>сделай сам</w:t>
      </w:r>
      <w:r w:rsidR="00B441C2">
        <w:t>»</w:t>
      </w:r>
      <w:r>
        <w:t>), а также многократно использовать концентраты типографских красок при подготовке подобранных по цвету готовых красок для полиграфических предприятий. Кроме того, некоторые краски и типографские краски несовместимы с металлической упаковкой с покрытием, поскольку могут вступить в реакцию, что приведет к обесцвечиванию, более серьезному загрязнению продукта или, возможно, к его разложению (возникновению опасной ситуации).</w:t>
      </w:r>
    </w:p>
    <w:p w14:paraId="27C1A25D" w14:textId="53512E30" w:rsidR="009824A2" w:rsidRPr="003424DF" w:rsidRDefault="009824A2" w:rsidP="009824A2">
      <w:pPr>
        <w:pStyle w:val="SingleTxtG"/>
      </w:pPr>
      <w:r>
        <w:t>4.</w:t>
      </w:r>
      <w:r>
        <w:tab/>
        <w:t>В настоящее время ЕКАК просит пересмотреть с целью продления срок действия текущей переходной меры МПОГ/ДОПОГ, с тем чтобы выйти из сохраняющейся сложной ситуации, которая заключается в отсутствии подходящей пластиковой упаковки, одобренной Организацией Объединенных Наций, и</w:t>
      </w:r>
      <w:r>
        <w:rPr>
          <w:lang w:val="en-US"/>
        </w:rPr>
        <w:t> </w:t>
      </w:r>
      <w:r>
        <w:t>необходимости дальнейшей согласованной (ре-)классификации веществ в</w:t>
      </w:r>
      <w:r>
        <w:rPr>
          <w:lang w:val="en-US"/>
        </w:rPr>
        <w:t> </w:t>
      </w:r>
      <w:r>
        <w:t>соответствии с законодательством CLP.</w:t>
      </w:r>
    </w:p>
    <w:p w14:paraId="4A7E9563" w14:textId="55C3DF43" w:rsidR="009824A2" w:rsidRPr="003424DF" w:rsidRDefault="009824A2" w:rsidP="009824A2">
      <w:pPr>
        <w:pStyle w:val="SingleTxtG"/>
      </w:pPr>
      <w:r>
        <w:t>5.</w:t>
      </w:r>
      <w:r>
        <w:tab/>
        <w:t>ЕКАК хотел бы также согласовать эти действия в рамках МПОГ/ДОПОГ с</w:t>
      </w:r>
      <w:r>
        <w:rPr>
          <w:lang w:val="en-US"/>
        </w:rPr>
        <w:t> </w:t>
      </w:r>
      <w:r>
        <w:t>усилиями, предпринимаемыми на уровне Подкомитета экспертов Организации Объединенных Наций по перевозке опасных грузов. Международный совет производителей обычных и печатных красок (</w:t>
      </w:r>
      <w:r w:rsidRPr="00586FB8">
        <w:t>МСППК</w:t>
      </w:r>
      <w:r>
        <w:t>) рассмотрел этот же вопрос в серии предложений, представленных на последних четырех сессиях Подкомитета (документы ST/SG/AC.10/C.3/2022/22 и ST/SG/AC.10/C.3/2022/56 и неофициальные документы INF.11 шестьдесят второй сессии и INF.15 шестьдесят третьей сессии).</w:t>
      </w:r>
    </w:p>
    <w:p w14:paraId="7EC606B8" w14:textId="40DFACC4" w:rsidR="009824A2" w:rsidRDefault="009824A2" w:rsidP="009824A2">
      <w:pPr>
        <w:pStyle w:val="HChG"/>
        <w:rPr>
          <w:bCs/>
        </w:rPr>
      </w:pPr>
      <w:r>
        <w:rPr>
          <w:bCs/>
        </w:rPr>
        <w:tab/>
        <w:t>II.</w:t>
      </w:r>
      <w:r>
        <w:tab/>
      </w:r>
      <w:r>
        <w:rPr>
          <w:bCs/>
        </w:rPr>
        <w:t>Предложение</w:t>
      </w:r>
    </w:p>
    <w:p w14:paraId="63B00ABD" w14:textId="77777777" w:rsidR="009824A2" w:rsidRPr="003424DF" w:rsidRDefault="009824A2" w:rsidP="009824A2">
      <w:pPr>
        <w:pStyle w:val="SingleTxtG"/>
      </w:pPr>
      <w:r>
        <w:t>6.</w:t>
      </w:r>
      <w:r>
        <w:tab/>
        <w:t xml:space="preserve">Изменить подраздел 1.6.1.51 следующим образом (новый текст </w:t>
      </w:r>
      <w:r>
        <w:rPr>
          <w:u w:val="single"/>
        </w:rPr>
        <w:t>подчеркнут</w:t>
      </w:r>
      <w:r>
        <w:t>, исключенный текст зачеркнут):</w:t>
      </w:r>
    </w:p>
    <w:p w14:paraId="7398E02E" w14:textId="137C5335" w:rsidR="009824A2" w:rsidRPr="003424DF" w:rsidRDefault="00B441C2" w:rsidP="009824A2">
      <w:pPr>
        <w:pStyle w:val="SingleTxtG"/>
        <w:ind w:left="2268" w:hanging="1134"/>
        <w:rPr>
          <w:strike/>
        </w:rPr>
      </w:pPr>
      <w:r>
        <w:t>«</w:t>
      </w:r>
      <w:r w:rsidR="009824A2">
        <w:t>1.6.1.51</w:t>
      </w:r>
      <w:r w:rsidR="009824A2">
        <w:tab/>
        <w:t>Клеи, краски и лакокрасочные материалы, типографские краски и</w:t>
      </w:r>
      <w:r w:rsidR="007219F2">
        <w:t> </w:t>
      </w:r>
      <w:r w:rsidR="009824A2">
        <w:t>материалы, используемые с типографскими красками, и растворы смолы, отнесенные к № ООН 3082 вещество, опасное для окружающей среды, жидкое, Н.У.К., группа упаковки III, в соответствии с</w:t>
      </w:r>
      <w:r w:rsidR="007219F2">
        <w:t> </w:t>
      </w:r>
      <w:r w:rsidR="009824A2">
        <w:t>пунктом</w:t>
      </w:r>
      <w:r w:rsidR="007219F2">
        <w:t> </w:t>
      </w:r>
      <w:r w:rsidR="009824A2">
        <w:t xml:space="preserve">2.2.9.1.10.6 на основании </w:t>
      </w:r>
      <w:r w:rsidR="009824A2">
        <w:rPr>
          <w:u w:val="single"/>
        </w:rPr>
        <w:t>текущих и будущих Адаптаций к</w:t>
      </w:r>
      <w:r w:rsidR="007219F2">
        <w:rPr>
          <w:u w:val="single"/>
        </w:rPr>
        <w:t> </w:t>
      </w:r>
      <w:r w:rsidR="009824A2">
        <w:rPr>
          <w:u w:val="single"/>
        </w:rPr>
        <w:t>техническому прогрессу (АТП) согласно Регламенту CLP (EC) №</w:t>
      </w:r>
      <w:r w:rsidR="007219F2">
        <w:rPr>
          <w:u w:val="single"/>
        </w:rPr>
        <w:t> </w:t>
      </w:r>
      <w:r w:rsidR="009824A2">
        <w:rPr>
          <w:u w:val="single"/>
        </w:rPr>
        <w:t>1272/2008</w:t>
      </w:r>
      <w:r w:rsidR="007219F2" w:rsidRPr="007219F2">
        <w:rPr>
          <w:strike/>
        </w:rPr>
        <w:t xml:space="preserve"> </w:t>
      </w:r>
      <w:r w:rsidR="009824A2">
        <w:rPr>
          <w:strike/>
        </w:rPr>
        <w:t>пункта</w:t>
      </w:r>
      <w:r w:rsidR="007219F2">
        <w:rPr>
          <w:strike/>
        </w:rPr>
        <w:t> </w:t>
      </w:r>
      <w:r w:rsidR="009824A2">
        <w:rPr>
          <w:strike/>
        </w:rPr>
        <w:t>2.2.9.1.10.5</w:t>
      </w:r>
      <w:r w:rsidR="009824A2">
        <w:t xml:space="preserve">, содержащие </w:t>
      </w:r>
      <w:r w:rsidR="009824A2">
        <w:rPr>
          <w:strike/>
        </w:rPr>
        <w:t>сами по себе или в комбинации не менее 0,025</w:t>
      </w:r>
      <w:r w:rsidR="007219F2">
        <w:rPr>
          <w:strike/>
        </w:rPr>
        <w:t> </w:t>
      </w:r>
      <w:r w:rsidR="009824A2">
        <w:rPr>
          <w:strike/>
        </w:rPr>
        <w:t>% таких веществ, как:</w:t>
      </w:r>
      <w:r w:rsidR="009824A2">
        <w:t xml:space="preserve"> </w:t>
      </w:r>
      <w:r w:rsidR="009824A2">
        <w:rPr>
          <w:u w:val="single"/>
        </w:rPr>
        <w:t xml:space="preserve">до 1 % </w:t>
      </w:r>
      <w:r w:rsidR="009824A2" w:rsidRPr="00AB326B">
        <w:rPr>
          <w:strike/>
        </w:rPr>
        <w:t>или более</w:t>
      </w:r>
      <w:r w:rsidR="009824A2">
        <w:rPr>
          <w:u w:val="single"/>
        </w:rPr>
        <w:t xml:space="preserve"> высокотоксичных веществ, имеющих множитель M &gt; 1,</w:t>
      </w:r>
    </w:p>
    <w:p w14:paraId="4ADD37A7" w14:textId="77777777" w:rsidR="009824A2" w:rsidRDefault="009824A2" w:rsidP="009824A2">
      <w:pPr>
        <w:spacing w:after="120"/>
        <w:ind w:left="3402" w:hanging="1134"/>
        <w:jc w:val="both"/>
        <w:rPr>
          <w:strike/>
        </w:rPr>
      </w:pPr>
      <w:r>
        <w:rPr>
          <w:strike/>
        </w:rPr>
        <w:t>- 4,5-дихлор-2-октил-2H-изотиазол-3-он (DCOIT);</w:t>
      </w:r>
    </w:p>
    <w:p w14:paraId="23ACCDB9" w14:textId="77777777" w:rsidR="009824A2" w:rsidRDefault="009824A2" w:rsidP="009824A2">
      <w:pPr>
        <w:spacing w:after="120"/>
        <w:ind w:left="3402" w:hanging="1134"/>
        <w:jc w:val="both"/>
        <w:rPr>
          <w:strike/>
        </w:rPr>
      </w:pPr>
      <w:r>
        <w:rPr>
          <w:strike/>
        </w:rPr>
        <w:t>- октилинон (OIT); и</w:t>
      </w:r>
    </w:p>
    <w:p w14:paraId="375CF3B2" w14:textId="77777777" w:rsidR="009824A2" w:rsidRPr="003424DF" w:rsidRDefault="009824A2" w:rsidP="009824A2">
      <w:pPr>
        <w:spacing w:after="120"/>
        <w:ind w:left="3402" w:hanging="1134"/>
        <w:jc w:val="both"/>
        <w:rPr>
          <w:strike/>
        </w:rPr>
      </w:pPr>
      <w:r>
        <w:rPr>
          <w:strike/>
        </w:rPr>
        <w:t>- пиритион цинка (ZnPT),</w:t>
      </w:r>
    </w:p>
    <w:p w14:paraId="03FDC411" w14:textId="77777777" w:rsidR="009824A2" w:rsidRPr="003424DF" w:rsidRDefault="009824A2" w:rsidP="009824A2">
      <w:pPr>
        <w:pStyle w:val="SingleTxtG"/>
        <w:tabs>
          <w:tab w:val="clear" w:pos="1701"/>
        </w:tabs>
        <w:ind w:left="2268" w:hanging="1134"/>
        <w:rPr>
          <w:strike/>
        </w:rPr>
      </w:pPr>
      <w:r>
        <w:lastRenderedPageBreak/>
        <w:tab/>
        <w:t>могут до 30 июня 202</w:t>
      </w:r>
      <w:r>
        <w:rPr>
          <w:u w:val="single"/>
        </w:rPr>
        <w:t>7</w:t>
      </w:r>
      <w:r>
        <w:rPr>
          <w:strike/>
        </w:rPr>
        <w:t>5</w:t>
      </w:r>
      <w:r>
        <w:t xml:space="preserve"> года перевозиться в стальной, алюминиевой, другой металлической или пластмассовой таре, которая не отвечает требованиям пункта 4.1.1.3, в количестве не более 30 литров на единицу тары следующим образом:</w:t>
      </w:r>
    </w:p>
    <w:p w14:paraId="39576FD5" w14:textId="77777777" w:rsidR="009824A2" w:rsidRPr="003424DF" w:rsidRDefault="009824A2" w:rsidP="007219F2">
      <w:pPr>
        <w:pStyle w:val="SingleTxtG"/>
        <w:tabs>
          <w:tab w:val="clear" w:pos="1701"/>
        </w:tabs>
        <w:ind w:left="2835" w:hanging="567"/>
      </w:pPr>
      <w:r>
        <w:t>a)</w:t>
      </w:r>
      <w:r>
        <w:tab/>
        <w:t>в пакетах, ящиках-поддонах или в тарно-погрузочном приспособлении; например, отдельные упаковки укладываются или штабелируются на поддоне и закрепляются при помощи ленты, термоусадочного или растягивающего материала либо иным подходящим способом; или</w:t>
      </w:r>
    </w:p>
    <w:p w14:paraId="6A6A05EF" w14:textId="1F4A3697" w:rsidR="009824A2" w:rsidRPr="003424DF" w:rsidRDefault="009824A2" w:rsidP="007219F2">
      <w:pPr>
        <w:pStyle w:val="SingleTxtG"/>
        <w:tabs>
          <w:tab w:val="clear" w:pos="1701"/>
        </w:tabs>
        <w:ind w:left="2835" w:hanging="567"/>
      </w:pPr>
      <w:r>
        <w:t>b)</w:t>
      </w:r>
      <w:r>
        <w:tab/>
        <w:t>в качестве внутренней тары в комбинированной таре максимальной массой нетто 40 кг</w:t>
      </w:r>
      <w:r w:rsidR="00B441C2">
        <w:t>»</w:t>
      </w:r>
      <w:r>
        <w:t>.</w:t>
      </w:r>
    </w:p>
    <w:p w14:paraId="00728D93" w14:textId="77777777" w:rsidR="009824A2" w:rsidRPr="003424DF" w:rsidRDefault="009824A2" w:rsidP="009824A2">
      <w:pPr>
        <w:pStyle w:val="HChG"/>
      </w:pPr>
      <w:r>
        <w:rPr>
          <w:bCs/>
        </w:rPr>
        <w:tab/>
        <w:t>III.</w:t>
      </w:r>
      <w:r>
        <w:tab/>
      </w:r>
      <w:r>
        <w:rPr>
          <w:bCs/>
        </w:rPr>
        <w:t>Обоснование</w:t>
      </w:r>
    </w:p>
    <w:p w14:paraId="45ADFB85" w14:textId="6C65BD14" w:rsidR="009824A2" w:rsidRPr="003424DF" w:rsidRDefault="009824A2" w:rsidP="009824A2">
      <w:pPr>
        <w:pStyle w:val="SingleTxtG"/>
      </w:pPr>
      <w:r>
        <w:t>7.</w:t>
      </w:r>
      <w:r>
        <w:tab/>
        <w:t xml:space="preserve">Количество красок и типографских красок, относящихся к веществам, опасным для окружающей среды, класса 9, продолжает расти в связи с новыми согласованными (ре-)классификациями некоторых компонентов высокотоксичных веществ в дополнение к тем, которые были определены в рамках текущей переходной меры. Эти продукты уже безопасно транспортируются в объемах до 30 литров в соответствии с существующей практикой и процедурами с использованием упаковки, которая соответствует требованиям пунктов 4.1.1.1 и 4.1.1.2. Таким образом, данная упаковка соответствует руководящему принципу </w:t>
      </w:r>
      <w:r>
        <w:rPr>
          <w:i/>
          <w:iCs/>
        </w:rPr>
        <w:t>Типовых правил</w:t>
      </w:r>
      <w:r>
        <w:t>, ограничивая потенциальный риск до возможного минимума. Требования к упаковке, диктуемые технологией изготовления и использованием продукта, обусловливают необходимость постоянного наличия пластиковой упаковки, для которой в настоящее время не существует одобренных Организацией Объединенных Наций вариантов. Установление требования об использовании упаковки, одобренной Организацией Объединенных Наций, затруднит перевозку указанных продуктов.</w:t>
      </w:r>
    </w:p>
    <w:p w14:paraId="3E970338" w14:textId="06FC0562" w:rsidR="009824A2" w:rsidRPr="00DB4994" w:rsidRDefault="009824A2" w:rsidP="009824A2">
      <w:pPr>
        <w:pStyle w:val="SingleTxtG"/>
      </w:pPr>
      <w:r>
        <w:t>8.</w:t>
      </w:r>
      <w:r>
        <w:tab/>
        <w:t>Текущие обсуждения на уровне Подкомитета экспертов Организации Объединенных Наций и последующие возможные действия (например</w:t>
      </w:r>
      <w:r w:rsidR="007219F2">
        <w:t>,</w:t>
      </w:r>
      <w:r>
        <w:t xml:space="preserve"> внесение изменений в </w:t>
      </w:r>
      <w:r>
        <w:rPr>
          <w:i/>
          <w:iCs/>
        </w:rPr>
        <w:t>Типовые правила</w:t>
      </w:r>
      <w:r>
        <w:t>) не планируется завершить до истечения текущего переходного периода МПОГ/ДОПОГ (30 июня 2025 года). В силу этого необходимо продлить срок действия существующей переходной меры в МПОГ/ДОПОГ, с тем чтобы можно было завершить текущую работу в рамках Подкомитета (предполагается, что эта деятельность будет завершена к концу текущего двухгодичного периода, т. е. к декабрю 2024 года).</w:t>
      </w:r>
    </w:p>
    <w:p w14:paraId="5FF3AE5F" w14:textId="6306F20A" w:rsidR="009824A2" w:rsidRDefault="009824A2" w:rsidP="009824A2">
      <w:pPr>
        <w:pStyle w:val="SingleTxtG"/>
      </w:pPr>
      <w:r>
        <w:t>9.</w:t>
      </w:r>
      <w:r>
        <w:tab/>
        <w:t>ЕКАК приветствует предстоящее обсуждение на сессии Совместного совещания в марте 2024 года вопроса о наилучших дальнейших действиях.</w:t>
      </w:r>
    </w:p>
    <w:p w14:paraId="1C805DB3" w14:textId="60E5A19C" w:rsidR="009824A2" w:rsidRDefault="009824A2" w:rsidP="009824A2">
      <w:pPr>
        <w:pStyle w:val="SingleTxtG"/>
      </w:pPr>
      <w:r>
        <w:br w:type="page"/>
      </w:r>
    </w:p>
    <w:p w14:paraId="13B786A2" w14:textId="77777777" w:rsidR="009824A2" w:rsidRPr="003424DF" w:rsidRDefault="009824A2" w:rsidP="009824A2">
      <w:pPr>
        <w:pStyle w:val="HChG"/>
        <w:tabs>
          <w:tab w:val="left" w:pos="6521"/>
        </w:tabs>
      </w:pPr>
      <w:r>
        <w:rPr>
          <w:bCs/>
        </w:rPr>
        <w:lastRenderedPageBreak/>
        <w:t>Приложение</w:t>
      </w:r>
    </w:p>
    <w:p w14:paraId="02B4C148" w14:textId="77777777" w:rsidR="009824A2" w:rsidRPr="003424DF" w:rsidRDefault="009824A2" w:rsidP="009824A2">
      <w:pPr>
        <w:pStyle w:val="SingleTxtG"/>
        <w:jc w:val="right"/>
        <w:rPr>
          <w:b/>
        </w:rPr>
      </w:pPr>
      <w:r>
        <w:t>[Только на английском языке]</w:t>
      </w:r>
    </w:p>
    <w:p w14:paraId="1B792630" w14:textId="1E1FF2A9" w:rsidR="009824A2" w:rsidRPr="009824A2" w:rsidRDefault="009824A2" w:rsidP="009824A2">
      <w:pPr>
        <w:pStyle w:val="HChG"/>
        <w:rPr>
          <w:lang w:val="en-US"/>
        </w:rPr>
      </w:pPr>
      <w:r w:rsidRPr="007219F2">
        <w:tab/>
      </w:r>
      <w:r w:rsidRPr="007219F2">
        <w:tab/>
      </w:r>
      <w:r w:rsidRPr="009824A2">
        <w:rPr>
          <w:lang w:val="en-US"/>
        </w:rPr>
        <w:t>Environmentally hazardous classification and M-factors</w:t>
      </w:r>
    </w:p>
    <w:p w14:paraId="11BAB7A3" w14:textId="77777777" w:rsidR="009824A2" w:rsidRPr="009824A2" w:rsidRDefault="009824A2" w:rsidP="009824A2">
      <w:pPr>
        <w:pStyle w:val="HChG"/>
        <w:rPr>
          <w:lang w:val="en-US"/>
        </w:rPr>
      </w:pPr>
      <w:r w:rsidRPr="009824A2">
        <w:rPr>
          <w:lang w:val="en-US"/>
        </w:rPr>
        <w:tab/>
        <w:t>I.</w:t>
      </w:r>
      <w:r w:rsidRPr="009824A2">
        <w:rPr>
          <w:lang w:val="en-US"/>
        </w:rPr>
        <w:tab/>
        <w:t>Introduction</w:t>
      </w:r>
    </w:p>
    <w:p w14:paraId="4323A488" w14:textId="77777777" w:rsidR="009824A2" w:rsidRPr="009824A2" w:rsidRDefault="009824A2" w:rsidP="009824A2">
      <w:pPr>
        <w:pStyle w:val="SingleTxtG"/>
        <w:rPr>
          <w:lang w:val="en-US"/>
        </w:rPr>
      </w:pPr>
      <w:r w:rsidRPr="009824A2">
        <w:rPr>
          <w:lang w:val="en-US"/>
        </w:rPr>
        <w:t>1.</w:t>
      </w:r>
      <w:r w:rsidRPr="009824A2">
        <w:rPr>
          <w:lang w:val="en-US"/>
        </w:rPr>
        <w:tab/>
      </w:r>
      <w:r w:rsidRPr="00DD6A2F">
        <w:rPr>
          <w:lang w:val="en-US"/>
        </w:rPr>
        <w:t xml:space="preserve">In 2009/2010, the term "environmentally hazardous (aquatic environment)" was implemented in the transport of dangerous goods regulations. The criteria in the </w:t>
      </w:r>
      <w:r w:rsidRPr="00336311">
        <w:rPr>
          <w:i/>
          <w:iCs/>
          <w:lang w:val="en-US"/>
        </w:rPr>
        <w:t>Globally Harmonized System of Classification and Labelling of Chemicals (GHS)</w:t>
      </w:r>
      <w:r w:rsidRPr="00DD6A2F">
        <w:rPr>
          <w:lang w:val="en-US"/>
        </w:rPr>
        <w:t xml:space="preserve"> is used </w:t>
      </w:r>
      <w:r w:rsidRPr="009824A2">
        <w:rPr>
          <w:lang w:val="en-US"/>
        </w:rPr>
        <w:t>in</w:t>
      </w:r>
      <w:r w:rsidRPr="00DD6A2F">
        <w:rPr>
          <w:lang w:val="en-US"/>
        </w:rPr>
        <w:t xml:space="preserve"> the </w:t>
      </w:r>
      <w:r w:rsidRPr="001C1BE9">
        <w:rPr>
          <w:i/>
          <w:iCs/>
          <w:lang w:val="en-US"/>
        </w:rPr>
        <w:t>Model Regulations</w:t>
      </w:r>
      <w:r w:rsidRPr="00DD6A2F">
        <w:rPr>
          <w:lang w:val="en-US"/>
        </w:rPr>
        <w:t xml:space="preserve"> to identify environmentally hazardous chemical (in particular hazardous to the aquatic environment) and to define the applicable transport conditions (e.g. packing requirements) to avoid or minimize their release into the environment.</w:t>
      </w:r>
    </w:p>
    <w:p w14:paraId="496BD7B6" w14:textId="77777777" w:rsidR="009824A2" w:rsidRPr="009824A2" w:rsidRDefault="009824A2" w:rsidP="009824A2">
      <w:pPr>
        <w:pStyle w:val="SingleTxtG"/>
        <w:rPr>
          <w:lang w:val="en-US"/>
        </w:rPr>
      </w:pPr>
      <w:r>
        <w:rPr>
          <w:lang w:val="en-US"/>
        </w:rPr>
        <w:t>2.</w:t>
      </w:r>
      <w:r>
        <w:rPr>
          <w:lang w:val="en-US"/>
        </w:rPr>
        <w:tab/>
      </w:r>
      <w:r w:rsidRPr="00DD6A2F">
        <w:rPr>
          <w:lang w:val="en-US"/>
        </w:rPr>
        <w:t xml:space="preserve">There are </w:t>
      </w:r>
      <w:r>
        <w:rPr>
          <w:lang w:val="en-US"/>
        </w:rPr>
        <w:t>two</w:t>
      </w:r>
      <w:r w:rsidRPr="00DD6A2F">
        <w:rPr>
          <w:lang w:val="en-US"/>
        </w:rPr>
        <w:t xml:space="preserve"> options to classify the environmental hazard in class 9 for substances and mixtures in </w:t>
      </w:r>
      <w:r>
        <w:rPr>
          <w:lang w:val="en-US"/>
        </w:rPr>
        <w:t xml:space="preserve">packing group </w:t>
      </w:r>
      <w:r w:rsidRPr="00DD6A2F">
        <w:rPr>
          <w:lang w:val="en-US"/>
        </w:rPr>
        <w:t>III:</w:t>
      </w:r>
    </w:p>
    <w:p w14:paraId="493F46F2" w14:textId="77777777" w:rsidR="009824A2" w:rsidRPr="009824A2" w:rsidRDefault="009824A2" w:rsidP="009824A2">
      <w:pPr>
        <w:pStyle w:val="SingleTxtG"/>
        <w:ind w:left="1701"/>
        <w:rPr>
          <w:lang w:val="en-US"/>
        </w:rPr>
      </w:pPr>
      <w:r>
        <w:rPr>
          <w:lang w:val="en-US"/>
        </w:rPr>
        <w:t>(a)</w:t>
      </w:r>
      <w:r>
        <w:rPr>
          <w:lang w:val="en-US"/>
        </w:rPr>
        <w:tab/>
      </w:r>
      <w:r w:rsidRPr="00DD6A2F">
        <w:rPr>
          <w:lang w:val="en-US"/>
        </w:rPr>
        <w:t>UN</w:t>
      </w:r>
      <w:r>
        <w:rPr>
          <w:lang w:val="en-US"/>
        </w:rPr>
        <w:t> </w:t>
      </w:r>
      <w:r w:rsidRPr="00DD6A2F">
        <w:rPr>
          <w:lang w:val="en-US"/>
        </w:rPr>
        <w:t>3077 ENVIRONMENTALLY HAZARDOUS SUBSTANCE, SOLID, N.O.S. or</w:t>
      </w:r>
    </w:p>
    <w:p w14:paraId="1B9185FC" w14:textId="77777777" w:rsidR="009824A2" w:rsidRPr="009824A2" w:rsidRDefault="009824A2" w:rsidP="009824A2">
      <w:pPr>
        <w:pStyle w:val="SingleTxtG"/>
        <w:ind w:left="1701"/>
        <w:rPr>
          <w:lang w:val="en-US"/>
        </w:rPr>
      </w:pPr>
      <w:r>
        <w:rPr>
          <w:lang w:val="en-US"/>
        </w:rPr>
        <w:t>(b)</w:t>
      </w:r>
      <w:r>
        <w:rPr>
          <w:lang w:val="en-US"/>
        </w:rPr>
        <w:tab/>
      </w:r>
      <w:r w:rsidRPr="00DD6A2F">
        <w:rPr>
          <w:lang w:val="en-US"/>
        </w:rPr>
        <w:t>UN</w:t>
      </w:r>
      <w:r>
        <w:rPr>
          <w:lang w:val="en-US"/>
        </w:rPr>
        <w:t> </w:t>
      </w:r>
      <w:r w:rsidRPr="00DD6A2F">
        <w:rPr>
          <w:lang w:val="en-US"/>
        </w:rPr>
        <w:t>3082 ENVIRONMENTALLY HAZARDOUS SUBSTANCE, LIQUID, N.O.S.</w:t>
      </w:r>
    </w:p>
    <w:p w14:paraId="38CDE6BE" w14:textId="77777777" w:rsidR="009824A2" w:rsidRPr="009824A2" w:rsidRDefault="009824A2" w:rsidP="009824A2">
      <w:pPr>
        <w:pStyle w:val="HChG"/>
        <w:rPr>
          <w:lang w:val="en-US"/>
        </w:rPr>
      </w:pPr>
      <w:r w:rsidRPr="009824A2">
        <w:rPr>
          <w:lang w:val="en-US"/>
        </w:rPr>
        <w:tab/>
        <w:t>II.</w:t>
      </w:r>
      <w:r w:rsidRPr="009824A2">
        <w:rPr>
          <w:lang w:val="en-US"/>
        </w:rPr>
        <w:tab/>
        <w:t>Criteria basics</w:t>
      </w:r>
    </w:p>
    <w:p w14:paraId="4E19EAD4" w14:textId="77777777" w:rsidR="009824A2" w:rsidRPr="009824A2" w:rsidRDefault="009824A2" w:rsidP="009824A2">
      <w:pPr>
        <w:pStyle w:val="SingleTxtG"/>
        <w:rPr>
          <w:lang w:val="en-US"/>
        </w:rPr>
      </w:pPr>
      <w:r>
        <w:rPr>
          <w:lang w:val="en-US"/>
        </w:rPr>
        <w:t>3.</w:t>
      </w:r>
      <w:r>
        <w:rPr>
          <w:lang w:val="en-US"/>
        </w:rPr>
        <w:tab/>
      </w:r>
      <w:r w:rsidRPr="00DD6A2F">
        <w:rPr>
          <w:lang w:val="en-US"/>
        </w:rPr>
        <w:t xml:space="preserve">The basic elements for classification of environmentally hazardous substances are: </w:t>
      </w:r>
    </w:p>
    <w:p w14:paraId="53529EC1" w14:textId="77777777" w:rsidR="009824A2" w:rsidRPr="009824A2" w:rsidRDefault="009824A2" w:rsidP="009824A2">
      <w:pPr>
        <w:pStyle w:val="SingleTxtG"/>
        <w:ind w:left="1701"/>
        <w:rPr>
          <w:lang w:val="en-US"/>
        </w:rPr>
      </w:pPr>
      <w:r w:rsidRPr="009824A2">
        <w:rPr>
          <w:lang w:val="en-US"/>
        </w:rPr>
        <w:t>(a)</w:t>
      </w:r>
      <w:r w:rsidRPr="009824A2">
        <w:rPr>
          <w:lang w:val="en-US"/>
        </w:rPr>
        <w:tab/>
        <w:t>Acute aquatic toxicity;</w:t>
      </w:r>
    </w:p>
    <w:p w14:paraId="23A146DB" w14:textId="77777777" w:rsidR="009824A2" w:rsidRPr="009824A2" w:rsidRDefault="009824A2" w:rsidP="009824A2">
      <w:pPr>
        <w:pStyle w:val="SingleTxtG"/>
        <w:ind w:left="1701"/>
        <w:rPr>
          <w:lang w:val="en-US"/>
        </w:rPr>
      </w:pPr>
      <w:r w:rsidRPr="009824A2">
        <w:rPr>
          <w:lang w:val="en-US"/>
        </w:rPr>
        <w:t>(b)</w:t>
      </w:r>
      <w:r w:rsidRPr="009824A2">
        <w:rPr>
          <w:lang w:val="en-US"/>
        </w:rPr>
        <w:tab/>
        <w:t>Chronic aquatic toxicity;</w:t>
      </w:r>
    </w:p>
    <w:p w14:paraId="7D27F2E2" w14:textId="77777777" w:rsidR="009824A2" w:rsidRPr="009824A2" w:rsidRDefault="009824A2" w:rsidP="009824A2">
      <w:pPr>
        <w:pStyle w:val="SingleTxtG"/>
        <w:ind w:left="1701"/>
        <w:rPr>
          <w:lang w:val="en-US"/>
        </w:rPr>
      </w:pPr>
      <w:r w:rsidRPr="009824A2">
        <w:rPr>
          <w:lang w:val="en-US"/>
        </w:rPr>
        <w:t>(c)</w:t>
      </w:r>
      <w:r w:rsidRPr="009824A2">
        <w:rPr>
          <w:lang w:val="en-US"/>
        </w:rPr>
        <w:tab/>
        <w:t>Potential for or actual bioaccumulation;</w:t>
      </w:r>
    </w:p>
    <w:p w14:paraId="009DB234" w14:textId="77777777" w:rsidR="009824A2" w:rsidRPr="009824A2" w:rsidRDefault="009824A2" w:rsidP="009824A2">
      <w:pPr>
        <w:pStyle w:val="SingleTxtG"/>
        <w:ind w:left="1701"/>
        <w:rPr>
          <w:lang w:val="en-US"/>
        </w:rPr>
      </w:pPr>
      <w:r w:rsidRPr="009824A2">
        <w:rPr>
          <w:lang w:val="en-US"/>
        </w:rPr>
        <w:t>(d)</w:t>
      </w:r>
      <w:r w:rsidRPr="009824A2">
        <w:rPr>
          <w:lang w:val="en-US"/>
        </w:rPr>
        <w:tab/>
        <w:t>Degradation for organic chemicals.</w:t>
      </w:r>
    </w:p>
    <w:p w14:paraId="3CCA3029" w14:textId="77777777" w:rsidR="009824A2" w:rsidRPr="009824A2" w:rsidRDefault="009824A2" w:rsidP="009824A2">
      <w:pPr>
        <w:pStyle w:val="SingleTxtG"/>
        <w:rPr>
          <w:lang w:val="en-US"/>
        </w:rPr>
      </w:pPr>
      <w:r>
        <w:rPr>
          <w:lang w:val="en-US"/>
        </w:rPr>
        <w:t>4.</w:t>
      </w:r>
      <w:r>
        <w:rPr>
          <w:lang w:val="en-US"/>
        </w:rPr>
        <w:tab/>
      </w:r>
      <w:r w:rsidRPr="00DD6A2F">
        <w:rPr>
          <w:lang w:val="en-US"/>
        </w:rPr>
        <w:t>The categories implemented for transport are Acute Category 1, Chronic Category 1 and 2. If one of these categories apply and the substance/mixture has not been assigned to hazard class</w:t>
      </w:r>
      <w:r>
        <w:rPr>
          <w:lang w:val="en-US"/>
        </w:rPr>
        <w:t>es</w:t>
      </w:r>
      <w:r w:rsidRPr="00DD6A2F">
        <w:rPr>
          <w:lang w:val="en-US"/>
        </w:rPr>
        <w:t xml:space="preserve"> 1 to 8, it is classified as UN</w:t>
      </w:r>
      <w:r>
        <w:rPr>
          <w:lang w:val="en-US"/>
        </w:rPr>
        <w:t> </w:t>
      </w:r>
      <w:r w:rsidRPr="00DD6A2F">
        <w:rPr>
          <w:lang w:val="en-US"/>
        </w:rPr>
        <w:t>3077/3082 environmentally hazardous in PG</w:t>
      </w:r>
      <w:r>
        <w:rPr>
          <w:lang w:val="en-US"/>
        </w:rPr>
        <w:t> </w:t>
      </w:r>
      <w:r w:rsidRPr="00DD6A2F">
        <w:rPr>
          <w:lang w:val="en-US"/>
        </w:rPr>
        <w:t>III.</w:t>
      </w:r>
    </w:p>
    <w:p w14:paraId="33A6625F" w14:textId="77777777" w:rsidR="009824A2" w:rsidRPr="009824A2" w:rsidRDefault="009824A2" w:rsidP="009824A2">
      <w:pPr>
        <w:pStyle w:val="SingleTxtG"/>
        <w:rPr>
          <w:lang w:val="en-US"/>
        </w:rPr>
      </w:pPr>
      <w:r>
        <w:rPr>
          <w:lang w:val="en-US"/>
        </w:rPr>
        <w:t>5.</w:t>
      </w:r>
      <w:r>
        <w:rPr>
          <w:lang w:val="en-US"/>
        </w:rPr>
        <w:tab/>
      </w:r>
      <w:r w:rsidRPr="00DD6A2F">
        <w:rPr>
          <w:lang w:val="en-US"/>
        </w:rPr>
        <w:t>If it meets the criteria for class</w:t>
      </w:r>
      <w:r>
        <w:rPr>
          <w:lang w:val="en-US"/>
        </w:rPr>
        <w:t>es</w:t>
      </w:r>
      <w:r w:rsidRPr="00DD6A2F">
        <w:rPr>
          <w:lang w:val="en-US"/>
        </w:rPr>
        <w:t xml:space="preserve"> 1</w:t>
      </w:r>
      <w:r>
        <w:rPr>
          <w:lang w:val="en-US"/>
        </w:rPr>
        <w:t xml:space="preserve"> to </w:t>
      </w:r>
      <w:r w:rsidRPr="00DD6A2F">
        <w:rPr>
          <w:lang w:val="en-US"/>
        </w:rPr>
        <w:t xml:space="preserve">8 and thus another </w:t>
      </w:r>
      <w:r>
        <w:rPr>
          <w:lang w:val="en-US"/>
        </w:rPr>
        <w:t>packing</w:t>
      </w:r>
      <w:r w:rsidRPr="00DD6A2F">
        <w:rPr>
          <w:lang w:val="en-US"/>
        </w:rPr>
        <w:t xml:space="preserve"> applies based on these hazards, this </w:t>
      </w:r>
      <w:r>
        <w:rPr>
          <w:lang w:val="en-US"/>
        </w:rPr>
        <w:t>packing group</w:t>
      </w:r>
      <w:r w:rsidRPr="00DD6A2F">
        <w:rPr>
          <w:lang w:val="en-US"/>
        </w:rPr>
        <w:t xml:space="preserve"> takes precedence and the environmentally hazard is adding to the existing classification.</w:t>
      </w:r>
    </w:p>
    <w:p w14:paraId="1118B4C6" w14:textId="77777777" w:rsidR="009824A2" w:rsidRDefault="009824A2" w:rsidP="009824A2">
      <w:pPr>
        <w:pStyle w:val="SingleTxtG"/>
        <w:rPr>
          <w:lang w:val="en-US"/>
        </w:rPr>
      </w:pPr>
      <w:r>
        <w:rPr>
          <w:lang w:val="en-US"/>
        </w:rPr>
        <w:t>6.</w:t>
      </w:r>
      <w:r>
        <w:rPr>
          <w:lang w:val="en-US"/>
        </w:rPr>
        <w:tab/>
      </w:r>
      <w:r w:rsidRPr="00DD6A2F">
        <w:rPr>
          <w:lang w:val="en-US"/>
        </w:rPr>
        <w:t>The criteria for acute and chronic categories for substance:</w:t>
      </w:r>
    </w:p>
    <w:p w14:paraId="7BDBD6BC" w14:textId="77777777" w:rsidR="009824A2" w:rsidRDefault="009824A2" w:rsidP="009824A2">
      <w:pPr>
        <w:rPr>
          <w:lang w:val="en-US"/>
        </w:rPr>
      </w:pPr>
      <w:r>
        <w:rPr>
          <w:lang w:val="en-US"/>
        </w:rPr>
        <w:br w:type="page"/>
      </w:r>
    </w:p>
    <w:p w14:paraId="3BC9DD16" w14:textId="77777777" w:rsidR="009824A2" w:rsidRPr="009824A2" w:rsidRDefault="009824A2" w:rsidP="009824A2">
      <w:pPr>
        <w:jc w:val="center"/>
        <w:rPr>
          <w:b/>
          <w:lang w:val="en-US" w:eastAsia="nl-NL"/>
        </w:rPr>
      </w:pPr>
      <w:r w:rsidRPr="009824A2">
        <w:rPr>
          <w:b/>
          <w:lang w:val="en-US" w:eastAsia="nl-NL"/>
        </w:rPr>
        <w:lastRenderedPageBreak/>
        <w:t>Table 2.2.9.1.10.3.2: Classification scheme for substances hazardous to the aquatic environment</w:t>
      </w:r>
    </w:p>
    <w:p w14:paraId="4A337952" w14:textId="77777777" w:rsidR="009824A2" w:rsidRPr="009824A2" w:rsidRDefault="009824A2" w:rsidP="009824A2">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05"/>
        <w:gridCol w:w="2078"/>
        <w:gridCol w:w="2461"/>
        <w:gridCol w:w="3195"/>
      </w:tblGrid>
      <w:tr w:rsidR="009824A2" w:rsidRPr="00A826DD" w14:paraId="3976BBCE" w14:textId="77777777" w:rsidTr="00BD75A8">
        <w:trPr>
          <w:tblHeader/>
        </w:trPr>
        <w:tc>
          <w:tcPr>
            <w:tcW w:w="9639" w:type="dxa"/>
            <w:gridSpan w:val="4"/>
          </w:tcPr>
          <w:p w14:paraId="33C220F2" w14:textId="77777777" w:rsidR="009824A2" w:rsidRPr="00A826DD" w:rsidRDefault="009824A2" w:rsidP="00BD75A8">
            <w:pPr>
              <w:spacing w:before="20" w:after="20"/>
              <w:jc w:val="center"/>
              <w:rPr>
                <w:b/>
              </w:rPr>
            </w:pPr>
            <w:proofErr w:type="spellStart"/>
            <w:r w:rsidRPr="00A826DD">
              <w:rPr>
                <w:b/>
                <w:bCs/>
              </w:rPr>
              <w:t>Classification</w:t>
            </w:r>
            <w:proofErr w:type="spellEnd"/>
            <w:r w:rsidRPr="00A826DD">
              <w:rPr>
                <w:b/>
                <w:bCs/>
              </w:rPr>
              <w:t xml:space="preserve"> </w:t>
            </w:r>
            <w:proofErr w:type="spellStart"/>
            <w:r w:rsidRPr="00A826DD">
              <w:rPr>
                <w:b/>
                <w:bCs/>
              </w:rPr>
              <w:t>categories</w:t>
            </w:r>
            <w:proofErr w:type="spellEnd"/>
          </w:p>
        </w:tc>
      </w:tr>
      <w:tr w:rsidR="009824A2" w:rsidRPr="00F50823" w14:paraId="56109319" w14:textId="77777777" w:rsidTr="00BD75A8">
        <w:trPr>
          <w:tblHeader/>
        </w:trPr>
        <w:tc>
          <w:tcPr>
            <w:tcW w:w="1905" w:type="dxa"/>
            <w:vMerge w:val="restart"/>
            <w:vAlign w:val="center"/>
          </w:tcPr>
          <w:p w14:paraId="1B0FAA26" w14:textId="77777777" w:rsidR="009824A2" w:rsidRPr="00A826DD" w:rsidRDefault="009824A2" w:rsidP="00BD75A8">
            <w:pPr>
              <w:spacing w:before="20" w:after="20"/>
              <w:jc w:val="center"/>
            </w:pPr>
            <w:proofErr w:type="spellStart"/>
            <w:r w:rsidRPr="00A826DD">
              <w:rPr>
                <w:b/>
                <w:bCs/>
              </w:rPr>
              <w:t>Acute</w:t>
            </w:r>
            <w:proofErr w:type="spellEnd"/>
            <w:r w:rsidRPr="00A826DD">
              <w:rPr>
                <w:b/>
                <w:bCs/>
              </w:rPr>
              <w:t xml:space="preserve"> </w:t>
            </w:r>
            <w:proofErr w:type="spellStart"/>
            <w:r w:rsidRPr="00A826DD">
              <w:rPr>
                <w:b/>
                <w:bCs/>
              </w:rPr>
              <w:t>hazard</w:t>
            </w:r>
            <w:proofErr w:type="spellEnd"/>
            <w:r w:rsidRPr="00A826DD">
              <w:rPr>
                <w:b/>
                <w:bCs/>
              </w:rPr>
              <w:br/>
            </w:r>
            <w:r w:rsidRPr="00A826DD">
              <w:rPr>
                <w:bCs/>
              </w:rPr>
              <w:t>(</w:t>
            </w:r>
            <w:proofErr w:type="spellStart"/>
            <w:r w:rsidRPr="00A826DD">
              <w:rPr>
                <w:bCs/>
                <w:i/>
                <w:iCs/>
              </w:rPr>
              <w:t>see</w:t>
            </w:r>
            <w:proofErr w:type="spellEnd"/>
            <w:r w:rsidRPr="00A826DD">
              <w:rPr>
                <w:bCs/>
              </w:rPr>
              <w:t xml:space="preserve"> </w:t>
            </w:r>
            <w:r w:rsidRPr="00A826DD">
              <w:rPr>
                <w:bCs/>
                <w:i/>
                <w:iCs/>
              </w:rPr>
              <w:t>Note 1</w:t>
            </w:r>
            <w:r w:rsidRPr="00A826DD">
              <w:rPr>
                <w:bCs/>
              </w:rPr>
              <w:t>)</w:t>
            </w:r>
          </w:p>
        </w:tc>
        <w:tc>
          <w:tcPr>
            <w:tcW w:w="7734" w:type="dxa"/>
            <w:gridSpan w:val="3"/>
          </w:tcPr>
          <w:p w14:paraId="42FF4540" w14:textId="77777777" w:rsidR="009824A2" w:rsidRPr="009824A2" w:rsidRDefault="009824A2" w:rsidP="00BD75A8">
            <w:pPr>
              <w:spacing w:before="20" w:after="20"/>
              <w:jc w:val="center"/>
              <w:rPr>
                <w:b/>
                <w:lang w:val="en-US"/>
              </w:rPr>
            </w:pPr>
            <w:r w:rsidRPr="009824A2">
              <w:rPr>
                <w:b/>
                <w:lang w:val="en-US"/>
              </w:rPr>
              <w:t xml:space="preserve">Long-term hazard </w:t>
            </w:r>
            <w:r w:rsidRPr="009824A2">
              <w:rPr>
                <w:lang w:val="en-US"/>
              </w:rPr>
              <w:t>(</w:t>
            </w:r>
            <w:r w:rsidRPr="009824A2">
              <w:rPr>
                <w:i/>
                <w:iCs/>
                <w:lang w:val="en-US"/>
              </w:rPr>
              <w:t>see</w:t>
            </w:r>
            <w:r w:rsidRPr="009824A2">
              <w:rPr>
                <w:lang w:val="en-US"/>
              </w:rPr>
              <w:t xml:space="preserve"> </w:t>
            </w:r>
            <w:r w:rsidRPr="009824A2">
              <w:rPr>
                <w:i/>
                <w:iCs/>
                <w:lang w:val="en-US"/>
              </w:rPr>
              <w:t>Note 2</w:t>
            </w:r>
            <w:r w:rsidRPr="009824A2">
              <w:rPr>
                <w:lang w:val="en-US"/>
              </w:rPr>
              <w:t>)</w:t>
            </w:r>
          </w:p>
        </w:tc>
      </w:tr>
      <w:tr w:rsidR="009824A2" w:rsidRPr="00F50823" w14:paraId="5F24BD3C" w14:textId="77777777" w:rsidTr="00BD75A8">
        <w:trPr>
          <w:tblHeader/>
        </w:trPr>
        <w:tc>
          <w:tcPr>
            <w:tcW w:w="1905" w:type="dxa"/>
            <w:vMerge/>
          </w:tcPr>
          <w:p w14:paraId="54E800AB" w14:textId="77777777" w:rsidR="009824A2" w:rsidRPr="009824A2" w:rsidRDefault="009824A2" w:rsidP="00BD75A8">
            <w:pPr>
              <w:spacing w:before="20" w:after="20"/>
              <w:rPr>
                <w:lang w:val="en-US"/>
              </w:rPr>
            </w:pPr>
          </w:p>
        </w:tc>
        <w:tc>
          <w:tcPr>
            <w:tcW w:w="4539" w:type="dxa"/>
            <w:gridSpan w:val="2"/>
          </w:tcPr>
          <w:p w14:paraId="636E911C" w14:textId="77777777" w:rsidR="009824A2" w:rsidRPr="009824A2" w:rsidRDefault="009824A2" w:rsidP="00BD75A8">
            <w:pPr>
              <w:spacing w:before="20" w:after="20"/>
              <w:jc w:val="center"/>
              <w:rPr>
                <w:lang w:val="en-US"/>
              </w:rPr>
            </w:pPr>
            <w:r w:rsidRPr="009824A2">
              <w:rPr>
                <w:b/>
                <w:lang w:val="en-US"/>
              </w:rPr>
              <w:t xml:space="preserve">Adequate chronic toxicity data </w:t>
            </w:r>
            <w:r w:rsidRPr="009824A2">
              <w:rPr>
                <w:b/>
                <w:lang w:val="en-US"/>
              </w:rPr>
              <w:br/>
              <w:t>available</w:t>
            </w:r>
          </w:p>
        </w:tc>
        <w:tc>
          <w:tcPr>
            <w:tcW w:w="3195" w:type="dxa"/>
            <w:vMerge w:val="restart"/>
            <w:vAlign w:val="center"/>
          </w:tcPr>
          <w:p w14:paraId="23C1DC14" w14:textId="77777777" w:rsidR="009824A2" w:rsidRPr="009824A2" w:rsidRDefault="009824A2" w:rsidP="00BD75A8">
            <w:pPr>
              <w:spacing w:before="20" w:after="20"/>
              <w:jc w:val="center"/>
              <w:rPr>
                <w:lang w:val="en-US"/>
              </w:rPr>
            </w:pPr>
            <w:r w:rsidRPr="009824A2">
              <w:rPr>
                <w:b/>
                <w:lang w:val="en-US"/>
              </w:rPr>
              <w:t xml:space="preserve">Adequate chronic toxicity data not available </w:t>
            </w:r>
            <w:r w:rsidRPr="009824A2">
              <w:rPr>
                <w:bCs/>
                <w:lang w:val="en-US"/>
              </w:rPr>
              <w:t>(</w:t>
            </w:r>
            <w:r w:rsidRPr="009824A2">
              <w:rPr>
                <w:bCs/>
                <w:i/>
                <w:iCs/>
                <w:lang w:val="en-US"/>
              </w:rPr>
              <w:t>see</w:t>
            </w:r>
            <w:r w:rsidRPr="009824A2">
              <w:rPr>
                <w:bCs/>
                <w:lang w:val="en-US"/>
              </w:rPr>
              <w:t xml:space="preserve"> </w:t>
            </w:r>
            <w:r w:rsidRPr="009824A2">
              <w:rPr>
                <w:bCs/>
                <w:i/>
                <w:iCs/>
                <w:lang w:val="en-US"/>
              </w:rPr>
              <w:t>Note 1</w:t>
            </w:r>
            <w:r w:rsidRPr="009824A2">
              <w:rPr>
                <w:bCs/>
                <w:lang w:val="en-US"/>
              </w:rPr>
              <w:t>)</w:t>
            </w:r>
          </w:p>
        </w:tc>
      </w:tr>
      <w:tr w:rsidR="009824A2" w:rsidRPr="00F50823" w14:paraId="148ED1D4" w14:textId="77777777" w:rsidTr="00BD75A8">
        <w:trPr>
          <w:tblHeader/>
        </w:trPr>
        <w:tc>
          <w:tcPr>
            <w:tcW w:w="1905" w:type="dxa"/>
            <w:vMerge/>
          </w:tcPr>
          <w:p w14:paraId="1F7C9C10" w14:textId="77777777" w:rsidR="009824A2" w:rsidRPr="009824A2" w:rsidRDefault="009824A2" w:rsidP="00BD75A8">
            <w:pPr>
              <w:spacing w:before="20" w:after="20"/>
              <w:rPr>
                <w:lang w:val="en-US"/>
              </w:rPr>
            </w:pPr>
          </w:p>
        </w:tc>
        <w:tc>
          <w:tcPr>
            <w:tcW w:w="2078" w:type="dxa"/>
          </w:tcPr>
          <w:p w14:paraId="0A7BCF8F" w14:textId="77777777" w:rsidR="009824A2" w:rsidRPr="00A826DD" w:rsidRDefault="009824A2" w:rsidP="00BD75A8">
            <w:pPr>
              <w:spacing w:before="20" w:after="20"/>
              <w:jc w:val="center"/>
              <w:rPr>
                <w:b/>
              </w:rPr>
            </w:pPr>
            <w:r w:rsidRPr="00A826DD">
              <w:rPr>
                <w:b/>
              </w:rPr>
              <w:t>Non-</w:t>
            </w:r>
            <w:proofErr w:type="spellStart"/>
            <w:r w:rsidRPr="00A826DD">
              <w:rPr>
                <w:b/>
              </w:rPr>
              <w:t>rapidly</w:t>
            </w:r>
            <w:proofErr w:type="spellEnd"/>
            <w:r w:rsidRPr="00A826DD">
              <w:rPr>
                <w:b/>
              </w:rPr>
              <w:t xml:space="preserve"> </w:t>
            </w:r>
            <w:proofErr w:type="spellStart"/>
            <w:r w:rsidRPr="00A826DD">
              <w:rPr>
                <w:b/>
              </w:rPr>
              <w:t>degradable</w:t>
            </w:r>
            <w:proofErr w:type="spellEnd"/>
            <w:r w:rsidRPr="00A826DD">
              <w:rPr>
                <w:b/>
              </w:rPr>
              <w:t xml:space="preserve"> </w:t>
            </w:r>
            <w:proofErr w:type="spellStart"/>
            <w:r w:rsidRPr="00A826DD">
              <w:rPr>
                <w:b/>
              </w:rPr>
              <w:t>substances</w:t>
            </w:r>
            <w:proofErr w:type="spellEnd"/>
            <w:r w:rsidRPr="00A826DD">
              <w:rPr>
                <w:b/>
              </w:rPr>
              <w:br/>
            </w:r>
            <w:r w:rsidRPr="00A826DD">
              <w:rPr>
                <w:bCs/>
              </w:rPr>
              <w:t>(</w:t>
            </w:r>
            <w:proofErr w:type="spellStart"/>
            <w:r w:rsidRPr="00A826DD">
              <w:rPr>
                <w:bCs/>
                <w:i/>
                <w:iCs/>
              </w:rPr>
              <w:t>see</w:t>
            </w:r>
            <w:proofErr w:type="spellEnd"/>
            <w:r w:rsidRPr="00A826DD">
              <w:rPr>
                <w:bCs/>
              </w:rPr>
              <w:t xml:space="preserve"> </w:t>
            </w:r>
            <w:r w:rsidRPr="00A826DD">
              <w:rPr>
                <w:bCs/>
                <w:i/>
                <w:iCs/>
              </w:rPr>
              <w:t>Note 3</w:t>
            </w:r>
            <w:r w:rsidRPr="00A826DD">
              <w:rPr>
                <w:bCs/>
              </w:rPr>
              <w:t>)</w:t>
            </w:r>
          </w:p>
        </w:tc>
        <w:tc>
          <w:tcPr>
            <w:tcW w:w="2461" w:type="dxa"/>
          </w:tcPr>
          <w:p w14:paraId="4AD647D6" w14:textId="77777777" w:rsidR="009824A2" w:rsidRPr="009824A2" w:rsidRDefault="009824A2" w:rsidP="00BD75A8">
            <w:pPr>
              <w:spacing w:before="20" w:after="20"/>
              <w:jc w:val="center"/>
              <w:rPr>
                <w:lang w:val="en-US"/>
              </w:rPr>
            </w:pPr>
            <w:r w:rsidRPr="009824A2">
              <w:rPr>
                <w:b/>
                <w:lang w:val="en-US"/>
              </w:rPr>
              <w:t xml:space="preserve">Rapidly </w:t>
            </w:r>
            <w:r w:rsidRPr="009824A2">
              <w:rPr>
                <w:b/>
                <w:lang w:val="en-US"/>
              </w:rPr>
              <w:br/>
              <w:t>degradable substances</w:t>
            </w:r>
            <w:r w:rsidRPr="009824A2">
              <w:rPr>
                <w:b/>
                <w:lang w:val="en-US"/>
              </w:rPr>
              <w:br/>
            </w:r>
            <w:r w:rsidRPr="009824A2">
              <w:rPr>
                <w:bCs/>
                <w:lang w:val="en-US"/>
              </w:rPr>
              <w:t>(</w:t>
            </w:r>
            <w:r w:rsidRPr="009824A2">
              <w:rPr>
                <w:bCs/>
                <w:i/>
                <w:iCs/>
                <w:lang w:val="en-US"/>
              </w:rPr>
              <w:t>see</w:t>
            </w:r>
            <w:r w:rsidRPr="009824A2">
              <w:rPr>
                <w:bCs/>
                <w:lang w:val="en-US"/>
              </w:rPr>
              <w:t xml:space="preserve"> </w:t>
            </w:r>
            <w:r w:rsidRPr="009824A2">
              <w:rPr>
                <w:bCs/>
                <w:i/>
                <w:iCs/>
                <w:lang w:val="en-US"/>
              </w:rPr>
              <w:t>Note 3</w:t>
            </w:r>
            <w:r w:rsidRPr="009824A2">
              <w:rPr>
                <w:bCs/>
                <w:lang w:val="en-US"/>
              </w:rPr>
              <w:t>)</w:t>
            </w:r>
          </w:p>
        </w:tc>
        <w:tc>
          <w:tcPr>
            <w:tcW w:w="3195" w:type="dxa"/>
            <w:vMerge/>
          </w:tcPr>
          <w:p w14:paraId="198EC100" w14:textId="77777777" w:rsidR="009824A2" w:rsidRPr="009824A2" w:rsidRDefault="009824A2" w:rsidP="00BD75A8">
            <w:pPr>
              <w:spacing w:before="20" w:after="20"/>
              <w:rPr>
                <w:lang w:val="en-US"/>
              </w:rPr>
            </w:pPr>
          </w:p>
        </w:tc>
      </w:tr>
      <w:tr w:rsidR="009824A2" w:rsidRPr="00A826DD" w14:paraId="0AC94245" w14:textId="77777777" w:rsidTr="00BD75A8">
        <w:trPr>
          <w:trHeight w:val="106"/>
        </w:trPr>
        <w:tc>
          <w:tcPr>
            <w:tcW w:w="1905" w:type="dxa"/>
            <w:tcBorders>
              <w:bottom w:val="single" w:sz="4" w:space="0" w:color="auto"/>
            </w:tcBorders>
          </w:tcPr>
          <w:p w14:paraId="461467AA" w14:textId="77777777" w:rsidR="009824A2" w:rsidRPr="00A826DD" w:rsidRDefault="009824A2" w:rsidP="00BD75A8">
            <w:pPr>
              <w:spacing w:before="20" w:after="20"/>
            </w:pPr>
            <w:proofErr w:type="spellStart"/>
            <w:r w:rsidRPr="00A826DD">
              <w:rPr>
                <w:b/>
              </w:rPr>
              <w:t>Category</w:t>
            </w:r>
            <w:proofErr w:type="spellEnd"/>
            <w:r w:rsidRPr="00A826DD">
              <w:rPr>
                <w:b/>
              </w:rPr>
              <w:t xml:space="preserve">: </w:t>
            </w:r>
            <w:proofErr w:type="spellStart"/>
            <w:r w:rsidRPr="00A826DD">
              <w:rPr>
                <w:b/>
              </w:rPr>
              <w:t>Acute</w:t>
            </w:r>
            <w:proofErr w:type="spellEnd"/>
            <w:r w:rsidRPr="00A826DD">
              <w:rPr>
                <w:b/>
              </w:rPr>
              <w:t xml:space="preserve"> 1</w:t>
            </w:r>
          </w:p>
        </w:tc>
        <w:tc>
          <w:tcPr>
            <w:tcW w:w="2078" w:type="dxa"/>
          </w:tcPr>
          <w:p w14:paraId="17D9C0B3" w14:textId="77777777" w:rsidR="009824A2" w:rsidRPr="00A826DD" w:rsidRDefault="009824A2" w:rsidP="00BD75A8">
            <w:pPr>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1</w:t>
            </w:r>
          </w:p>
        </w:tc>
        <w:tc>
          <w:tcPr>
            <w:tcW w:w="2461" w:type="dxa"/>
          </w:tcPr>
          <w:p w14:paraId="17C241A3" w14:textId="77777777" w:rsidR="009824A2" w:rsidRPr="00A826DD" w:rsidRDefault="009824A2" w:rsidP="00BD75A8">
            <w:pPr>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1</w:t>
            </w:r>
          </w:p>
        </w:tc>
        <w:tc>
          <w:tcPr>
            <w:tcW w:w="3195" w:type="dxa"/>
          </w:tcPr>
          <w:p w14:paraId="125CBCF2" w14:textId="77777777" w:rsidR="009824A2" w:rsidRPr="00A826DD" w:rsidRDefault="009824A2" w:rsidP="00BD75A8">
            <w:pPr>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1</w:t>
            </w:r>
          </w:p>
        </w:tc>
      </w:tr>
      <w:tr w:rsidR="009824A2" w:rsidRPr="00F50823" w14:paraId="1B26DCFD" w14:textId="77777777" w:rsidTr="00BD75A8">
        <w:tc>
          <w:tcPr>
            <w:tcW w:w="1905" w:type="dxa"/>
            <w:tcBorders>
              <w:bottom w:val="nil"/>
            </w:tcBorders>
            <w:vAlign w:val="center"/>
          </w:tcPr>
          <w:p w14:paraId="660006F0" w14:textId="77777777" w:rsidR="009824A2" w:rsidRPr="00A826DD" w:rsidRDefault="009824A2" w:rsidP="00BD75A8">
            <w:pPr>
              <w:spacing w:before="20" w:after="20"/>
            </w:pPr>
            <w:r w:rsidRPr="00A826DD">
              <w:t xml:space="preserve">L(E)C₅₀ </w:t>
            </w:r>
            <w:r w:rsidRPr="00A826DD">
              <w:sym w:font="Symbol" w:char="F0A3"/>
            </w:r>
            <w:r w:rsidRPr="00A826DD">
              <w:t xml:space="preserve"> 1.00</w:t>
            </w:r>
          </w:p>
        </w:tc>
        <w:tc>
          <w:tcPr>
            <w:tcW w:w="2078" w:type="dxa"/>
            <w:vAlign w:val="center"/>
          </w:tcPr>
          <w:p w14:paraId="2A171608" w14:textId="77777777" w:rsidR="009824A2" w:rsidRPr="00A826DD" w:rsidRDefault="009824A2" w:rsidP="00BD75A8">
            <w:pPr>
              <w:spacing w:before="20" w:after="20"/>
            </w:pPr>
            <w:r w:rsidRPr="00A826DD">
              <w:t xml:space="preserve">NOEC </w:t>
            </w:r>
            <w:proofErr w:type="spellStart"/>
            <w:r w:rsidRPr="00A826DD">
              <w:t>or</w:t>
            </w:r>
            <w:proofErr w:type="spellEnd"/>
            <w:r w:rsidRPr="00A826DD">
              <w:t xml:space="preserve">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0.1</w:t>
            </w:r>
          </w:p>
        </w:tc>
        <w:tc>
          <w:tcPr>
            <w:tcW w:w="2461" w:type="dxa"/>
            <w:vAlign w:val="center"/>
          </w:tcPr>
          <w:p w14:paraId="52B4F983" w14:textId="77777777" w:rsidR="009824A2" w:rsidRPr="00A826DD" w:rsidRDefault="009824A2" w:rsidP="00BD75A8">
            <w:pPr>
              <w:spacing w:before="20" w:after="20"/>
            </w:pPr>
            <w:r w:rsidRPr="00A826DD">
              <w:t xml:space="preserve">NOEC </w:t>
            </w:r>
            <w:proofErr w:type="spellStart"/>
            <w:r w:rsidRPr="00A826DD">
              <w:t>or</w:t>
            </w:r>
            <w:proofErr w:type="spellEnd"/>
            <w:r w:rsidRPr="00A826DD">
              <w:t xml:space="preserve">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0.01</w:t>
            </w:r>
          </w:p>
        </w:tc>
        <w:tc>
          <w:tcPr>
            <w:tcW w:w="3195" w:type="dxa"/>
            <w:vAlign w:val="center"/>
          </w:tcPr>
          <w:p w14:paraId="03D4F0CF" w14:textId="77777777" w:rsidR="009824A2" w:rsidRPr="009824A2" w:rsidRDefault="009824A2" w:rsidP="00BD75A8">
            <w:pPr>
              <w:spacing w:before="20" w:after="20"/>
              <w:rPr>
                <w:lang w:val="en-US"/>
              </w:rPr>
            </w:pPr>
            <w:r w:rsidRPr="009824A2">
              <w:rPr>
                <w:lang w:val="en-US"/>
              </w:rPr>
              <w:t xml:space="preserve">L(E)C₅₀ </w:t>
            </w:r>
            <w:r w:rsidRPr="00A826DD">
              <w:sym w:font="Symbol" w:char="F0A3"/>
            </w:r>
            <w:r w:rsidRPr="009824A2">
              <w:rPr>
                <w:lang w:val="en-US"/>
              </w:rPr>
              <w:t xml:space="preserve"> 1.00 and lack of rapid degradability and/or BCF </w:t>
            </w:r>
            <w:r w:rsidRPr="00A826DD">
              <w:sym w:font="Symbol" w:char="F0B3"/>
            </w:r>
            <w:r w:rsidRPr="009824A2">
              <w:rPr>
                <w:lang w:val="en-US"/>
              </w:rPr>
              <w:t xml:space="preserve"> 500 or, if absent log </w:t>
            </w:r>
            <w:proofErr w:type="spellStart"/>
            <w:r w:rsidRPr="009824A2">
              <w:rPr>
                <w:lang w:val="en-US"/>
              </w:rPr>
              <w:t>K</w:t>
            </w:r>
            <w:r w:rsidRPr="009824A2">
              <w:rPr>
                <w:vertAlign w:val="subscript"/>
                <w:lang w:val="en-US"/>
              </w:rPr>
              <w:t>ow</w:t>
            </w:r>
            <w:proofErr w:type="spellEnd"/>
            <w:r w:rsidRPr="009824A2">
              <w:rPr>
                <w:vertAlign w:val="subscript"/>
                <w:lang w:val="en-US"/>
              </w:rPr>
              <w:t xml:space="preserve"> </w:t>
            </w:r>
            <w:r w:rsidRPr="00A826DD">
              <w:sym w:font="Symbol" w:char="F0B3"/>
            </w:r>
            <w:r w:rsidRPr="009824A2">
              <w:rPr>
                <w:lang w:val="en-US"/>
              </w:rPr>
              <w:t xml:space="preserve"> 4</w:t>
            </w:r>
          </w:p>
        </w:tc>
      </w:tr>
      <w:tr w:rsidR="009824A2" w:rsidRPr="00A826DD" w14:paraId="0785A3C4" w14:textId="77777777" w:rsidTr="00BD75A8">
        <w:tc>
          <w:tcPr>
            <w:tcW w:w="1905" w:type="dxa"/>
            <w:tcBorders>
              <w:top w:val="nil"/>
              <w:bottom w:val="nil"/>
            </w:tcBorders>
          </w:tcPr>
          <w:p w14:paraId="3CF89AB2" w14:textId="77777777" w:rsidR="009824A2" w:rsidRPr="009824A2" w:rsidRDefault="009824A2" w:rsidP="00BD75A8">
            <w:pPr>
              <w:keepNext/>
              <w:keepLines/>
              <w:spacing w:before="20" w:after="20"/>
              <w:rPr>
                <w:lang w:val="en-US"/>
              </w:rPr>
            </w:pPr>
          </w:p>
        </w:tc>
        <w:tc>
          <w:tcPr>
            <w:tcW w:w="2078" w:type="dxa"/>
          </w:tcPr>
          <w:p w14:paraId="28536EC4" w14:textId="77777777" w:rsidR="009824A2" w:rsidRPr="00A826DD" w:rsidRDefault="009824A2" w:rsidP="00BD75A8">
            <w:pPr>
              <w:keepNext/>
              <w:keepLines/>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2</w:t>
            </w:r>
          </w:p>
        </w:tc>
        <w:tc>
          <w:tcPr>
            <w:tcW w:w="2461" w:type="dxa"/>
          </w:tcPr>
          <w:p w14:paraId="23CD0F59" w14:textId="77777777" w:rsidR="009824A2" w:rsidRPr="00A826DD" w:rsidRDefault="009824A2" w:rsidP="00BD75A8">
            <w:pPr>
              <w:keepNext/>
              <w:keepLines/>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2</w:t>
            </w:r>
          </w:p>
        </w:tc>
        <w:tc>
          <w:tcPr>
            <w:tcW w:w="3195" w:type="dxa"/>
          </w:tcPr>
          <w:p w14:paraId="0CD2A160" w14:textId="77777777" w:rsidR="009824A2" w:rsidRPr="00A826DD" w:rsidRDefault="009824A2" w:rsidP="00BD75A8">
            <w:pPr>
              <w:keepNext/>
              <w:keepLines/>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2</w:t>
            </w:r>
          </w:p>
        </w:tc>
      </w:tr>
      <w:tr w:rsidR="009824A2" w:rsidRPr="00F50823" w14:paraId="5CE2B3D6" w14:textId="77777777" w:rsidTr="00BD75A8">
        <w:tc>
          <w:tcPr>
            <w:tcW w:w="1905" w:type="dxa"/>
            <w:tcBorders>
              <w:top w:val="nil"/>
            </w:tcBorders>
            <w:vAlign w:val="center"/>
          </w:tcPr>
          <w:p w14:paraId="2CE8390C" w14:textId="77777777" w:rsidR="009824A2" w:rsidRPr="00A826DD" w:rsidRDefault="009824A2" w:rsidP="00BD75A8">
            <w:pPr>
              <w:spacing w:before="20" w:after="20"/>
              <w:ind w:right="-49"/>
            </w:pPr>
          </w:p>
        </w:tc>
        <w:tc>
          <w:tcPr>
            <w:tcW w:w="2078" w:type="dxa"/>
            <w:vAlign w:val="center"/>
          </w:tcPr>
          <w:p w14:paraId="63E14697" w14:textId="77777777" w:rsidR="009824A2" w:rsidRPr="00A826DD" w:rsidRDefault="009824A2" w:rsidP="00BD75A8">
            <w:pPr>
              <w:spacing w:before="20" w:after="20"/>
            </w:pPr>
            <w:r w:rsidRPr="00A826DD">
              <w:t xml:space="preserve">0.1 &lt; NOEC </w:t>
            </w:r>
            <w:proofErr w:type="spellStart"/>
            <w:r w:rsidRPr="00A826DD">
              <w:t>or</w:t>
            </w:r>
            <w:proofErr w:type="spellEnd"/>
            <w:r w:rsidRPr="00A826DD">
              <w:t xml:space="preserve">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1</w:t>
            </w:r>
          </w:p>
        </w:tc>
        <w:tc>
          <w:tcPr>
            <w:tcW w:w="2461" w:type="dxa"/>
            <w:vAlign w:val="center"/>
          </w:tcPr>
          <w:p w14:paraId="545E08C3" w14:textId="77777777" w:rsidR="009824A2" w:rsidRPr="00A826DD" w:rsidRDefault="009824A2" w:rsidP="00BD75A8">
            <w:pPr>
              <w:spacing w:before="20" w:after="20"/>
            </w:pPr>
            <w:r w:rsidRPr="00A826DD">
              <w:t xml:space="preserve">0.01 &lt; NOEC </w:t>
            </w:r>
            <w:proofErr w:type="spellStart"/>
            <w:r w:rsidRPr="00A826DD">
              <w:t>or</w:t>
            </w:r>
            <w:proofErr w:type="spellEnd"/>
            <w:r w:rsidRPr="00A826DD">
              <w:t xml:space="preserve">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0.1</w:t>
            </w:r>
          </w:p>
        </w:tc>
        <w:tc>
          <w:tcPr>
            <w:tcW w:w="3195" w:type="dxa"/>
            <w:vAlign w:val="center"/>
          </w:tcPr>
          <w:p w14:paraId="36830EFC" w14:textId="77777777" w:rsidR="009824A2" w:rsidRPr="009824A2" w:rsidRDefault="009824A2" w:rsidP="00BD75A8">
            <w:pPr>
              <w:spacing w:before="20" w:after="20"/>
              <w:rPr>
                <w:lang w:val="en-US"/>
              </w:rPr>
            </w:pPr>
            <w:r w:rsidRPr="009824A2">
              <w:rPr>
                <w:lang w:val="en-US"/>
              </w:rPr>
              <w:t xml:space="preserve">1.00 &lt; L(E)C₅₀ </w:t>
            </w:r>
            <w:r w:rsidRPr="00A826DD">
              <w:sym w:font="Symbol" w:char="F0A3"/>
            </w:r>
            <w:r w:rsidRPr="009824A2">
              <w:rPr>
                <w:lang w:val="en-US"/>
              </w:rPr>
              <w:t xml:space="preserve"> 10.0 and lack of rapid degradability and/or </w:t>
            </w:r>
            <w:r w:rsidRPr="009824A2">
              <w:rPr>
                <w:lang w:val="en-US"/>
              </w:rPr>
              <w:br/>
              <w:t xml:space="preserve">BCF </w:t>
            </w:r>
            <w:r w:rsidRPr="00A826DD">
              <w:sym w:font="Symbol" w:char="F0B3"/>
            </w:r>
            <w:r w:rsidRPr="009824A2">
              <w:rPr>
                <w:lang w:val="en-US"/>
              </w:rPr>
              <w:t xml:space="preserve"> 500 or, if absent log </w:t>
            </w:r>
            <w:proofErr w:type="spellStart"/>
            <w:r w:rsidRPr="009824A2">
              <w:rPr>
                <w:lang w:val="en-US"/>
              </w:rPr>
              <w:t>K</w:t>
            </w:r>
            <w:r w:rsidRPr="009824A2">
              <w:rPr>
                <w:vertAlign w:val="subscript"/>
                <w:lang w:val="en-US"/>
              </w:rPr>
              <w:t>ow</w:t>
            </w:r>
            <w:proofErr w:type="spellEnd"/>
            <w:r w:rsidRPr="009824A2">
              <w:rPr>
                <w:vertAlign w:val="subscript"/>
                <w:lang w:val="en-US"/>
              </w:rPr>
              <w:t xml:space="preserve"> </w:t>
            </w:r>
            <w:r w:rsidRPr="00A826DD">
              <w:sym w:font="Symbol" w:char="F0B3"/>
            </w:r>
            <w:r w:rsidRPr="009824A2">
              <w:rPr>
                <w:lang w:val="en-US"/>
              </w:rPr>
              <w:t xml:space="preserve"> 4</w:t>
            </w:r>
          </w:p>
        </w:tc>
      </w:tr>
    </w:tbl>
    <w:p w14:paraId="0019EDDD" w14:textId="77777777" w:rsidR="009824A2" w:rsidRPr="009824A2" w:rsidRDefault="009824A2" w:rsidP="009824A2">
      <w:pPr>
        <w:rPr>
          <w:b/>
          <w:bCs/>
          <w:i/>
          <w:lang w:val="en-US"/>
        </w:rPr>
      </w:pPr>
    </w:p>
    <w:p w14:paraId="7DC6F7F2" w14:textId="77777777" w:rsidR="009824A2" w:rsidRPr="009824A2" w:rsidRDefault="009824A2" w:rsidP="009824A2">
      <w:pPr>
        <w:pStyle w:val="HChG"/>
        <w:rPr>
          <w:lang w:val="en-US"/>
        </w:rPr>
      </w:pPr>
      <w:r>
        <w:rPr>
          <w:color w:val="000000" w:themeColor="text1"/>
          <w:lang w:val="en-US"/>
        </w:rPr>
        <w:tab/>
        <w:t>III.</w:t>
      </w:r>
      <w:r>
        <w:rPr>
          <w:color w:val="000000" w:themeColor="text1"/>
          <w:lang w:val="en-US"/>
        </w:rPr>
        <w:tab/>
      </w:r>
      <w:r w:rsidRPr="009824A2">
        <w:rPr>
          <w:lang w:val="en-US"/>
        </w:rPr>
        <w:t>Mixture classification</w:t>
      </w:r>
    </w:p>
    <w:p w14:paraId="5522F5C0" w14:textId="77777777" w:rsidR="009824A2" w:rsidRPr="009824A2" w:rsidRDefault="009824A2" w:rsidP="009824A2">
      <w:pPr>
        <w:pStyle w:val="SingleTxtG"/>
        <w:rPr>
          <w:lang w:val="en-US"/>
        </w:rPr>
      </w:pPr>
      <w:r>
        <w:rPr>
          <w:lang w:val="en-US"/>
        </w:rPr>
        <w:t>7.</w:t>
      </w:r>
      <w:r>
        <w:rPr>
          <w:lang w:val="en-US"/>
        </w:rPr>
        <w:tab/>
      </w:r>
      <w:r w:rsidRPr="00DD6A2F">
        <w:rPr>
          <w:lang w:val="en-US"/>
        </w:rPr>
        <w:t>Mixture classification can be based on test results, bridging principles or summation method.</w:t>
      </w:r>
    </w:p>
    <w:p w14:paraId="393AB186" w14:textId="77777777" w:rsidR="009824A2" w:rsidRPr="009824A2" w:rsidRDefault="009824A2" w:rsidP="009824A2">
      <w:pPr>
        <w:pStyle w:val="SingleTxtG"/>
        <w:rPr>
          <w:lang w:val="en-US"/>
        </w:rPr>
      </w:pPr>
      <w:r>
        <w:rPr>
          <w:lang w:val="en-US"/>
        </w:rPr>
        <w:t>8.</w:t>
      </w:r>
      <w:r>
        <w:rPr>
          <w:lang w:val="en-US"/>
        </w:rPr>
        <w:tab/>
      </w:r>
      <w:r w:rsidRPr="00DD6A2F">
        <w:rPr>
          <w:lang w:val="en-US"/>
        </w:rPr>
        <w:t>Mixture can only be tested on the aquatic toxicity data for fish, crustacea and algae/plants, degradability and bioaccumulation data are not possible for mixtures (or difficult to interpret the results) and therefore are only suitable for substances.</w:t>
      </w:r>
    </w:p>
    <w:p w14:paraId="1BB9354D" w14:textId="77777777" w:rsidR="009824A2" w:rsidRPr="009824A2" w:rsidRDefault="009824A2" w:rsidP="009824A2">
      <w:pPr>
        <w:pStyle w:val="SingleTxtG"/>
        <w:rPr>
          <w:lang w:val="en-US" w:eastAsia="nl-NL"/>
        </w:rPr>
      </w:pPr>
      <w:r>
        <w:rPr>
          <w:lang w:val="en-US"/>
        </w:rPr>
        <w:t>9.</w:t>
      </w:r>
      <w:r>
        <w:rPr>
          <w:lang w:val="en-US"/>
        </w:rPr>
        <w:tab/>
      </w:r>
      <w:r w:rsidRPr="00DD6A2F">
        <w:rPr>
          <w:lang w:val="en-US"/>
        </w:rPr>
        <w:t xml:space="preserve">The summation method is used to determine the classification for mixtures (from the </w:t>
      </w:r>
      <w:r>
        <w:rPr>
          <w:lang w:val="en-US"/>
        </w:rPr>
        <w:t>twenty-third</w:t>
      </w:r>
      <w:r w:rsidRPr="00DD6A2F">
        <w:rPr>
          <w:lang w:val="en-US"/>
        </w:rPr>
        <w:t xml:space="preserve"> revi</w:t>
      </w:r>
      <w:r>
        <w:rPr>
          <w:lang w:val="en-US"/>
        </w:rPr>
        <w:t>sed edition</w:t>
      </w:r>
      <w:r w:rsidRPr="00DD6A2F">
        <w:rPr>
          <w:lang w:val="en-US"/>
        </w:rPr>
        <w:t xml:space="preserve"> of the </w:t>
      </w:r>
      <w:r w:rsidRPr="00A718AA">
        <w:rPr>
          <w:i/>
          <w:iCs/>
          <w:lang w:val="en-US"/>
        </w:rPr>
        <w:t>Model Regulations</w:t>
      </w:r>
      <w:r w:rsidRPr="00DD6A2F">
        <w:rPr>
          <w:lang w:val="en-US"/>
        </w:rPr>
        <w:t>):</w:t>
      </w:r>
    </w:p>
    <w:p w14:paraId="2B3E99B9" w14:textId="77777777" w:rsidR="009824A2" w:rsidRPr="009824A2" w:rsidRDefault="009824A2" w:rsidP="009824A2">
      <w:pPr>
        <w:jc w:val="center"/>
        <w:rPr>
          <w:b/>
          <w:bCs/>
          <w:lang w:val="en-US" w:eastAsia="nl-NL"/>
        </w:rPr>
      </w:pPr>
      <w:r w:rsidRPr="009824A2">
        <w:rPr>
          <w:b/>
          <w:bCs/>
          <w:lang w:val="en-US" w:eastAsia="nl-NL"/>
        </w:rPr>
        <w:t xml:space="preserve">Table 2.2.9.1.10.4.6.2.2: Classification of a mixture for acute hazards based on summation of the concentrations of classified </w:t>
      </w:r>
      <w:proofErr w:type="gramStart"/>
      <w:r w:rsidRPr="009824A2">
        <w:rPr>
          <w:b/>
          <w:bCs/>
          <w:lang w:val="en-US" w:eastAsia="nl-NL"/>
        </w:rPr>
        <w:t>ingredients</w:t>
      </w:r>
      <w:proofErr w:type="gramEnd"/>
    </w:p>
    <w:p w14:paraId="1B9C2461" w14:textId="77777777" w:rsidR="009824A2" w:rsidRPr="009824A2" w:rsidRDefault="009824A2" w:rsidP="009824A2">
      <w:pPr>
        <w:jc w:val="center"/>
        <w:rPr>
          <w:b/>
          <w:bCs/>
          <w:lang w:val="en-US" w:eastAsia="nl-NL"/>
        </w:rPr>
      </w:pPr>
    </w:p>
    <w:tbl>
      <w:tblPr>
        <w:tblW w:w="7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40"/>
        <w:gridCol w:w="3655"/>
      </w:tblGrid>
      <w:tr w:rsidR="009824A2" w:rsidRPr="00A826DD" w14:paraId="4FCC09E6" w14:textId="77777777" w:rsidTr="00BD75A8">
        <w:trPr>
          <w:cantSplit/>
          <w:jc w:val="center"/>
        </w:trPr>
        <w:tc>
          <w:tcPr>
            <w:tcW w:w="4140" w:type="dxa"/>
          </w:tcPr>
          <w:p w14:paraId="502C4C5E" w14:textId="77777777" w:rsidR="009824A2" w:rsidRPr="009824A2" w:rsidRDefault="009824A2" w:rsidP="00BD75A8">
            <w:pPr>
              <w:ind w:right="-14"/>
              <w:jc w:val="center"/>
              <w:rPr>
                <w:lang w:val="en-US"/>
              </w:rPr>
            </w:pPr>
            <w:r w:rsidRPr="009824A2">
              <w:rPr>
                <w:lang w:val="en-US"/>
              </w:rPr>
              <w:t>Sum of the concentrations (in %) of ingredients classified as:</w:t>
            </w:r>
          </w:p>
        </w:tc>
        <w:tc>
          <w:tcPr>
            <w:tcW w:w="3655" w:type="dxa"/>
          </w:tcPr>
          <w:p w14:paraId="4E7A95A7" w14:textId="77777777" w:rsidR="009824A2" w:rsidRPr="00A826DD" w:rsidRDefault="009824A2" w:rsidP="00BD75A8">
            <w:pPr>
              <w:tabs>
                <w:tab w:val="left" w:pos="1980"/>
              </w:tabs>
              <w:ind w:left="1980" w:hanging="1980"/>
              <w:jc w:val="center"/>
            </w:pPr>
            <w:proofErr w:type="spellStart"/>
            <w:r w:rsidRPr="00A826DD">
              <w:t>Mixture</w:t>
            </w:r>
            <w:proofErr w:type="spellEnd"/>
            <w:r w:rsidRPr="00A826DD">
              <w:t xml:space="preserve"> </w:t>
            </w:r>
            <w:proofErr w:type="spellStart"/>
            <w:r w:rsidRPr="00A826DD">
              <w:t>classified</w:t>
            </w:r>
            <w:proofErr w:type="spellEnd"/>
            <w:r w:rsidRPr="00A826DD">
              <w:t xml:space="preserve"> </w:t>
            </w:r>
            <w:proofErr w:type="spellStart"/>
            <w:r w:rsidRPr="00A826DD">
              <w:t>as</w:t>
            </w:r>
            <w:proofErr w:type="spellEnd"/>
            <w:r w:rsidRPr="00A826DD">
              <w:t>:</w:t>
            </w:r>
          </w:p>
        </w:tc>
      </w:tr>
      <w:tr w:rsidR="009824A2" w:rsidRPr="00A826DD" w14:paraId="0DDFE9DA" w14:textId="77777777" w:rsidTr="00BD75A8">
        <w:trPr>
          <w:cantSplit/>
          <w:jc w:val="center"/>
        </w:trPr>
        <w:tc>
          <w:tcPr>
            <w:tcW w:w="4140" w:type="dxa"/>
          </w:tcPr>
          <w:p w14:paraId="61A49B6A" w14:textId="77777777" w:rsidR="009824A2" w:rsidRPr="00A826DD" w:rsidRDefault="009824A2" w:rsidP="00BD75A8">
            <w:pPr>
              <w:ind w:left="2" w:hanging="2"/>
              <w:jc w:val="center"/>
              <w:rPr>
                <w:lang w:eastAsia="nl-NL"/>
              </w:rPr>
            </w:pPr>
            <w:proofErr w:type="spellStart"/>
            <w:r w:rsidRPr="00A826DD">
              <w:rPr>
                <w:lang w:eastAsia="nl-NL"/>
              </w:rPr>
              <w:t>Acute</w:t>
            </w:r>
            <w:proofErr w:type="spellEnd"/>
            <w:r w:rsidRPr="00A826DD">
              <w:rPr>
                <w:lang w:eastAsia="nl-NL"/>
              </w:rPr>
              <w:t xml:space="preserve"> 1 </w:t>
            </w:r>
            <w:r w:rsidRPr="00A826DD">
              <w:rPr>
                <w:lang w:eastAsia="nl-NL"/>
              </w:rPr>
              <w:sym w:font="Symbol" w:char="F0B4"/>
            </w:r>
            <w:r w:rsidRPr="00A826DD">
              <w:rPr>
                <w:lang w:eastAsia="nl-NL"/>
              </w:rPr>
              <w:t xml:space="preserve"> M </w:t>
            </w:r>
            <w:r w:rsidRPr="00A826DD">
              <w:rPr>
                <w:b/>
                <w:bCs/>
                <w:vertAlign w:val="superscript"/>
                <w:lang w:eastAsia="nl-NL"/>
              </w:rPr>
              <w:t>a</w:t>
            </w:r>
            <w:r w:rsidRPr="00A826DD">
              <w:rPr>
                <w:lang w:eastAsia="nl-NL"/>
              </w:rPr>
              <w:t xml:space="preserve"> </w:t>
            </w:r>
            <w:r w:rsidRPr="00A826DD">
              <w:rPr>
                <w:lang w:eastAsia="nl-NL"/>
              </w:rPr>
              <w:sym w:font="Symbol" w:char="F0B3"/>
            </w:r>
            <w:r w:rsidRPr="00A826DD">
              <w:rPr>
                <w:lang w:eastAsia="nl-NL"/>
              </w:rPr>
              <w:t xml:space="preserve"> 25 %</w:t>
            </w:r>
          </w:p>
        </w:tc>
        <w:tc>
          <w:tcPr>
            <w:tcW w:w="3655" w:type="dxa"/>
          </w:tcPr>
          <w:p w14:paraId="02EB09B4" w14:textId="77777777" w:rsidR="009824A2" w:rsidRPr="00A826DD" w:rsidRDefault="009824A2" w:rsidP="00BD75A8">
            <w:pPr>
              <w:tabs>
                <w:tab w:val="left" w:pos="1980"/>
              </w:tabs>
              <w:ind w:left="1980" w:hanging="1980"/>
              <w:jc w:val="center"/>
            </w:pPr>
            <w:proofErr w:type="spellStart"/>
            <w:r w:rsidRPr="00A826DD">
              <w:t>Acute</w:t>
            </w:r>
            <w:proofErr w:type="spellEnd"/>
            <w:r w:rsidRPr="00A826DD">
              <w:t xml:space="preserve"> 1</w:t>
            </w:r>
          </w:p>
        </w:tc>
      </w:tr>
    </w:tbl>
    <w:p w14:paraId="621B1129" w14:textId="77777777" w:rsidR="009824A2" w:rsidRPr="009824A2" w:rsidRDefault="009824A2" w:rsidP="009824A2">
      <w:pPr>
        <w:tabs>
          <w:tab w:val="left" w:pos="1418"/>
          <w:tab w:val="left" w:pos="1980"/>
        </w:tabs>
        <w:ind w:left="1979" w:hanging="986"/>
        <w:rPr>
          <w:lang w:val="en-US" w:eastAsia="nl-NL"/>
        </w:rPr>
      </w:pPr>
      <w:proofErr w:type="spellStart"/>
      <w:r w:rsidRPr="009824A2">
        <w:rPr>
          <w:b/>
          <w:vertAlign w:val="superscript"/>
          <w:lang w:val="en-US" w:eastAsia="nl-NL"/>
        </w:rPr>
        <w:t>a</w:t>
      </w:r>
      <w:proofErr w:type="spellEnd"/>
      <w:r w:rsidRPr="009824A2">
        <w:rPr>
          <w:b/>
          <w:bCs/>
          <w:lang w:val="en-US" w:eastAsia="nl-NL"/>
        </w:rPr>
        <w:t xml:space="preserve">  </w:t>
      </w:r>
      <w:r w:rsidRPr="009824A2">
        <w:rPr>
          <w:i/>
          <w:lang w:val="en-US" w:eastAsia="nl-NL"/>
        </w:rPr>
        <w:t>For explanation of the M factor, see 2.2.9.1.10.4.6.4.</w:t>
      </w:r>
    </w:p>
    <w:p w14:paraId="436E2EE1" w14:textId="77777777" w:rsidR="009824A2" w:rsidRPr="009824A2" w:rsidRDefault="009824A2" w:rsidP="009824A2">
      <w:pPr>
        <w:spacing w:after="200"/>
        <w:ind w:left="1701" w:hanging="1701"/>
        <w:rPr>
          <w:lang w:val="en-US"/>
        </w:rPr>
      </w:pPr>
    </w:p>
    <w:p w14:paraId="75095789" w14:textId="77777777" w:rsidR="009824A2" w:rsidRPr="009824A2" w:rsidRDefault="009824A2" w:rsidP="009824A2">
      <w:pPr>
        <w:keepNext/>
        <w:keepLines/>
        <w:jc w:val="center"/>
        <w:rPr>
          <w:b/>
          <w:bCs/>
          <w:lang w:val="en-US"/>
        </w:rPr>
      </w:pPr>
      <w:r w:rsidRPr="009824A2">
        <w:rPr>
          <w:b/>
          <w:bCs/>
          <w:lang w:val="en-US"/>
        </w:rPr>
        <w:t xml:space="preserve">Table 2.2.9.1.10.4.6.3.3: Classification of a mixture for long-term hazards based on summation of the concentrations of classified </w:t>
      </w:r>
      <w:proofErr w:type="gramStart"/>
      <w:r w:rsidRPr="009824A2">
        <w:rPr>
          <w:b/>
          <w:bCs/>
          <w:lang w:val="en-US"/>
        </w:rPr>
        <w:t>ingredients</w:t>
      </w:r>
      <w:proofErr w:type="gramEnd"/>
    </w:p>
    <w:p w14:paraId="02700EE5" w14:textId="77777777" w:rsidR="009824A2" w:rsidRPr="009824A2" w:rsidRDefault="009824A2" w:rsidP="009824A2">
      <w:pPr>
        <w:pStyle w:val="SingleTxtG"/>
        <w:keepNext/>
        <w:keepLines/>
        <w:rPr>
          <w:b/>
          <w:bCs/>
          <w:lang w:val="en-US"/>
        </w:rPr>
      </w:pPr>
    </w:p>
    <w:tbl>
      <w:tblPr>
        <w:tblW w:w="73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21"/>
        <w:gridCol w:w="1007"/>
        <w:gridCol w:w="2943"/>
      </w:tblGrid>
      <w:tr w:rsidR="009824A2" w:rsidRPr="00A826DD" w14:paraId="774DFD03" w14:textId="77777777" w:rsidTr="00BD75A8">
        <w:trPr>
          <w:jc w:val="center"/>
        </w:trPr>
        <w:tc>
          <w:tcPr>
            <w:tcW w:w="4428" w:type="dxa"/>
            <w:gridSpan w:val="2"/>
          </w:tcPr>
          <w:p w14:paraId="1FF81EDE" w14:textId="77777777" w:rsidR="009824A2" w:rsidRPr="009824A2" w:rsidRDefault="009824A2" w:rsidP="00BD75A8">
            <w:pPr>
              <w:spacing w:before="40" w:after="40"/>
              <w:jc w:val="center"/>
              <w:rPr>
                <w:lang w:val="en-US"/>
              </w:rPr>
            </w:pPr>
            <w:r w:rsidRPr="009824A2">
              <w:rPr>
                <w:lang w:val="en-US"/>
              </w:rPr>
              <w:t>Sum of the concentrations (in %) of ingredients classified as:</w:t>
            </w:r>
          </w:p>
        </w:tc>
        <w:tc>
          <w:tcPr>
            <w:tcW w:w="2943" w:type="dxa"/>
          </w:tcPr>
          <w:p w14:paraId="0CC4DC8E" w14:textId="77777777" w:rsidR="009824A2" w:rsidRPr="00A826DD" w:rsidRDefault="009824A2" w:rsidP="00BD75A8">
            <w:pPr>
              <w:tabs>
                <w:tab w:val="left" w:pos="1980"/>
              </w:tabs>
              <w:spacing w:before="40" w:after="40"/>
              <w:ind w:left="1980" w:hanging="1980"/>
              <w:jc w:val="center"/>
            </w:pPr>
            <w:proofErr w:type="spellStart"/>
            <w:r w:rsidRPr="00A826DD">
              <w:t>Mixture</w:t>
            </w:r>
            <w:proofErr w:type="spellEnd"/>
            <w:r w:rsidRPr="00A826DD">
              <w:t xml:space="preserve"> </w:t>
            </w:r>
            <w:proofErr w:type="spellStart"/>
            <w:r w:rsidRPr="00A826DD">
              <w:t>classified</w:t>
            </w:r>
            <w:proofErr w:type="spellEnd"/>
            <w:r w:rsidRPr="00A826DD">
              <w:t xml:space="preserve"> </w:t>
            </w:r>
            <w:proofErr w:type="spellStart"/>
            <w:r w:rsidRPr="00A826DD">
              <w:t>as</w:t>
            </w:r>
            <w:proofErr w:type="spellEnd"/>
            <w:r w:rsidRPr="00A826DD">
              <w:t>:</w:t>
            </w:r>
          </w:p>
        </w:tc>
      </w:tr>
      <w:tr w:rsidR="009824A2" w:rsidRPr="00A826DD" w14:paraId="4D424BEB" w14:textId="77777777" w:rsidTr="00BD75A8">
        <w:trPr>
          <w:jc w:val="center"/>
        </w:trPr>
        <w:tc>
          <w:tcPr>
            <w:tcW w:w="3421" w:type="dxa"/>
            <w:tcBorders>
              <w:right w:val="nil"/>
            </w:tcBorders>
          </w:tcPr>
          <w:p w14:paraId="05F05C99" w14:textId="77777777" w:rsidR="009824A2" w:rsidRPr="00A826DD" w:rsidRDefault="009824A2" w:rsidP="00BD75A8">
            <w:pPr>
              <w:keepNext/>
              <w:keepLines/>
              <w:spacing w:before="40" w:after="40"/>
              <w:rPr>
                <w:rFonts w:eastAsia="SimSun"/>
              </w:rPr>
            </w:pPr>
            <w:proofErr w:type="spellStart"/>
            <w:r w:rsidRPr="00A826DD">
              <w:rPr>
                <w:rFonts w:eastAsia="SimSun"/>
              </w:rPr>
              <w:t>Chronic</w:t>
            </w:r>
            <w:proofErr w:type="spellEnd"/>
            <w:r w:rsidRPr="00A826DD">
              <w:rPr>
                <w:rFonts w:eastAsia="SimSun"/>
              </w:rPr>
              <w:t xml:space="preserve"> 1 </w:t>
            </w:r>
            <w:r w:rsidRPr="00A826DD">
              <w:rPr>
                <w:rFonts w:eastAsia="SimSun"/>
              </w:rPr>
              <w:sym w:font="Symbol" w:char="F0B4"/>
            </w:r>
            <w:r w:rsidRPr="00A826DD">
              <w:rPr>
                <w:rFonts w:eastAsia="SimSun"/>
              </w:rPr>
              <w:t xml:space="preserve"> M </w:t>
            </w:r>
            <w:r w:rsidRPr="00A826DD">
              <w:rPr>
                <w:rFonts w:eastAsia="SimSun"/>
                <w:b/>
                <w:bCs/>
                <w:vertAlign w:val="superscript"/>
              </w:rPr>
              <w:t>a</w:t>
            </w:r>
            <w:r w:rsidRPr="00A826DD">
              <w:rPr>
                <w:rFonts w:eastAsia="SimSun"/>
                <w:vertAlign w:val="superscript"/>
              </w:rPr>
              <w:t xml:space="preserve"> </w:t>
            </w:r>
          </w:p>
        </w:tc>
        <w:tc>
          <w:tcPr>
            <w:tcW w:w="1007" w:type="dxa"/>
            <w:tcBorders>
              <w:left w:val="nil"/>
            </w:tcBorders>
          </w:tcPr>
          <w:p w14:paraId="711CFA79" w14:textId="77777777" w:rsidR="009824A2" w:rsidRPr="00A826DD" w:rsidRDefault="009824A2" w:rsidP="00BD75A8">
            <w:pPr>
              <w:keepNext/>
              <w:keepLines/>
              <w:spacing w:before="40" w:after="40"/>
              <w:rPr>
                <w:rFonts w:eastAsia="SimSun"/>
              </w:rPr>
            </w:pPr>
            <w:r w:rsidRPr="00A826DD">
              <w:rPr>
                <w:rFonts w:eastAsia="SimSun"/>
              </w:rPr>
              <w:sym w:font="Symbol" w:char="F0B3"/>
            </w:r>
            <w:r w:rsidRPr="00A826DD">
              <w:rPr>
                <w:rFonts w:eastAsia="SimSun"/>
              </w:rPr>
              <w:t> 25 %</w:t>
            </w:r>
          </w:p>
        </w:tc>
        <w:tc>
          <w:tcPr>
            <w:tcW w:w="2943" w:type="dxa"/>
          </w:tcPr>
          <w:p w14:paraId="7FC1EA31" w14:textId="77777777" w:rsidR="009824A2" w:rsidRPr="00A826DD" w:rsidRDefault="009824A2" w:rsidP="00BD75A8">
            <w:pPr>
              <w:keepNext/>
              <w:keepLines/>
              <w:spacing w:before="40" w:after="40"/>
              <w:jc w:val="center"/>
              <w:rPr>
                <w:rFonts w:eastAsia="SimSun"/>
              </w:rPr>
            </w:pPr>
            <w:proofErr w:type="spellStart"/>
            <w:r w:rsidRPr="00A826DD">
              <w:rPr>
                <w:rFonts w:eastAsia="SimSun"/>
              </w:rPr>
              <w:t>Chronic</w:t>
            </w:r>
            <w:proofErr w:type="spellEnd"/>
            <w:r w:rsidRPr="00A826DD">
              <w:rPr>
                <w:rFonts w:eastAsia="SimSun"/>
              </w:rPr>
              <w:t xml:space="preserve"> 1</w:t>
            </w:r>
          </w:p>
        </w:tc>
      </w:tr>
      <w:tr w:rsidR="009824A2" w:rsidRPr="00A826DD" w14:paraId="63845758" w14:textId="77777777" w:rsidTr="00BD75A8">
        <w:trPr>
          <w:jc w:val="center"/>
        </w:trPr>
        <w:tc>
          <w:tcPr>
            <w:tcW w:w="3421" w:type="dxa"/>
            <w:tcBorders>
              <w:right w:val="nil"/>
            </w:tcBorders>
          </w:tcPr>
          <w:p w14:paraId="0367426D" w14:textId="77777777" w:rsidR="009824A2" w:rsidRPr="00A826DD" w:rsidRDefault="009824A2" w:rsidP="00BD75A8">
            <w:pPr>
              <w:spacing w:before="40" w:after="40"/>
              <w:rPr>
                <w:rFonts w:eastAsia="SimSun"/>
              </w:rPr>
            </w:pPr>
            <w:r w:rsidRPr="00A826DD">
              <w:rPr>
                <w:rFonts w:eastAsia="SimSun"/>
              </w:rPr>
              <w:t xml:space="preserve">(M </w:t>
            </w:r>
            <w:r w:rsidRPr="00A826DD">
              <w:rPr>
                <w:rFonts w:eastAsia="SimSun"/>
              </w:rPr>
              <w:sym w:font="Symbol" w:char="F0B4"/>
            </w:r>
            <w:r w:rsidRPr="00A826DD">
              <w:rPr>
                <w:rFonts w:eastAsia="SimSun"/>
              </w:rPr>
              <w:t xml:space="preserve"> 10 </w:t>
            </w:r>
            <w:r w:rsidRPr="00A826DD">
              <w:rPr>
                <w:rFonts w:eastAsia="SimSun"/>
              </w:rPr>
              <w:sym w:font="Symbol" w:char="F0B4"/>
            </w:r>
            <w:r w:rsidRPr="00A826DD">
              <w:rPr>
                <w:rFonts w:eastAsia="SimSun"/>
              </w:rPr>
              <w:t xml:space="preserve"> </w:t>
            </w:r>
            <w:proofErr w:type="spellStart"/>
            <w:r w:rsidRPr="00A826DD">
              <w:t>Chronic</w:t>
            </w:r>
            <w:proofErr w:type="spellEnd"/>
            <w:r w:rsidRPr="00A826DD">
              <w:t xml:space="preserve"> </w:t>
            </w:r>
            <w:r w:rsidRPr="00A826DD">
              <w:rPr>
                <w:rFonts w:eastAsia="SimSun"/>
              </w:rPr>
              <w:t xml:space="preserve">1) + </w:t>
            </w:r>
            <w:proofErr w:type="spellStart"/>
            <w:r w:rsidRPr="00A826DD">
              <w:rPr>
                <w:rFonts w:eastAsia="SimSun"/>
              </w:rPr>
              <w:t>Chronic</w:t>
            </w:r>
            <w:proofErr w:type="spellEnd"/>
            <w:r w:rsidRPr="00A826DD">
              <w:rPr>
                <w:rFonts w:eastAsia="SimSun"/>
              </w:rPr>
              <w:t xml:space="preserve"> 2 </w:t>
            </w:r>
          </w:p>
        </w:tc>
        <w:tc>
          <w:tcPr>
            <w:tcW w:w="1007" w:type="dxa"/>
            <w:tcBorders>
              <w:left w:val="nil"/>
            </w:tcBorders>
          </w:tcPr>
          <w:p w14:paraId="2B6C1116" w14:textId="77777777" w:rsidR="009824A2" w:rsidRPr="00A826DD" w:rsidRDefault="009824A2" w:rsidP="00BD75A8">
            <w:pPr>
              <w:spacing w:before="40" w:after="40"/>
              <w:rPr>
                <w:rFonts w:eastAsia="SimSun"/>
              </w:rPr>
            </w:pPr>
            <w:r w:rsidRPr="00A826DD">
              <w:rPr>
                <w:rFonts w:eastAsia="SimSun"/>
              </w:rPr>
              <w:sym w:font="Symbol" w:char="F0B3"/>
            </w:r>
            <w:r w:rsidRPr="00A826DD">
              <w:rPr>
                <w:rFonts w:eastAsia="SimSun"/>
              </w:rPr>
              <w:t> 25 %</w:t>
            </w:r>
          </w:p>
        </w:tc>
        <w:tc>
          <w:tcPr>
            <w:tcW w:w="2943" w:type="dxa"/>
          </w:tcPr>
          <w:p w14:paraId="6BD84963" w14:textId="77777777" w:rsidR="009824A2" w:rsidRPr="00A826DD" w:rsidRDefault="009824A2" w:rsidP="00BD75A8">
            <w:pPr>
              <w:spacing w:before="40" w:after="40"/>
              <w:jc w:val="center"/>
              <w:rPr>
                <w:rFonts w:eastAsia="SimSun"/>
              </w:rPr>
            </w:pPr>
            <w:proofErr w:type="spellStart"/>
            <w:r w:rsidRPr="00A826DD">
              <w:rPr>
                <w:rFonts w:eastAsia="SimSun"/>
              </w:rPr>
              <w:t>Chronic</w:t>
            </w:r>
            <w:proofErr w:type="spellEnd"/>
            <w:r w:rsidRPr="00A826DD">
              <w:rPr>
                <w:rFonts w:eastAsia="SimSun"/>
              </w:rPr>
              <w:t xml:space="preserve"> 2</w:t>
            </w:r>
          </w:p>
        </w:tc>
      </w:tr>
    </w:tbl>
    <w:p w14:paraId="6717B8E3" w14:textId="77777777" w:rsidR="009824A2" w:rsidRPr="009824A2" w:rsidRDefault="009824A2" w:rsidP="009824A2">
      <w:pPr>
        <w:ind w:left="1134" w:hanging="1134"/>
        <w:rPr>
          <w:lang w:val="en-US"/>
        </w:rPr>
      </w:pPr>
      <w:r w:rsidRPr="009824A2">
        <w:rPr>
          <w:b/>
          <w:iCs/>
          <w:vertAlign w:val="superscript"/>
          <w:lang w:val="en-US"/>
        </w:rPr>
        <w:tab/>
      </w:r>
      <w:proofErr w:type="spellStart"/>
      <w:r w:rsidRPr="009824A2">
        <w:rPr>
          <w:b/>
          <w:iCs/>
          <w:vertAlign w:val="superscript"/>
          <w:lang w:val="en-US"/>
        </w:rPr>
        <w:t>a</w:t>
      </w:r>
      <w:proofErr w:type="spellEnd"/>
      <w:r w:rsidRPr="009824A2">
        <w:rPr>
          <w:rFonts w:eastAsia="SimSun"/>
          <w:lang w:val="en-US"/>
        </w:rPr>
        <w:t xml:space="preserve">  </w:t>
      </w:r>
      <w:r w:rsidRPr="009824A2">
        <w:rPr>
          <w:rFonts w:eastAsia="SimSun"/>
          <w:i/>
          <w:lang w:val="en-US"/>
        </w:rPr>
        <w:t>For explanation of the M factor, see 2.2.9.1.10.4.6.4.</w:t>
      </w:r>
    </w:p>
    <w:p w14:paraId="141CC837" w14:textId="77777777" w:rsidR="009824A2" w:rsidRPr="009824A2" w:rsidRDefault="009824A2" w:rsidP="009824A2">
      <w:pPr>
        <w:ind w:left="1701" w:hanging="1701"/>
        <w:rPr>
          <w:lang w:val="en-US" w:eastAsia="nl-NL"/>
        </w:rPr>
      </w:pPr>
    </w:p>
    <w:p w14:paraId="2F39A11A" w14:textId="77777777" w:rsidR="009824A2" w:rsidRPr="009824A2" w:rsidRDefault="009824A2" w:rsidP="009824A2">
      <w:pPr>
        <w:pStyle w:val="SingleTxtG"/>
        <w:rPr>
          <w:lang w:val="en-US"/>
        </w:rPr>
      </w:pPr>
      <w:r>
        <w:rPr>
          <w:lang w:val="en-US"/>
        </w:rPr>
        <w:t>10.</w:t>
      </w:r>
      <w:r>
        <w:rPr>
          <w:lang w:val="en-US"/>
        </w:rPr>
        <w:tab/>
      </w:r>
      <w:r w:rsidRPr="00DD6A2F">
        <w:rPr>
          <w:lang w:val="en-US"/>
        </w:rPr>
        <w:t>The M-factor (Multiplication factor) is used for substances that are highly toxic to the environment and are based on harmonized classification or the self-classification of substances (based on manufacturer/supplier ecotoxicity information). The purpose of applying the M-factor is to give an increased weight to highly toxic substances when classifying a mixture.</w:t>
      </w:r>
    </w:p>
    <w:p w14:paraId="50E621FC" w14:textId="77777777" w:rsidR="009824A2" w:rsidRDefault="009824A2" w:rsidP="009824A2">
      <w:pPr>
        <w:pStyle w:val="SingleTxtG"/>
        <w:rPr>
          <w:lang w:val="en-US"/>
        </w:rPr>
      </w:pPr>
      <w:r>
        <w:rPr>
          <w:lang w:val="en-US"/>
        </w:rPr>
        <w:t>11.</w:t>
      </w:r>
      <w:r>
        <w:rPr>
          <w:lang w:val="en-US"/>
        </w:rPr>
        <w:tab/>
      </w:r>
      <w:r w:rsidRPr="00DD6A2F">
        <w:rPr>
          <w:lang w:val="en-US"/>
        </w:rPr>
        <w:t>The M-factor applies to acute and chronic category 1 and its eco-toxicity value:</w:t>
      </w:r>
    </w:p>
    <w:p w14:paraId="27B29B96" w14:textId="77777777" w:rsidR="009824A2" w:rsidRPr="009824A2" w:rsidRDefault="009824A2" w:rsidP="009824A2">
      <w:pPr>
        <w:keepNext/>
        <w:jc w:val="center"/>
        <w:rPr>
          <w:rFonts w:eastAsia="SimSun"/>
          <w:b/>
          <w:bCs/>
          <w:lang w:val="en-US"/>
        </w:rPr>
      </w:pPr>
      <w:r w:rsidRPr="009824A2">
        <w:rPr>
          <w:rFonts w:eastAsia="SimSun"/>
          <w:b/>
          <w:bCs/>
          <w:lang w:val="en-US"/>
        </w:rPr>
        <w:lastRenderedPageBreak/>
        <w:t xml:space="preserve">Table 2.2.9.1.10.4.6.4: Multiplying factors for highly toxic ingredients of </w:t>
      </w:r>
      <w:proofErr w:type="gramStart"/>
      <w:r w:rsidRPr="009824A2">
        <w:rPr>
          <w:rFonts w:eastAsia="SimSun"/>
          <w:b/>
          <w:bCs/>
          <w:lang w:val="en-US"/>
        </w:rPr>
        <w:t>mixtures</w:t>
      </w:r>
      <w:proofErr w:type="gramEnd"/>
    </w:p>
    <w:p w14:paraId="0A079792" w14:textId="77777777" w:rsidR="009824A2" w:rsidRPr="009824A2" w:rsidRDefault="009824A2" w:rsidP="009824A2">
      <w:pPr>
        <w:keepNext/>
        <w:jc w:val="center"/>
        <w:rPr>
          <w:rFonts w:eastAsia="SimSu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10"/>
        <w:gridCol w:w="806"/>
        <w:gridCol w:w="2423"/>
        <w:gridCol w:w="1687"/>
        <w:gridCol w:w="1550"/>
      </w:tblGrid>
      <w:tr w:rsidR="009824A2" w:rsidRPr="00A826DD" w14:paraId="746F8E62" w14:textId="77777777" w:rsidTr="00BD75A8">
        <w:trPr>
          <w:jc w:val="center"/>
        </w:trPr>
        <w:tc>
          <w:tcPr>
            <w:tcW w:w="0" w:type="auto"/>
          </w:tcPr>
          <w:p w14:paraId="604E79DA" w14:textId="77777777" w:rsidR="009824A2" w:rsidRPr="00A826DD" w:rsidRDefault="009824A2" w:rsidP="00BD75A8">
            <w:pPr>
              <w:keepNext/>
              <w:keepLines/>
              <w:jc w:val="center"/>
              <w:rPr>
                <w:rFonts w:eastAsia="SimSun"/>
                <w:b/>
                <w:bCs/>
              </w:rPr>
            </w:pPr>
            <w:proofErr w:type="spellStart"/>
            <w:r w:rsidRPr="00A826DD">
              <w:rPr>
                <w:rFonts w:eastAsia="SimSun"/>
                <w:b/>
                <w:bCs/>
              </w:rPr>
              <w:t>Acute</w:t>
            </w:r>
            <w:proofErr w:type="spellEnd"/>
            <w:r w:rsidRPr="00A826DD">
              <w:rPr>
                <w:rFonts w:eastAsia="SimSun"/>
                <w:b/>
                <w:bCs/>
              </w:rPr>
              <w:t xml:space="preserve"> </w:t>
            </w:r>
            <w:proofErr w:type="spellStart"/>
            <w:r w:rsidRPr="00A826DD">
              <w:rPr>
                <w:rFonts w:eastAsia="SimSun"/>
                <w:b/>
                <w:bCs/>
              </w:rPr>
              <w:t>toxicity</w:t>
            </w:r>
            <w:proofErr w:type="spellEnd"/>
          </w:p>
        </w:tc>
        <w:tc>
          <w:tcPr>
            <w:tcW w:w="0" w:type="auto"/>
          </w:tcPr>
          <w:p w14:paraId="3DA59AC7" w14:textId="77777777" w:rsidR="009824A2" w:rsidRPr="00A826DD" w:rsidRDefault="009824A2" w:rsidP="00BD75A8">
            <w:pPr>
              <w:keepNext/>
              <w:keepLines/>
              <w:jc w:val="center"/>
              <w:rPr>
                <w:rFonts w:eastAsia="SimSun"/>
                <w:b/>
                <w:bCs/>
              </w:rPr>
            </w:pPr>
            <w:r w:rsidRPr="00A826DD">
              <w:rPr>
                <w:rFonts w:eastAsia="SimSun"/>
                <w:b/>
                <w:bCs/>
              </w:rPr>
              <w:t xml:space="preserve">M </w:t>
            </w:r>
            <w:proofErr w:type="spellStart"/>
            <w:r w:rsidRPr="00A826DD">
              <w:rPr>
                <w:rFonts w:eastAsia="SimSun"/>
                <w:b/>
                <w:bCs/>
              </w:rPr>
              <w:t>factor</w:t>
            </w:r>
            <w:proofErr w:type="spellEnd"/>
          </w:p>
        </w:tc>
        <w:tc>
          <w:tcPr>
            <w:tcW w:w="0" w:type="auto"/>
          </w:tcPr>
          <w:p w14:paraId="152FA46E" w14:textId="77777777" w:rsidR="009824A2" w:rsidRPr="00A826DD" w:rsidRDefault="009824A2" w:rsidP="00BD75A8">
            <w:pPr>
              <w:keepNext/>
              <w:keepLines/>
              <w:jc w:val="center"/>
              <w:rPr>
                <w:rFonts w:eastAsia="SimSun"/>
                <w:b/>
                <w:bCs/>
              </w:rPr>
            </w:pPr>
            <w:proofErr w:type="spellStart"/>
            <w:r w:rsidRPr="00A826DD">
              <w:rPr>
                <w:b/>
                <w:bCs/>
              </w:rPr>
              <w:t>Chronic</w:t>
            </w:r>
            <w:proofErr w:type="spellEnd"/>
            <w:r w:rsidRPr="00A826DD">
              <w:rPr>
                <w:b/>
                <w:bCs/>
              </w:rPr>
              <w:t xml:space="preserve"> </w:t>
            </w:r>
            <w:proofErr w:type="spellStart"/>
            <w:r w:rsidRPr="00A826DD">
              <w:rPr>
                <w:b/>
                <w:bCs/>
              </w:rPr>
              <w:t>toxicity</w:t>
            </w:r>
            <w:proofErr w:type="spellEnd"/>
          </w:p>
        </w:tc>
        <w:tc>
          <w:tcPr>
            <w:tcW w:w="0" w:type="auto"/>
            <w:gridSpan w:val="2"/>
          </w:tcPr>
          <w:p w14:paraId="5FC3C529" w14:textId="77777777" w:rsidR="009824A2" w:rsidRPr="00A826DD" w:rsidRDefault="009824A2" w:rsidP="00BD75A8">
            <w:pPr>
              <w:keepNext/>
              <w:keepLines/>
              <w:jc w:val="center"/>
              <w:rPr>
                <w:rFonts w:eastAsia="SimSun"/>
                <w:b/>
                <w:bCs/>
              </w:rPr>
            </w:pPr>
            <w:r w:rsidRPr="00A826DD">
              <w:rPr>
                <w:b/>
                <w:bCs/>
              </w:rPr>
              <w:t xml:space="preserve">M </w:t>
            </w:r>
            <w:proofErr w:type="spellStart"/>
            <w:r w:rsidRPr="00A826DD">
              <w:rPr>
                <w:b/>
                <w:bCs/>
              </w:rPr>
              <w:t>factor</w:t>
            </w:r>
            <w:proofErr w:type="spellEnd"/>
          </w:p>
        </w:tc>
      </w:tr>
      <w:tr w:rsidR="009824A2" w:rsidRPr="00A826DD" w14:paraId="08039F08" w14:textId="77777777" w:rsidTr="00BD75A8">
        <w:trPr>
          <w:jc w:val="center"/>
        </w:trPr>
        <w:tc>
          <w:tcPr>
            <w:tcW w:w="0" w:type="auto"/>
          </w:tcPr>
          <w:p w14:paraId="76B6334B" w14:textId="77777777" w:rsidR="009824A2" w:rsidRPr="00A826DD" w:rsidRDefault="009824A2" w:rsidP="00BD75A8">
            <w:pPr>
              <w:keepNext/>
              <w:keepLines/>
              <w:spacing w:before="40" w:after="40"/>
              <w:jc w:val="center"/>
            </w:pPr>
            <w:r w:rsidRPr="00A826DD">
              <w:rPr>
                <w:rFonts w:eastAsia="SimSun"/>
                <w:b/>
                <w:bCs/>
              </w:rPr>
              <w:t>L(E)C₅₀</w:t>
            </w:r>
            <w:r w:rsidRPr="00A826DD">
              <w:rPr>
                <w:rFonts w:eastAsia="SimSun"/>
                <w:b/>
                <w:bCs/>
                <w:vertAlign w:val="subscript"/>
              </w:rPr>
              <w:t xml:space="preserve"> </w:t>
            </w:r>
            <w:proofErr w:type="spellStart"/>
            <w:r w:rsidRPr="00A826DD">
              <w:rPr>
                <w:rFonts w:eastAsia="SimSun"/>
                <w:b/>
                <w:bCs/>
              </w:rPr>
              <w:t>value</w:t>
            </w:r>
            <w:proofErr w:type="spellEnd"/>
          </w:p>
        </w:tc>
        <w:tc>
          <w:tcPr>
            <w:tcW w:w="0" w:type="auto"/>
            <w:vAlign w:val="center"/>
          </w:tcPr>
          <w:p w14:paraId="46DAC174" w14:textId="77777777" w:rsidR="009824A2" w:rsidRPr="00A826DD" w:rsidRDefault="009824A2" w:rsidP="00BD75A8">
            <w:pPr>
              <w:keepNext/>
              <w:keepLines/>
              <w:jc w:val="center"/>
              <w:rPr>
                <w:rFonts w:eastAsia="SimSun"/>
              </w:rPr>
            </w:pPr>
          </w:p>
        </w:tc>
        <w:tc>
          <w:tcPr>
            <w:tcW w:w="0" w:type="auto"/>
          </w:tcPr>
          <w:p w14:paraId="513C46B2" w14:textId="77777777" w:rsidR="009824A2" w:rsidRPr="00A826DD" w:rsidRDefault="009824A2" w:rsidP="00BD75A8">
            <w:pPr>
              <w:keepNext/>
              <w:keepLines/>
              <w:spacing w:before="40" w:after="40"/>
              <w:jc w:val="center"/>
            </w:pPr>
            <w:r w:rsidRPr="00A826DD">
              <w:rPr>
                <w:rFonts w:eastAsia="SimSun"/>
                <w:b/>
                <w:bCs/>
              </w:rPr>
              <w:t xml:space="preserve">NOEC </w:t>
            </w:r>
            <w:proofErr w:type="spellStart"/>
            <w:r w:rsidRPr="00A826DD">
              <w:rPr>
                <w:rFonts w:eastAsia="SimSun"/>
                <w:b/>
                <w:bCs/>
              </w:rPr>
              <w:t>value</w:t>
            </w:r>
            <w:proofErr w:type="spellEnd"/>
          </w:p>
        </w:tc>
        <w:tc>
          <w:tcPr>
            <w:tcW w:w="0" w:type="auto"/>
            <w:vAlign w:val="center"/>
          </w:tcPr>
          <w:p w14:paraId="1071066A" w14:textId="77777777" w:rsidR="009824A2" w:rsidRPr="00A826DD" w:rsidRDefault="009824A2" w:rsidP="00BD75A8">
            <w:pPr>
              <w:ind w:hanging="23"/>
              <w:jc w:val="center"/>
              <w:rPr>
                <w:rFonts w:eastAsia="SimSun"/>
              </w:rPr>
            </w:pPr>
            <w:r w:rsidRPr="00A826DD">
              <w:rPr>
                <w:rFonts w:eastAsia="SimSun"/>
                <w:b/>
                <w:bCs/>
              </w:rPr>
              <w:t xml:space="preserve">NRD </w:t>
            </w:r>
            <w:r w:rsidRPr="00A826DD">
              <w:rPr>
                <w:rFonts w:eastAsia="SimSun"/>
                <w:b/>
                <w:bCs/>
                <w:vertAlign w:val="superscript"/>
              </w:rPr>
              <w:t>a</w:t>
            </w:r>
            <w:r w:rsidRPr="00A826DD">
              <w:rPr>
                <w:rFonts w:eastAsia="SimSun"/>
                <w:b/>
                <w:bCs/>
              </w:rPr>
              <w:t xml:space="preserve"> </w:t>
            </w:r>
            <w:proofErr w:type="spellStart"/>
            <w:r w:rsidRPr="00A826DD">
              <w:rPr>
                <w:rFonts w:eastAsia="SimSun"/>
                <w:b/>
                <w:bCs/>
              </w:rPr>
              <w:t>ingredients</w:t>
            </w:r>
            <w:proofErr w:type="spellEnd"/>
          </w:p>
        </w:tc>
        <w:tc>
          <w:tcPr>
            <w:tcW w:w="0" w:type="auto"/>
            <w:vAlign w:val="center"/>
          </w:tcPr>
          <w:p w14:paraId="5B0FCBA0" w14:textId="77777777" w:rsidR="009824A2" w:rsidRPr="00A826DD" w:rsidRDefault="009824A2" w:rsidP="00BD75A8">
            <w:pPr>
              <w:ind w:hanging="23"/>
              <w:jc w:val="center"/>
              <w:rPr>
                <w:rFonts w:eastAsia="SimSun"/>
                <w:b/>
                <w:bCs/>
              </w:rPr>
            </w:pPr>
            <w:r w:rsidRPr="00A826DD">
              <w:rPr>
                <w:rFonts w:eastAsia="SimSun"/>
                <w:b/>
                <w:bCs/>
              </w:rPr>
              <w:t xml:space="preserve">RD </w:t>
            </w:r>
            <w:r w:rsidRPr="00A826DD">
              <w:rPr>
                <w:rFonts w:eastAsia="SimSun"/>
                <w:b/>
                <w:bCs/>
                <w:vertAlign w:val="superscript"/>
              </w:rPr>
              <w:t>b</w:t>
            </w:r>
            <w:r w:rsidRPr="00A826DD">
              <w:rPr>
                <w:rFonts w:eastAsia="SimSun"/>
                <w:b/>
                <w:bCs/>
              </w:rPr>
              <w:t xml:space="preserve"> </w:t>
            </w:r>
            <w:proofErr w:type="spellStart"/>
            <w:r w:rsidRPr="00A826DD">
              <w:rPr>
                <w:rFonts w:eastAsia="SimSun"/>
                <w:b/>
                <w:bCs/>
              </w:rPr>
              <w:t>ingredients</w:t>
            </w:r>
            <w:proofErr w:type="spellEnd"/>
          </w:p>
        </w:tc>
      </w:tr>
      <w:tr w:rsidR="009824A2" w:rsidRPr="00A826DD" w14:paraId="71F4EB3B" w14:textId="77777777" w:rsidTr="00BD75A8">
        <w:trPr>
          <w:jc w:val="center"/>
        </w:trPr>
        <w:tc>
          <w:tcPr>
            <w:tcW w:w="0" w:type="auto"/>
          </w:tcPr>
          <w:p w14:paraId="0DF8AA96" w14:textId="77777777" w:rsidR="009824A2" w:rsidRPr="00A826DD" w:rsidRDefault="009824A2" w:rsidP="00BD75A8">
            <w:pPr>
              <w:keepNext/>
              <w:keepLines/>
              <w:spacing w:before="40" w:after="40"/>
              <w:jc w:val="center"/>
            </w:pPr>
            <w:r w:rsidRPr="00A826DD">
              <w:t>0.1 &lt; L(E)C₅₀ ≤ 1</w:t>
            </w:r>
          </w:p>
        </w:tc>
        <w:tc>
          <w:tcPr>
            <w:tcW w:w="0" w:type="auto"/>
            <w:vAlign w:val="center"/>
          </w:tcPr>
          <w:p w14:paraId="17B4E435" w14:textId="77777777" w:rsidR="009824A2" w:rsidRPr="00A826DD" w:rsidRDefault="009824A2" w:rsidP="00BD75A8">
            <w:pPr>
              <w:keepNext/>
              <w:keepLines/>
              <w:jc w:val="center"/>
              <w:rPr>
                <w:rFonts w:eastAsia="SimSun"/>
              </w:rPr>
            </w:pPr>
            <w:r w:rsidRPr="00A826DD">
              <w:rPr>
                <w:rFonts w:eastAsia="SimSun"/>
              </w:rPr>
              <w:t>1</w:t>
            </w:r>
          </w:p>
        </w:tc>
        <w:tc>
          <w:tcPr>
            <w:tcW w:w="0" w:type="auto"/>
            <w:vAlign w:val="center"/>
          </w:tcPr>
          <w:p w14:paraId="11A38313" w14:textId="77777777" w:rsidR="009824A2" w:rsidRPr="00A826DD" w:rsidRDefault="009824A2" w:rsidP="00BD75A8">
            <w:pPr>
              <w:keepNext/>
              <w:keepLines/>
              <w:spacing w:before="40" w:after="40"/>
              <w:jc w:val="center"/>
            </w:pPr>
            <w:r w:rsidRPr="00A826DD">
              <w:t>0.01 &lt; NOEC ≤ 0.1</w:t>
            </w:r>
          </w:p>
        </w:tc>
        <w:tc>
          <w:tcPr>
            <w:tcW w:w="0" w:type="auto"/>
            <w:vAlign w:val="center"/>
          </w:tcPr>
          <w:p w14:paraId="48E81DC2" w14:textId="77777777" w:rsidR="009824A2" w:rsidRPr="00A826DD" w:rsidRDefault="009824A2" w:rsidP="00BD75A8">
            <w:pPr>
              <w:jc w:val="center"/>
              <w:rPr>
                <w:rFonts w:eastAsia="SimSun"/>
                <w:b/>
                <w:bCs/>
              </w:rPr>
            </w:pPr>
            <w:r w:rsidRPr="00A826DD">
              <w:rPr>
                <w:rFonts w:eastAsia="SimSun"/>
              </w:rPr>
              <w:t>1</w:t>
            </w:r>
          </w:p>
        </w:tc>
        <w:tc>
          <w:tcPr>
            <w:tcW w:w="0" w:type="auto"/>
            <w:vAlign w:val="center"/>
          </w:tcPr>
          <w:p w14:paraId="0BCA7B9D" w14:textId="77777777" w:rsidR="009824A2" w:rsidRPr="00A826DD" w:rsidRDefault="009824A2" w:rsidP="00BD75A8">
            <w:pPr>
              <w:jc w:val="center"/>
              <w:rPr>
                <w:rFonts w:eastAsia="SimSun"/>
                <w:b/>
                <w:bCs/>
              </w:rPr>
            </w:pPr>
            <w:r w:rsidRPr="00A826DD">
              <w:rPr>
                <w:rFonts w:eastAsia="SimSun"/>
              </w:rPr>
              <w:t>−</w:t>
            </w:r>
          </w:p>
        </w:tc>
      </w:tr>
      <w:tr w:rsidR="009824A2" w:rsidRPr="00A826DD" w14:paraId="1505611D" w14:textId="77777777" w:rsidTr="00BD75A8">
        <w:trPr>
          <w:jc w:val="center"/>
        </w:trPr>
        <w:tc>
          <w:tcPr>
            <w:tcW w:w="0" w:type="auto"/>
          </w:tcPr>
          <w:p w14:paraId="5BF13549" w14:textId="77777777" w:rsidR="009824A2" w:rsidRPr="00A826DD" w:rsidRDefault="009824A2" w:rsidP="00BD75A8">
            <w:pPr>
              <w:keepNext/>
              <w:keepLines/>
              <w:spacing w:before="40" w:after="40"/>
              <w:jc w:val="center"/>
            </w:pPr>
            <w:r w:rsidRPr="00A826DD">
              <w:t xml:space="preserve">0.01 &lt; L(E)C₅₀ </w:t>
            </w:r>
            <w:r w:rsidRPr="00A826DD">
              <w:sym w:font="Symbol" w:char="F0A3"/>
            </w:r>
            <w:r w:rsidRPr="00A826DD">
              <w:t xml:space="preserve"> 0.1</w:t>
            </w:r>
          </w:p>
        </w:tc>
        <w:tc>
          <w:tcPr>
            <w:tcW w:w="0" w:type="auto"/>
            <w:vAlign w:val="center"/>
          </w:tcPr>
          <w:p w14:paraId="4F961F4A" w14:textId="77777777" w:rsidR="009824A2" w:rsidRPr="00A826DD" w:rsidRDefault="009824A2" w:rsidP="00BD75A8">
            <w:pPr>
              <w:keepNext/>
              <w:keepLines/>
              <w:jc w:val="center"/>
              <w:rPr>
                <w:rFonts w:eastAsia="SimSun"/>
              </w:rPr>
            </w:pPr>
            <w:r w:rsidRPr="00A826DD">
              <w:rPr>
                <w:rFonts w:eastAsia="SimSun"/>
              </w:rPr>
              <w:t>10</w:t>
            </w:r>
          </w:p>
        </w:tc>
        <w:tc>
          <w:tcPr>
            <w:tcW w:w="0" w:type="auto"/>
            <w:vAlign w:val="center"/>
          </w:tcPr>
          <w:p w14:paraId="4D3B37B1" w14:textId="77777777" w:rsidR="009824A2" w:rsidRPr="00A826DD" w:rsidRDefault="009824A2" w:rsidP="00BD75A8">
            <w:pPr>
              <w:keepNext/>
              <w:keepLines/>
              <w:spacing w:before="40" w:after="40"/>
              <w:jc w:val="center"/>
            </w:pPr>
            <w:r w:rsidRPr="00A826DD">
              <w:t>0.001 &lt; NOEC ≤ 0.01</w:t>
            </w:r>
          </w:p>
        </w:tc>
        <w:tc>
          <w:tcPr>
            <w:tcW w:w="0" w:type="auto"/>
            <w:vAlign w:val="center"/>
          </w:tcPr>
          <w:p w14:paraId="73D46B06" w14:textId="77777777" w:rsidR="009824A2" w:rsidRPr="00A826DD" w:rsidRDefault="009824A2" w:rsidP="00BD75A8">
            <w:pPr>
              <w:jc w:val="center"/>
              <w:rPr>
                <w:rFonts w:eastAsia="SimSun"/>
                <w:b/>
                <w:bCs/>
              </w:rPr>
            </w:pPr>
            <w:r w:rsidRPr="00A826DD">
              <w:rPr>
                <w:rFonts w:eastAsia="SimSun"/>
              </w:rPr>
              <w:t>10</w:t>
            </w:r>
          </w:p>
        </w:tc>
        <w:tc>
          <w:tcPr>
            <w:tcW w:w="0" w:type="auto"/>
            <w:vAlign w:val="center"/>
          </w:tcPr>
          <w:p w14:paraId="371AAA55" w14:textId="77777777" w:rsidR="009824A2" w:rsidRPr="00A826DD" w:rsidRDefault="009824A2" w:rsidP="00BD75A8">
            <w:pPr>
              <w:jc w:val="center"/>
              <w:rPr>
                <w:rFonts w:eastAsia="SimSun"/>
                <w:b/>
                <w:bCs/>
              </w:rPr>
            </w:pPr>
            <w:r w:rsidRPr="00A826DD">
              <w:rPr>
                <w:rFonts w:eastAsia="SimSun"/>
              </w:rPr>
              <w:t>1</w:t>
            </w:r>
          </w:p>
        </w:tc>
      </w:tr>
      <w:tr w:rsidR="009824A2" w:rsidRPr="00A826DD" w14:paraId="221A4384" w14:textId="77777777" w:rsidTr="00BD75A8">
        <w:trPr>
          <w:jc w:val="center"/>
        </w:trPr>
        <w:tc>
          <w:tcPr>
            <w:tcW w:w="0" w:type="auto"/>
          </w:tcPr>
          <w:p w14:paraId="0A6B4E09" w14:textId="77777777" w:rsidR="009824A2" w:rsidRPr="00A826DD" w:rsidRDefault="009824A2" w:rsidP="00BD75A8">
            <w:pPr>
              <w:keepNext/>
              <w:keepLines/>
              <w:spacing w:before="40" w:after="40"/>
              <w:jc w:val="center"/>
            </w:pPr>
            <w:r w:rsidRPr="00A826DD">
              <w:t xml:space="preserve">0.001 &lt; L(E)C₅₀ </w:t>
            </w:r>
            <w:r w:rsidRPr="00A826DD">
              <w:sym w:font="Symbol" w:char="F0A3"/>
            </w:r>
            <w:r w:rsidRPr="00A826DD">
              <w:t xml:space="preserve"> 0.01</w:t>
            </w:r>
          </w:p>
        </w:tc>
        <w:tc>
          <w:tcPr>
            <w:tcW w:w="0" w:type="auto"/>
            <w:vAlign w:val="center"/>
          </w:tcPr>
          <w:p w14:paraId="519D6119" w14:textId="77777777" w:rsidR="009824A2" w:rsidRPr="00A826DD" w:rsidRDefault="009824A2" w:rsidP="00BD75A8">
            <w:pPr>
              <w:keepNext/>
              <w:keepLines/>
              <w:jc w:val="center"/>
              <w:rPr>
                <w:rFonts w:eastAsia="SimSun"/>
              </w:rPr>
            </w:pPr>
            <w:r w:rsidRPr="00A826DD">
              <w:rPr>
                <w:rFonts w:eastAsia="SimSun"/>
              </w:rPr>
              <w:t>100</w:t>
            </w:r>
          </w:p>
        </w:tc>
        <w:tc>
          <w:tcPr>
            <w:tcW w:w="0" w:type="auto"/>
            <w:vAlign w:val="center"/>
          </w:tcPr>
          <w:p w14:paraId="1DA2CDE8" w14:textId="77777777" w:rsidR="009824A2" w:rsidRPr="00A826DD" w:rsidRDefault="009824A2" w:rsidP="00BD75A8">
            <w:pPr>
              <w:keepNext/>
              <w:keepLines/>
              <w:spacing w:before="40" w:after="40"/>
              <w:jc w:val="center"/>
            </w:pPr>
            <w:r w:rsidRPr="00A826DD">
              <w:t>0.0001 &lt; NOEC ≤ 0.001</w:t>
            </w:r>
          </w:p>
        </w:tc>
        <w:tc>
          <w:tcPr>
            <w:tcW w:w="0" w:type="auto"/>
            <w:vAlign w:val="center"/>
          </w:tcPr>
          <w:p w14:paraId="09C1FE3F" w14:textId="77777777" w:rsidR="009824A2" w:rsidRPr="00A826DD" w:rsidRDefault="009824A2" w:rsidP="00BD75A8">
            <w:pPr>
              <w:jc w:val="center"/>
              <w:rPr>
                <w:rFonts w:eastAsia="SimSun"/>
                <w:b/>
                <w:bCs/>
              </w:rPr>
            </w:pPr>
            <w:r w:rsidRPr="00A826DD">
              <w:rPr>
                <w:rFonts w:eastAsia="SimSun"/>
              </w:rPr>
              <w:t>100</w:t>
            </w:r>
          </w:p>
        </w:tc>
        <w:tc>
          <w:tcPr>
            <w:tcW w:w="0" w:type="auto"/>
            <w:vAlign w:val="center"/>
          </w:tcPr>
          <w:p w14:paraId="72437CDE" w14:textId="77777777" w:rsidR="009824A2" w:rsidRPr="00A826DD" w:rsidRDefault="009824A2" w:rsidP="00BD75A8">
            <w:pPr>
              <w:jc w:val="center"/>
              <w:rPr>
                <w:rFonts w:eastAsia="SimSun"/>
                <w:b/>
                <w:bCs/>
              </w:rPr>
            </w:pPr>
            <w:r w:rsidRPr="00A826DD">
              <w:rPr>
                <w:rFonts w:eastAsia="SimSun"/>
              </w:rPr>
              <w:t>10</w:t>
            </w:r>
          </w:p>
        </w:tc>
      </w:tr>
      <w:tr w:rsidR="009824A2" w:rsidRPr="00A826DD" w14:paraId="3D971EFD" w14:textId="77777777" w:rsidTr="00BD75A8">
        <w:trPr>
          <w:jc w:val="center"/>
        </w:trPr>
        <w:tc>
          <w:tcPr>
            <w:tcW w:w="0" w:type="auto"/>
          </w:tcPr>
          <w:p w14:paraId="649CE3F6" w14:textId="77777777" w:rsidR="009824A2" w:rsidRPr="00A826DD" w:rsidRDefault="009824A2" w:rsidP="00BD75A8">
            <w:pPr>
              <w:keepNext/>
              <w:keepLines/>
              <w:spacing w:before="40" w:after="40"/>
              <w:jc w:val="center"/>
            </w:pPr>
            <w:r w:rsidRPr="00A826DD">
              <w:t xml:space="preserve">0.0001 &lt; L(E)C₅₀ </w:t>
            </w:r>
            <w:r w:rsidRPr="00A826DD">
              <w:sym w:font="Symbol" w:char="F0A3"/>
            </w:r>
            <w:r w:rsidRPr="00A826DD">
              <w:t xml:space="preserve"> 0.001</w:t>
            </w:r>
          </w:p>
        </w:tc>
        <w:tc>
          <w:tcPr>
            <w:tcW w:w="0" w:type="auto"/>
            <w:vAlign w:val="center"/>
          </w:tcPr>
          <w:p w14:paraId="71E2395E" w14:textId="77777777" w:rsidR="009824A2" w:rsidRPr="00A826DD" w:rsidRDefault="009824A2" w:rsidP="00BD75A8">
            <w:pPr>
              <w:jc w:val="center"/>
              <w:rPr>
                <w:rFonts w:eastAsia="SimSun"/>
              </w:rPr>
            </w:pPr>
            <w:r w:rsidRPr="00A826DD">
              <w:rPr>
                <w:rFonts w:eastAsia="SimSun"/>
              </w:rPr>
              <w:t>1 000</w:t>
            </w:r>
          </w:p>
        </w:tc>
        <w:tc>
          <w:tcPr>
            <w:tcW w:w="0" w:type="auto"/>
            <w:vAlign w:val="center"/>
          </w:tcPr>
          <w:p w14:paraId="0EBFC5A9" w14:textId="77777777" w:rsidR="009824A2" w:rsidRPr="00A826DD" w:rsidRDefault="009824A2" w:rsidP="00BD75A8">
            <w:pPr>
              <w:keepNext/>
              <w:keepLines/>
              <w:spacing w:before="40" w:after="40"/>
              <w:jc w:val="center"/>
            </w:pPr>
            <w:r w:rsidRPr="00A826DD">
              <w:t>0.00001 &lt; NOEC ≤ 0.0001</w:t>
            </w:r>
          </w:p>
        </w:tc>
        <w:tc>
          <w:tcPr>
            <w:tcW w:w="0" w:type="auto"/>
            <w:vAlign w:val="center"/>
          </w:tcPr>
          <w:p w14:paraId="6E0E9745" w14:textId="77777777" w:rsidR="009824A2" w:rsidRPr="00A826DD" w:rsidRDefault="009824A2" w:rsidP="00BD75A8">
            <w:pPr>
              <w:jc w:val="center"/>
              <w:rPr>
                <w:rFonts w:eastAsia="SimSun"/>
                <w:b/>
                <w:bCs/>
              </w:rPr>
            </w:pPr>
            <w:r w:rsidRPr="00A826DD">
              <w:rPr>
                <w:rFonts w:eastAsia="SimSun"/>
              </w:rPr>
              <w:t>1 000</w:t>
            </w:r>
          </w:p>
        </w:tc>
        <w:tc>
          <w:tcPr>
            <w:tcW w:w="0" w:type="auto"/>
            <w:vAlign w:val="center"/>
          </w:tcPr>
          <w:p w14:paraId="40CE18B8" w14:textId="77777777" w:rsidR="009824A2" w:rsidRPr="00A826DD" w:rsidRDefault="009824A2" w:rsidP="00BD75A8">
            <w:pPr>
              <w:jc w:val="center"/>
              <w:rPr>
                <w:rFonts w:eastAsia="SimSun"/>
                <w:b/>
                <w:bCs/>
              </w:rPr>
            </w:pPr>
            <w:r w:rsidRPr="00A826DD">
              <w:rPr>
                <w:rFonts w:eastAsia="SimSun"/>
              </w:rPr>
              <w:t>100</w:t>
            </w:r>
          </w:p>
        </w:tc>
      </w:tr>
      <w:tr w:rsidR="009824A2" w:rsidRPr="00A826DD" w14:paraId="7625C198" w14:textId="77777777" w:rsidTr="00BD75A8">
        <w:trPr>
          <w:jc w:val="center"/>
        </w:trPr>
        <w:tc>
          <w:tcPr>
            <w:tcW w:w="0" w:type="auto"/>
          </w:tcPr>
          <w:p w14:paraId="698CA913" w14:textId="77777777" w:rsidR="009824A2" w:rsidRPr="00A826DD" w:rsidRDefault="009824A2" w:rsidP="00BD75A8">
            <w:pPr>
              <w:keepNext/>
              <w:keepLines/>
              <w:spacing w:before="40" w:after="40"/>
              <w:jc w:val="center"/>
            </w:pPr>
            <w:r w:rsidRPr="00A826DD">
              <w:t xml:space="preserve">0.00001 &lt; L(E)C₅₀ </w:t>
            </w:r>
            <w:r w:rsidRPr="00A826DD">
              <w:sym w:font="Symbol" w:char="F0A3"/>
            </w:r>
            <w:r w:rsidRPr="00A826DD">
              <w:t xml:space="preserve"> 0.0001</w:t>
            </w:r>
          </w:p>
        </w:tc>
        <w:tc>
          <w:tcPr>
            <w:tcW w:w="0" w:type="auto"/>
            <w:vAlign w:val="center"/>
          </w:tcPr>
          <w:p w14:paraId="543F1D96" w14:textId="77777777" w:rsidR="009824A2" w:rsidRPr="00A826DD" w:rsidRDefault="009824A2" w:rsidP="00BD75A8">
            <w:pPr>
              <w:jc w:val="center"/>
              <w:rPr>
                <w:rFonts w:eastAsia="SimSun"/>
              </w:rPr>
            </w:pPr>
            <w:r w:rsidRPr="00A826DD">
              <w:rPr>
                <w:rFonts w:eastAsia="SimSun"/>
              </w:rPr>
              <w:t>10 000</w:t>
            </w:r>
          </w:p>
        </w:tc>
        <w:tc>
          <w:tcPr>
            <w:tcW w:w="0" w:type="auto"/>
            <w:vAlign w:val="center"/>
          </w:tcPr>
          <w:p w14:paraId="145EDB9C" w14:textId="77777777" w:rsidR="009824A2" w:rsidRPr="00A826DD" w:rsidRDefault="009824A2" w:rsidP="00BD75A8">
            <w:pPr>
              <w:keepNext/>
              <w:keepLines/>
              <w:spacing w:before="40" w:after="40"/>
              <w:jc w:val="center"/>
            </w:pPr>
            <w:r w:rsidRPr="00A826DD">
              <w:t>0.000001 &lt; NOEC ≤ 0.00001</w:t>
            </w:r>
          </w:p>
        </w:tc>
        <w:tc>
          <w:tcPr>
            <w:tcW w:w="0" w:type="auto"/>
            <w:vAlign w:val="center"/>
          </w:tcPr>
          <w:p w14:paraId="161BBA87" w14:textId="77777777" w:rsidR="009824A2" w:rsidRPr="00A826DD" w:rsidRDefault="009824A2" w:rsidP="00BD75A8">
            <w:pPr>
              <w:jc w:val="center"/>
              <w:rPr>
                <w:rFonts w:eastAsia="SimSun"/>
                <w:b/>
                <w:bCs/>
              </w:rPr>
            </w:pPr>
            <w:r w:rsidRPr="00A826DD">
              <w:rPr>
                <w:rFonts w:eastAsia="SimSun"/>
              </w:rPr>
              <w:t>10 000</w:t>
            </w:r>
          </w:p>
        </w:tc>
        <w:tc>
          <w:tcPr>
            <w:tcW w:w="0" w:type="auto"/>
            <w:vAlign w:val="center"/>
          </w:tcPr>
          <w:p w14:paraId="40CF9221" w14:textId="77777777" w:rsidR="009824A2" w:rsidRPr="00A826DD" w:rsidRDefault="009824A2" w:rsidP="00BD75A8">
            <w:pPr>
              <w:jc w:val="center"/>
              <w:rPr>
                <w:rFonts w:eastAsia="SimSun"/>
                <w:b/>
                <w:bCs/>
              </w:rPr>
            </w:pPr>
            <w:r w:rsidRPr="00A826DD">
              <w:rPr>
                <w:rFonts w:eastAsia="SimSun"/>
              </w:rPr>
              <w:t>1 000</w:t>
            </w:r>
          </w:p>
        </w:tc>
      </w:tr>
      <w:tr w:rsidR="009824A2" w:rsidRPr="00A826DD" w14:paraId="673771FE" w14:textId="77777777" w:rsidTr="00BD75A8">
        <w:trPr>
          <w:jc w:val="center"/>
        </w:trPr>
        <w:tc>
          <w:tcPr>
            <w:tcW w:w="0" w:type="auto"/>
            <w:gridSpan w:val="2"/>
          </w:tcPr>
          <w:p w14:paraId="2180DA9C" w14:textId="77777777" w:rsidR="009824A2" w:rsidRPr="00A826DD" w:rsidRDefault="009824A2" w:rsidP="00BD75A8">
            <w:pPr>
              <w:jc w:val="center"/>
              <w:rPr>
                <w:rFonts w:eastAsia="SimSun"/>
              </w:rPr>
            </w:pPr>
            <w:r w:rsidRPr="00A826DD">
              <w:rPr>
                <w:rFonts w:eastAsia="SimSun"/>
              </w:rPr>
              <w:t>(</w:t>
            </w:r>
            <w:proofErr w:type="spellStart"/>
            <w:r w:rsidRPr="00A826DD">
              <w:rPr>
                <w:rFonts w:eastAsia="SimSun"/>
              </w:rPr>
              <w:t>continue</w:t>
            </w:r>
            <w:proofErr w:type="spellEnd"/>
            <w:r w:rsidRPr="00A826DD">
              <w:rPr>
                <w:rFonts w:eastAsia="SimSun"/>
              </w:rPr>
              <w:t xml:space="preserve"> in </w:t>
            </w:r>
            <w:proofErr w:type="spellStart"/>
            <w:r w:rsidRPr="00A826DD">
              <w:rPr>
                <w:rFonts w:eastAsia="SimSun"/>
              </w:rPr>
              <w:t>factor</w:t>
            </w:r>
            <w:proofErr w:type="spellEnd"/>
            <w:r w:rsidRPr="00A826DD">
              <w:rPr>
                <w:rFonts w:eastAsia="SimSun"/>
              </w:rPr>
              <w:t xml:space="preserve"> 10 </w:t>
            </w:r>
            <w:proofErr w:type="spellStart"/>
            <w:r w:rsidRPr="00A826DD">
              <w:rPr>
                <w:rFonts w:eastAsia="SimSun"/>
              </w:rPr>
              <w:t>intervals</w:t>
            </w:r>
            <w:proofErr w:type="spellEnd"/>
            <w:r w:rsidRPr="00A826DD">
              <w:rPr>
                <w:rFonts w:eastAsia="SimSun"/>
              </w:rPr>
              <w:t>)</w:t>
            </w:r>
          </w:p>
        </w:tc>
        <w:tc>
          <w:tcPr>
            <w:tcW w:w="0" w:type="auto"/>
            <w:gridSpan w:val="3"/>
          </w:tcPr>
          <w:p w14:paraId="674F45D9" w14:textId="77777777" w:rsidR="009824A2" w:rsidRPr="00A826DD" w:rsidRDefault="009824A2" w:rsidP="00BD75A8">
            <w:pPr>
              <w:jc w:val="center"/>
              <w:rPr>
                <w:rFonts w:eastAsia="SimSun"/>
              </w:rPr>
            </w:pPr>
            <w:r w:rsidRPr="00A826DD">
              <w:rPr>
                <w:rFonts w:eastAsia="SimSun"/>
              </w:rPr>
              <w:t>(</w:t>
            </w:r>
            <w:proofErr w:type="spellStart"/>
            <w:r w:rsidRPr="00A826DD">
              <w:rPr>
                <w:rFonts w:eastAsia="SimSun"/>
              </w:rPr>
              <w:t>continue</w:t>
            </w:r>
            <w:proofErr w:type="spellEnd"/>
            <w:r w:rsidRPr="00A826DD">
              <w:rPr>
                <w:rFonts w:eastAsia="SimSun"/>
              </w:rPr>
              <w:t xml:space="preserve"> in </w:t>
            </w:r>
            <w:proofErr w:type="spellStart"/>
            <w:r w:rsidRPr="00A826DD">
              <w:rPr>
                <w:rFonts w:eastAsia="SimSun"/>
              </w:rPr>
              <w:t>factor</w:t>
            </w:r>
            <w:proofErr w:type="spellEnd"/>
            <w:r w:rsidRPr="00A826DD">
              <w:rPr>
                <w:rFonts w:eastAsia="SimSun"/>
              </w:rPr>
              <w:t xml:space="preserve"> 10 </w:t>
            </w:r>
            <w:proofErr w:type="spellStart"/>
            <w:r w:rsidRPr="00A826DD">
              <w:rPr>
                <w:rFonts w:eastAsia="SimSun"/>
              </w:rPr>
              <w:t>intervals</w:t>
            </w:r>
            <w:proofErr w:type="spellEnd"/>
            <w:r w:rsidRPr="00A826DD">
              <w:rPr>
                <w:rFonts w:eastAsia="SimSun"/>
              </w:rPr>
              <w:t>)</w:t>
            </w:r>
          </w:p>
        </w:tc>
      </w:tr>
    </w:tbl>
    <w:p w14:paraId="551D0725" w14:textId="77777777" w:rsidR="009824A2" w:rsidRPr="00A826DD" w:rsidRDefault="009824A2" w:rsidP="009824A2">
      <w:pPr>
        <w:tabs>
          <w:tab w:val="left" w:pos="851"/>
          <w:tab w:val="left" w:pos="1980"/>
        </w:tabs>
        <w:ind w:left="1979" w:hanging="1412"/>
      </w:pPr>
      <w:r w:rsidRPr="00A826DD">
        <w:rPr>
          <w:rFonts w:eastAsia="SimSun"/>
          <w:b/>
          <w:vertAlign w:val="superscript"/>
        </w:rPr>
        <w:t>a</w:t>
      </w:r>
      <w:r w:rsidRPr="00A826DD">
        <w:rPr>
          <w:rFonts w:eastAsia="SimSun"/>
          <w:vertAlign w:val="superscript"/>
        </w:rPr>
        <w:t xml:space="preserve">  </w:t>
      </w:r>
      <w:r w:rsidRPr="00A826DD">
        <w:rPr>
          <w:rFonts w:eastAsia="SimSun"/>
          <w:i/>
        </w:rPr>
        <w:t>Non-</w:t>
      </w:r>
      <w:proofErr w:type="spellStart"/>
      <w:r w:rsidRPr="00A826DD">
        <w:rPr>
          <w:rFonts w:eastAsia="SimSun"/>
          <w:i/>
        </w:rPr>
        <w:t>rapidly</w:t>
      </w:r>
      <w:proofErr w:type="spellEnd"/>
      <w:r w:rsidRPr="00A826DD">
        <w:rPr>
          <w:rFonts w:eastAsia="SimSun"/>
          <w:i/>
        </w:rPr>
        <w:t xml:space="preserve"> </w:t>
      </w:r>
      <w:proofErr w:type="spellStart"/>
      <w:r w:rsidRPr="00A826DD">
        <w:rPr>
          <w:rFonts w:eastAsia="SimSun"/>
          <w:i/>
        </w:rPr>
        <w:t>degradable</w:t>
      </w:r>
      <w:proofErr w:type="spellEnd"/>
      <w:r w:rsidRPr="00A826DD">
        <w:rPr>
          <w:rFonts w:eastAsia="SimSun"/>
          <w:i/>
        </w:rPr>
        <w:t>.</w:t>
      </w:r>
    </w:p>
    <w:p w14:paraId="55A80988" w14:textId="77777777" w:rsidR="009824A2" w:rsidRPr="00A826DD" w:rsidRDefault="009824A2" w:rsidP="009824A2">
      <w:pPr>
        <w:tabs>
          <w:tab w:val="left" w:pos="851"/>
          <w:tab w:val="left" w:pos="1980"/>
        </w:tabs>
        <w:ind w:left="1979" w:hanging="1412"/>
        <w:rPr>
          <w:rFonts w:eastAsia="SimSun"/>
        </w:rPr>
      </w:pPr>
      <w:r w:rsidRPr="00A826DD">
        <w:rPr>
          <w:rFonts w:eastAsia="SimSun"/>
          <w:b/>
          <w:vertAlign w:val="superscript"/>
        </w:rPr>
        <w:t xml:space="preserve">b </w:t>
      </w:r>
      <w:r w:rsidRPr="00A826DD">
        <w:rPr>
          <w:rFonts w:eastAsia="SimSun"/>
          <w:vertAlign w:val="superscript"/>
        </w:rPr>
        <w:t xml:space="preserve"> </w:t>
      </w:r>
      <w:proofErr w:type="spellStart"/>
      <w:r w:rsidRPr="00A826DD">
        <w:rPr>
          <w:rFonts w:eastAsia="SimSun"/>
          <w:i/>
        </w:rPr>
        <w:t>Rapidly</w:t>
      </w:r>
      <w:proofErr w:type="spellEnd"/>
      <w:r w:rsidRPr="00A826DD">
        <w:rPr>
          <w:rFonts w:eastAsia="SimSun"/>
          <w:i/>
        </w:rPr>
        <w:t xml:space="preserve"> </w:t>
      </w:r>
      <w:proofErr w:type="spellStart"/>
      <w:r w:rsidRPr="00A826DD">
        <w:rPr>
          <w:rFonts w:eastAsia="SimSun"/>
          <w:i/>
        </w:rPr>
        <w:t>degradable</w:t>
      </w:r>
      <w:proofErr w:type="spellEnd"/>
      <w:r w:rsidRPr="00A826DD">
        <w:rPr>
          <w:rFonts w:eastAsia="SimSun"/>
          <w:i/>
        </w:rPr>
        <w:t>.</w:t>
      </w:r>
    </w:p>
    <w:p w14:paraId="2A82803F" w14:textId="77777777" w:rsidR="009824A2" w:rsidRPr="00A826DD" w:rsidRDefault="009824A2" w:rsidP="009824A2">
      <w:pPr>
        <w:tabs>
          <w:tab w:val="left" w:pos="1418"/>
          <w:tab w:val="left" w:pos="1980"/>
        </w:tabs>
        <w:ind w:left="1979" w:hanging="1412"/>
      </w:pPr>
    </w:p>
    <w:p w14:paraId="6B7EC28E" w14:textId="77777777" w:rsidR="009824A2" w:rsidRPr="009705C0" w:rsidRDefault="009824A2" w:rsidP="009824A2">
      <w:pPr>
        <w:pStyle w:val="SingleTxtG"/>
        <w:rPr>
          <w:lang w:val="en-US"/>
        </w:rPr>
      </w:pPr>
      <w:r w:rsidRPr="00113653">
        <w:rPr>
          <w:lang w:val="en-US"/>
        </w:rPr>
        <w:t>12.</w:t>
      </w:r>
      <w:r>
        <w:rPr>
          <w:b/>
          <w:bCs/>
          <w:lang w:val="en-US"/>
        </w:rPr>
        <w:tab/>
      </w:r>
      <w:r w:rsidRPr="009705C0">
        <w:rPr>
          <w:lang w:val="en-US"/>
        </w:rPr>
        <w:t xml:space="preserve">This means that a substance with a high M-factor leads to a class 9 </w:t>
      </w:r>
      <w:r>
        <w:rPr>
          <w:lang w:val="en-US"/>
        </w:rPr>
        <w:t>e</w:t>
      </w:r>
      <w:r w:rsidRPr="009705C0">
        <w:rPr>
          <w:lang w:val="en-US"/>
        </w:rPr>
        <w:t xml:space="preserve">nvironmentally </w:t>
      </w:r>
      <w:r>
        <w:rPr>
          <w:lang w:val="en-US"/>
        </w:rPr>
        <w:t>h</w:t>
      </w:r>
      <w:r w:rsidRPr="009705C0">
        <w:rPr>
          <w:lang w:val="en-US"/>
        </w:rPr>
        <w:t>azardous classification at very low concentrations of highly toxic substances in mixtures.</w:t>
      </w:r>
    </w:p>
    <w:p w14:paraId="78FAC156" w14:textId="77777777" w:rsidR="009824A2" w:rsidRPr="009824A2" w:rsidRDefault="009824A2" w:rsidP="009824A2">
      <w:pPr>
        <w:pStyle w:val="SingleTxtG"/>
        <w:rPr>
          <w:lang w:val="en-US"/>
        </w:rPr>
      </w:pPr>
      <w:r w:rsidRPr="009824A2">
        <w:rPr>
          <w:lang w:val="en-US"/>
        </w:rPr>
        <w:t>13.</w:t>
      </w:r>
      <w:r w:rsidRPr="009824A2">
        <w:rPr>
          <w:lang w:val="en-US"/>
        </w:rPr>
        <w:tab/>
        <w:t>In 2.2.9.1.10.5 of RID/ADR, there is a reference to the CLP regulation that if no test data is available for the mixture, the mixture shall be classified as environmentally hazardous if it has been assigned to the categories aquatic acute 1, aquatic chronic 1 or 2.</w:t>
      </w:r>
    </w:p>
    <w:p w14:paraId="46D7F4E8" w14:textId="77777777" w:rsidR="009824A2" w:rsidRPr="009824A2" w:rsidRDefault="009824A2" w:rsidP="009824A2">
      <w:pPr>
        <w:pStyle w:val="HChG"/>
        <w:rPr>
          <w:lang w:val="en-US"/>
        </w:rPr>
      </w:pPr>
      <w:r w:rsidRPr="009824A2">
        <w:rPr>
          <w:lang w:val="en-US"/>
        </w:rPr>
        <w:tab/>
        <w:t>IV.</w:t>
      </w:r>
      <w:r w:rsidRPr="009824A2">
        <w:rPr>
          <w:lang w:val="en-US"/>
        </w:rPr>
        <w:tab/>
        <w:t>Examples for the application of the above formula</w:t>
      </w:r>
    </w:p>
    <w:p w14:paraId="65DB3B13" w14:textId="77777777" w:rsidR="009824A2" w:rsidRPr="009824A2" w:rsidRDefault="009824A2" w:rsidP="009824A2">
      <w:pPr>
        <w:pStyle w:val="SingleTxtG"/>
        <w:rPr>
          <w:lang w:val="en-US"/>
        </w:rPr>
      </w:pPr>
      <w:r w:rsidRPr="00DD6A2F">
        <w:rPr>
          <w:b/>
          <w:bCs/>
          <w:lang w:val="en-US"/>
        </w:rPr>
        <w:t>Example 1:</w:t>
      </w:r>
      <w:r w:rsidRPr="00DD6A2F">
        <w:rPr>
          <w:lang w:val="en-US"/>
        </w:rPr>
        <w:t xml:space="preserve"> A liquid paint mixture contains one environmentally hazardous substance in a concentration of </w:t>
      </w:r>
      <w:r w:rsidRPr="00DD6A2F">
        <w:rPr>
          <w:b/>
          <w:bCs/>
          <w:lang w:val="en-US"/>
        </w:rPr>
        <w:t>0.03</w:t>
      </w:r>
      <w:r>
        <w:rPr>
          <w:b/>
          <w:bCs/>
          <w:lang w:val="en-US"/>
        </w:rPr>
        <w:t> </w:t>
      </w:r>
      <w:r w:rsidRPr="00DD6A2F">
        <w:rPr>
          <w:b/>
          <w:bCs/>
          <w:lang w:val="en-US"/>
        </w:rPr>
        <w:t>% assigned to Acute aquatic hazard category 1, M</w:t>
      </w:r>
      <w:r>
        <w:rPr>
          <w:b/>
          <w:bCs/>
          <w:lang w:val="en-US"/>
        </w:rPr>
        <w:t>-</w:t>
      </w:r>
      <w:r w:rsidRPr="00DD6A2F">
        <w:rPr>
          <w:b/>
          <w:bCs/>
          <w:lang w:val="en-US"/>
        </w:rPr>
        <w:t>factor is 100</w:t>
      </w:r>
    </w:p>
    <w:p w14:paraId="26763D18" w14:textId="77777777" w:rsidR="009824A2" w:rsidRPr="00DD6A2F" w:rsidRDefault="009824A2" w:rsidP="009824A2">
      <w:pPr>
        <w:pStyle w:val="SingleTxtG"/>
      </w:pPr>
      <w:r w:rsidRPr="00DD6A2F">
        <w:rPr>
          <w:lang w:val="en-US"/>
        </w:rPr>
        <w:t>Calculation for UN</w:t>
      </w:r>
      <w:r>
        <w:rPr>
          <w:lang w:val="en-US"/>
        </w:rPr>
        <w:t> </w:t>
      </w:r>
      <w:r w:rsidRPr="00DD6A2F">
        <w:rPr>
          <w:lang w:val="en-US"/>
        </w:rPr>
        <w:t>3082:</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9824A2" w:rsidRPr="00DB3D1F" w14:paraId="686C5E7F" w14:textId="77777777" w:rsidTr="00BD75A8">
        <w:trPr>
          <w:trHeight w:val="300"/>
        </w:trPr>
        <w:tc>
          <w:tcPr>
            <w:tcW w:w="4035" w:type="dxa"/>
            <w:tcMar>
              <w:left w:w="105" w:type="dxa"/>
              <w:right w:w="105" w:type="dxa"/>
            </w:tcMar>
          </w:tcPr>
          <w:p w14:paraId="2112787E" w14:textId="77777777" w:rsidR="009824A2" w:rsidRPr="009824A2" w:rsidRDefault="009824A2" w:rsidP="00BD75A8">
            <w:pPr>
              <w:spacing w:line="259" w:lineRule="auto"/>
              <w:jc w:val="both"/>
              <w:rPr>
                <w:rFonts w:asciiTheme="majorBidi" w:hAnsiTheme="majorBidi" w:cstheme="majorBidi"/>
                <w:lang w:val="en-US"/>
              </w:rPr>
            </w:pPr>
            <w:r w:rsidRPr="00DB3D1F">
              <w:rPr>
                <w:rFonts w:asciiTheme="majorBidi" w:hAnsiTheme="majorBidi" w:cstheme="majorBidi"/>
                <w:lang w:val="en-US"/>
              </w:rPr>
              <w:t>Sum of the concentration of ingredients classified as:</w:t>
            </w:r>
          </w:p>
        </w:tc>
        <w:tc>
          <w:tcPr>
            <w:tcW w:w="1965" w:type="dxa"/>
            <w:tcMar>
              <w:left w:w="105" w:type="dxa"/>
              <w:right w:w="105" w:type="dxa"/>
            </w:tcMar>
          </w:tcPr>
          <w:p w14:paraId="5CA54B25"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Mixture is classified as</w:t>
            </w:r>
          </w:p>
        </w:tc>
        <w:tc>
          <w:tcPr>
            <w:tcW w:w="3000" w:type="dxa"/>
            <w:tcMar>
              <w:left w:w="105" w:type="dxa"/>
              <w:right w:w="105" w:type="dxa"/>
            </w:tcMar>
          </w:tcPr>
          <w:p w14:paraId="4C40AE52"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Result</w:t>
            </w:r>
          </w:p>
        </w:tc>
      </w:tr>
      <w:tr w:rsidR="009824A2" w:rsidRPr="00DB3D1F" w14:paraId="444FF120" w14:textId="77777777" w:rsidTr="00BD75A8">
        <w:trPr>
          <w:trHeight w:val="300"/>
        </w:trPr>
        <w:tc>
          <w:tcPr>
            <w:tcW w:w="4035" w:type="dxa"/>
            <w:tcMar>
              <w:left w:w="105" w:type="dxa"/>
              <w:right w:w="105" w:type="dxa"/>
            </w:tcMar>
          </w:tcPr>
          <w:p w14:paraId="20721EC2"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Acute 1 x M ≥ 25</w:t>
            </w:r>
            <w:r>
              <w:rPr>
                <w:rFonts w:asciiTheme="majorBidi" w:hAnsiTheme="majorBidi" w:cstheme="majorBidi"/>
                <w:lang w:val="en-US"/>
              </w:rPr>
              <w:t> </w:t>
            </w:r>
            <w:r w:rsidRPr="00DB3D1F">
              <w:rPr>
                <w:rFonts w:asciiTheme="majorBidi" w:hAnsiTheme="majorBidi" w:cstheme="majorBidi"/>
                <w:lang w:val="en-US"/>
              </w:rPr>
              <w:t>%</w:t>
            </w:r>
          </w:p>
        </w:tc>
        <w:tc>
          <w:tcPr>
            <w:tcW w:w="1965" w:type="dxa"/>
            <w:tcMar>
              <w:left w:w="105" w:type="dxa"/>
              <w:right w:w="105" w:type="dxa"/>
            </w:tcMar>
          </w:tcPr>
          <w:p w14:paraId="5512AC2D"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Acute 1</w:t>
            </w:r>
          </w:p>
        </w:tc>
        <w:tc>
          <w:tcPr>
            <w:tcW w:w="3000" w:type="dxa"/>
            <w:tcMar>
              <w:left w:w="105" w:type="dxa"/>
              <w:right w:w="105" w:type="dxa"/>
            </w:tcMar>
          </w:tcPr>
          <w:p w14:paraId="486420ED"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0.03 x 100 = 3 = not classified</w:t>
            </w:r>
          </w:p>
        </w:tc>
      </w:tr>
    </w:tbl>
    <w:p w14:paraId="49E227F9" w14:textId="77777777" w:rsidR="009824A2" w:rsidRPr="009824A2" w:rsidRDefault="009824A2" w:rsidP="009824A2">
      <w:pPr>
        <w:pStyle w:val="SingleTxtG"/>
        <w:rPr>
          <w:lang w:val="en-US"/>
        </w:rPr>
      </w:pPr>
      <w:r w:rsidRPr="00DD6A2F">
        <w:rPr>
          <w:lang w:val="en-US"/>
        </w:rPr>
        <w:t xml:space="preserve">Mixture is not acute aquatic toxic and therefore </w:t>
      </w:r>
      <w:r w:rsidRPr="00DD6A2F">
        <w:rPr>
          <w:b/>
          <w:bCs/>
          <w:lang w:val="en-US"/>
        </w:rPr>
        <w:t xml:space="preserve">not environmentally </w:t>
      </w:r>
      <w:proofErr w:type="gramStart"/>
      <w:r w:rsidRPr="00DD6A2F">
        <w:rPr>
          <w:b/>
          <w:bCs/>
          <w:lang w:val="en-US"/>
        </w:rPr>
        <w:t>hazardous</w:t>
      </w:r>
      <w:proofErr w:type="gramEnd"/>
    </w:p>
    <w:p w14:paraId="04246303" w14:textId="77777777" w:rsidR="009824A2" w:rsidRPr="009824A2" w:rsidRDefault="009824A2" w:rsidP="009824A2">
      <w:pPr>
        <w:pStyle w:val="SingleTxtG"/>
        <w:rPr>
          <w:lang w:val="en-US"/>
        </w:rPr>
      </w:pPr>
      <w:r w:rsidRPr="00DD6A2F">
        <w:rPr>
          <w:b/>
          <w:bCs/>
          <w:lang w:val="en-US"/>
        </w:rPr>
        <w:t>Example 2</w:t>
      </w:r>
      <w:r w:rsidRPr="00DD6A2F">
        <w:rPr>
          <w:lang w:val="en-US"/>
        </w:rPr>
        <w:t xml:space="preserve">: A liquid paint mixture contains one environmentally hazardous substance in a concentration of </w:t>
      </w:r>
      <w:r w:rsidRPr="00DD6A2F">
        <w:rPr>
          <w:b/>
          <w:bCs/>
          <w:lang w:val="en-US"/>
        </w:rPr>
        <w:t>0.03% assigned to Chronic hazard category 1, M</w:t>
      </w:r>
      <w:r>
        <w:rPr>
          <w:b/>
          <w:bCs/>
          <w:lang w:val="en-US"/>
        </w:rPr>
        <w:t>-</w:t>
      </w:r>
      <w:r w:rsidRPr="00DD6A2F">
        <w:rPr>
          <w:b/>
          <w:bCs/>
          <w:lang w:val="en-US"/>
        </w:rPr>
        <w:t>factor is 100</w:t>
      </w:r>
    </w:p>
    <w:p w14:paraId="02F71E9E" w14:textId="77777777" w:rsidR="009824A2" w:rsidRPr="00DD6A2F" w:rsidRDefault="009824A2" w:rsidP="009824A2">
      <w:pPr>
        <w:pStyle w:val="SingleTxtG"/>
      </w:pPr>
      <w:r w:rsidRPr="00DD6A2F">
        <w:rPr>
          <w:lang w:val="en-US"/>
        </w:rPr>
        <w:t>Calculation for UN</w:t>
      </w:r>
      <w:r>
        <w:rPr>
          <w:lang w:val="en-US"/>
        </w:rPr>
        <w:t> </w:t>
      </w:r>
      <w:r w:rsidRPr="00DD6A2F">
        <w:rPr>
          <w:lang w:val="en-US"/>
        </w:rPr>
        <w:t>3082:</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9824A2" w:rsidRPr="00DB3D1F" w14:paraId="6BD7088A" w14:textId="77777777" w:rsidTr="00BD75A8">
        <w:trPr>
          <w:trHeight w:val="300"/>
        </w:trPr>
        <w:tc>
          <w:tcPr>
            <w:tcW w:w="4035" w:type="dxa"/>
            <w:tcMar>
              <w:left w:w="105" w:type="dxa"/>
              <w:right w:w="105" w:type="dxa"/>
            </w:tcMar>
          </w:tcPr>
          <w:p w14:paraId="5D5E5389" w14:textId="77777777" w:rsidR="009824A2" w:rsidRPr="009824A2" w:rsidRDefault="009824A2" w:rsidP="00BD75A8">
            <w:pPr>
              <w:spacing w:line="259" w:lineRule="auto"/>
              <w:jc w:val="both"/>
              <w:rPr>
                <w:rFonts w:asciiTheme="majorBidi" w:hAnsiTheme="majorBidi" w:cstheme="majorBidi"/>
                <w:lang w:val="en-US"/>
              </w:rPr>
            </w:pPr>
            <w:r w:rsidRPr="00DB3D1F">
              <w:rPr>
                <w:rFonts w:asciiTheme="majorBidi" w:hAnsiTheme="majorBidi" w:cstheme="majorBidi"/>
                <w:lang w:val="en-US"/>
              </w:rPr>
              <w:t>Sum of the concentration of ingredients classified as:</w:t>
            </w:r>
          </w:p>
        </w:tc>
        <w:tc>
          <w:tcPr>
            <w:tcW w:w="1965" w:type="dxa"/>
            <w:tcMar>
              <w:left w:w="105" w:type="dxa"/>
              <w:right w:w="105" w:type="dxa"/>
            </w:tcMar>
          </w:tcPr>
          <w:p w14:paraId="06B79B32"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Mixture is classified as</w:t>
            </w:r>
          </w:p>
        </w:tc>
        <w:tc>
          <w:tcPr>
            <w:tcW w:w="3000" w:type="dxa"/>
            <w:tcMar>
              <w:left w:w="105" w:type="dxa"/>
              <w:right w:w="105" w:type="dxa"/>
            </w:tcMar>
          </w:tcPr>
          <w:p w14:paraId="4CC99146"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Result</w:t>
            </w:r>
          </w:p>
        </w:tc>
      </w:tr>
      <w:tr w:rsidR="009824A2" w:rsidRPr="00DB3D1F" w14:paraId="38CCEBF4" w14:textId="77777777" w:rsidTr="00BD75A8">
        <w:trPr>
          <w:trHeight w:val="300"/>
        </w:trPr>
        <w:tc>
          <w:tcPr>
            <w:tcW w:w="4035" w:type="dxa"/>
            <w:tcMar>
              <w:left w:w="105" w:type="dxa"/>
              <w:right w:w="105" w:type="dxa"/>
            </w:tcMar>
          </w:tcPr>
          <w:p w14:paraId="336F755E"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Chronic 1 x M ≥ 25</w:t>
            </w:r>
            <w:r>
              <w:rPr>
                <w:rFonts w:asciiTheme="majorBidi" w:hAnsiTheme="majorBidi" w:cstheme="majorBidi"/>
                <w:lang w:val="en-US"/>
              </w:rPr>
              <w:t> </w:t>
            </w:r>
            <w:r w:rsidRPr="00DB3D1F">
              <w:rPr>
                <w:rFonts w:asciiTheme="majorBidi" w:hAnsiTheme="majorBidi" w:cstheme="majorBidi"/>
                <w:lang w:val="en-US"/>
              </w:rPr>
              <w:t>%</w:t>
            </w:r>
          </w:p>
        </w:tc>
        <w:tc>
          <w:tcPr>
            <w:tcW w:w="1965" w:type="dxa"/>
            <w:tcMar>
              <w:left w:w="105" w:type="dxa"/>
              <w:right w:w="105" w:type="dxa"/>
            </w:tcMar>
          </w:tcPr>
          <w:p w14:paraId="55F66BE4"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Chronic 1</w:t>
            </w:r>
          </w:p>
        </w:tc>
        <w:tc>
          <w:tcPr>
            <w:tcW w:w="3000" w:type="dxa"/>
            <w:tcMar>
              <w:left w:w="105" w:type="dxa"/>
              <w:right w:w="105" w:type="dxa"/>
            </w:tcMar>
          </w:tcPr>
          <w:p w14:paraId="6995F460"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0.03 x 100 = 3 = not classified</w:t>
            </w:r>
          </w:p>
        </w:tc>
      </w:tr>
      <w:tr w:rsidR="009824A2" w:rsidRPr="00DB3D1F" w14:paraId="5FA54149" w14:textId="77777777" w:rsidTr="00BD75A8">
        <w:trPr>
          <w:trHeight w:val="300"/>
        </w:trPr>
        <w:tc>
          <w:tcPr>
            <w:tcW w:w="4035" w:type="dxa"/>
            <w:tcMar>
              <w:left w:w="105" w:type="dxa"/>
              <w:right w:w="105" w:type="dxa"/>
            </w:tcMar>
          </w:tcPr>
          <w:p w14:paraId="2884CAC1" w14:textId="77777777" w:rsidR="009824A2" w:rsidRPr="009824A2" w:rsidRDefault="009824A2" w:rsidP="00BD75A8">
            <w:pPr>
              <w:spacing w:line="259" w:lineRule="auto"/>
              <w:jc w:val="both"/>
              <w:rPr>
                <w:rFonts w:asciiTheme="majorBidi" w:hAnsiTheme="majorBidi" w:cstheme="majorBidi"/>
                <w:lang w:val="en-US"/>
              </w:rPr>
            </w:pPr>
            <w:r w:rsidRPr="00DB3D1F">
              <w:rPr>
                <w:rFonts w:asciiTheme="majorBidi" w:hAnsiTheme="majorBidi" w:cstheme="majorBidi"/>
                <w:lang w:val="en-US"/>
              </w:rPr>
              <w:t>(M x 10 x Chronic 1) + Chronic 2 ≥ 25 %</w:t>
            </w:r>
          </w:p>
        </w:tc>
        <w:tc>
          <w:tcPr>
            <w:tcW w:w="1965" w:type="dxa"/>
            <w:tcMar>
              <w:left w:w="105" w:type="dxa"/>
              <w:right w:w="105" w:type="dxa"/>
            </w:tcMar>
          </w:tcPr>
          <w:p w14:paraId="09632329"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Chronic 2</w:t>
            </w:r>
          </w:p>
        </w:tc>
        <w:tc>
          <w:tcPr>
            <w:tcW w:w="3000" w:type="dxa"/>
            <w:tcMar>
              <w:left w:w="105" w:type="dxa"/>
              <w:right w:w="105" w:type="dxa"/>
            </w:tcMar>
          </w:tcPr>
          <w:p w14:paraId="3B489597"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lang w:val="en-US"/>
              </w:rPr>
              <w:t>(100 x 10 x 0.03) + 0 = 30 =</w:t>
            </w:r>
          </w:p>
          <w:p w14:paraId="6A9F9672" w14:textId="77777777" w:rsidR="009824A2" w:rsidRPr="00DB3D1F" w:rsidRDefault="009824A2" w:rsidP="00BD75A8">
            <w:pPr>
              <w:spacing w:line="259" w:lineRule="auto"/>
              <w:jc w:val="both"/>
              <w:rPr>
                <w:rFonts w:asciiTheme="majorBidi" w:hAnsiTheme="majorBidi" w:cstheme="majorBidi"/>
              </w:rPr>
            </w:pPr>
            <w:r w:rsidRPr="00DB3D1F">
              <w:rPr>
                <w:rFonts w:asciiTheme="majorBidi" w:hAnsiTheme="majorBidi" w:cstheme="majorBidi"/>
                <w:b/>
                <w:bCs/>
                <w:lang w:val="en-US"/>
              </w:rPr>
              <w:t>Classified</w:t>
            </w:r>
          </w:p>
          <w:p w14:paraId="075B9664" w14:textId="77777777" w:rsidR="009824A2" w:rsidRPr="00DB3D1F" w:rsidRDefault="009824A2" w:rsidP="00BD75A8">
            <w:pPr>
              <w:spacing w:line="259" w:lineRule="auto"/>
              <w:jc w:val="both"/>
              <w:rPr>
                <w:rFonts w:asciiTheme="majorBidi" w:hAnsiTheme="majorBidi" w:cstheme="majorBidi"/>
              </w:rPr>
            </w:pPr>
          </w:p>
        </w:tc>
      </w:tr>
    </w:tbl>
    <w:p w14:paraId="61C667E2" w14:textId="77777777" w:rsidR="009824A2" w:rsidRPr="009824A2" w:rsidRDefault="009824A2" w:rsidP="009824A2">
      <w:pPr>
        <w:pStyle w:val="SingleTxtG"/>
        <w:rPr>
          <w:lang w:val="en-US"/>
        </w:rPr>
      </w:pPr>
      <w:r w:rsidRPr="00DD6A2F">
        <w:rPr>
          <w:lang w:val="en-US"/>
        </w:rPr>
        <w:t xml:space="preserve">Mixture is chronic aquatic toxic 2 and therefore also </w:t>
      </w:r>
      <w:r w:rsidRPr="00DD6A2F">
        <w:rPr>
          <w:b/>
          <w:bCs/>
          <w:lang w:val="en-US"/>
        </w:rPr>
        <w:t>environmentally hazardous – UN</w:t>
      </w:r>
      <w:r>
        <w:rPr>
          <w:b/>
          <w:bCs/>
          <w:lang w:val="en-US"/>
        </w:rPr>
        <w:t> </w:t>
      </w:r>
      <w:r w:rsidRPr="00DD6A2F">
        <w:rPr>
          <w:b/>
          <w:bCs/>
          <w:lang w:val="en-US"/>
        </w:rPr>
        <w:t>3082</w:t>
      </w:r>
    </w:p>
    <w:p w14:paraId="138C2531" w14:textId="77777777" w:rsidR="009824A2" w:rsidRPr="009824A2" w:rsidRDefault="009824A2" w:rsidP="009824A2">
      <w:pPr>
        <w:pStyle w:val="SingleTxtG"/>
        <w:rPr>
          <w:lang w:val="en-US"/>
        </w:rPr>
      </w:pPr>
      <w:r w:rsidRPr="002E2802">
        <w:rPr>
          <w:b/>
          <w:bCs/>
          <w:lang w:val="en-US"/>
        </w:rPr>
        <w:t>Example 3:</w:t>
      </w:r>
      <w:r w:rsidRPr="00DD6A2F">
        <w:rPr>
          <w:lang w:val="en-US"/>
        </w:rPr>
        <w:t xml:space="preserve"> A liquid paint mixture contains one environmentally hazardous substance in a concentration of </w:t>
      </w:r>
      <w:r w:rsidRPr="008E3810">
        <w:rPr>
          <w:b/>
          <w:bCs/>
          <w:lang w:val="en-US"/>
        </w:rPr>
        <w:t>0.03</w:t>
      </w:r>
      <w:r>
        <w:rPr>
          <w:b/>
          <w:bCs/>
          <w:lang w:val="en-US"/>
        </w:rPr>
        <w:t> </w:t>
      </w:r>
      <w:r w:rsidRPr="008E3810">
        <w:rPr>
          <w:b/>
          <w:bCs/>
          <w:lang w:val="en-US"/>
        </w:rPr>
        <w:t>% assigned to both Acute and Chronic hazard category 1, M</w:t>
      </w:r>
      <w:r>
        <w:rPr>
          <w:b/>
          <w:bCs/>
          <w:lang w:val="en-US"/>
        </w:rPr>
        <w:t>-</w:t>
      </w:r>
      <w:r w:rsidRPr="008E3810">
        <w:rPr>
          <w:b/>
          <w:bCs/>
          <w:lang w:val="en-US"/>
        </w:rPr>
        <w:t>factor is 100 (acute) and 100 (chronic)</w:t>
      </w:r>
      <w:r>
        <w:rPr>
          <w:lang w:val="en-US"/>
        </w:rPr>
        <w:t>:</w:t>
      </w:r>
    </w:p>
    <w:p w14:paraId="027B8559" w14:textId="77777777" w:rsidR="009824A2" w:rsidRPr="009824A2" w:rsidRDefault="009824A2" w:rsidP="009824A2">
      <w:pPr>
        <w:pStyle w:val="SingleTxtG"/>
        <w:rPr>
          <w:i/>
          <w:iCs/>
          <w:lang w:val="en-US"/>
        </w:rPr>
      </w:pPr>
      <w:r w:rsidRPr="002E2802">
        <w:rPr>
          <w:b/>
          <w:bCs/>
          <w:i/>
          <w:iCs/>
          <w:lang w:val="en-US"/>
        </w:rPr>
        <w:t>Note:</w:t>
      </w:r>
      <w:r w:rsidRPr="002E2802">
        <w:rPr>
          <w:i/>
          <w:iCs/>
          <w:lang w:val="en-US"/>
        </w:rPr>
        <w:t xml:space="preserve"> The preservative substance OIT – 2-octyl-2H-isothiazol-3-one (updated in </w:t>
      </w:r>
      <w:r>
        <w:rPr>
          <w:i/>
          <w:iCs/>
          <w:lang w:val="en-US"/>
        </w:rPr>
        <w:t>fifteenth</w:t>
      </w:r>
      <w:r w:rsidRPr="002E2802">
        <w:rPr>
          <w:i/>
          <w:iCs/>
          <w:lang w:val="en-US"/>
        </w:rPr>
        <w:t xml:space="preserve"> ATP of CLP) is one of the substances with this aquatic toxic classification.</w:t>
      </w:r>
    </w:p>
    <w:p w14:paraId="57B751D1" w14:textId="77777777" w:rsidR="009824A2" w:rsidRPr="00DD6A2F" w:rsidRDefault="009824A2" w:rsidP="009824A2">
      <w:pPr>
        <w:pStyle w:val="SingleTxtG"/>
      </w:pPr>
      <w:r w:rsidRPr="00DD6A2F">
        <w:rPr>
          <w:lang w:val="en-US"/>
        </w:rPr>
        <w:t>Calculation for UN</w:t>
      </w:r>
      <w:r>
        <w:rPr>
          <w:lang w:val="en-US"/>
        </w:rPr>
        <w:t> </w:t>
      </w:r>
      <w:r w:rsidRPr="00DD6A2F">
        <w:rPr>
          <w:lang w:val="en-US"/>
        </w:rPr>
        <w:t>3082:</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9824A2" w:rsidRPr="00047BD9" w14:paraId="4EFAC2D9" w14:textId="77777777" w:rsidTr="00BD75A8">
        <w:trPr>
          <w:trHeight w:val="300"/>
        </w:trPr>
        <w:tc>
          <w:tcPr>
            <w:tcW w:w="4035" w:type="dxa"/>
            <w:tcMar>
              <w:left w:w="105" w:type="dxa"/>
              <w:right w:w="105" w:type="dxa"/>
            </w:tcMar>
          </w:tcPr>
          <w:p w14:paraId="2ECA9865" w14:textId="77777777" w:rsidR="009824A2" w:rsidRPr="009824A2" w:rsidRDefault="009824A2" w:rsidP="00BD75A8">
            <w:pPr>
              <w:spacing w:line="259" w:lineRule="auto"/>
              <w:jc w:val="both"/>
              <w:rPr>
                <w:rFonts w:asciiTheme="majorBidi" w:hAnsiTheme="majorBidi" w:cstheme="majorBidi"/>
                <w:lang w:val="en-US"/>
              </w:rPr>
            </w:pPr>
            <w:r w:rsidRPr="00047BD9">
              <w:rPr>
                <w:rFonts w:asciiTheme="majorBidi" w:hAnsiTheme="majorBidi" w:cstheme="majorBidi"/>
                <w:lang w:val="en-US"/>
              </w:rPr>
              <w:t>Sum of the concentration of ingredients classified as:</w:t>
            </w:r>
          </w:p>
        </w:tc>
        <w:tc>
          <w:tcPr>
            <w:tcW w:w="1965" w:type="dxa"/>
            <w:tcMar>
              <w:left w:w="105" w:type="dxa"/>
              <w:right w:w="105" w:type="dxa"/>
            </w:tcMar>
          </w:tcPr>
          <w:p w14:paraId="2D452087"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Mixture is classified as</w:t>
            </w:r>
          </w:p>
        </w:tc>
        <w:tc>
          <w:tcPr>
            <w:tcW w:w="3000" w:type="dxa"/>
            <w:tcMar>
              <w:left w:w="105" w:type="dxa"/>
              <w:right w:w="105" w:type="dxa"/>
            </w:tcMar>
          </w:tcPr>
          <w:p w14:paraId="4FFD999C"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Result</w:t>
            </w:r>
          </w:p>
        </w:tc>
      </w:tr>
      <w:tr w:rsidR="009824A2" w:rsidRPr="00047BD9" w14:paraId="1E47404A" w14:textId="77777777" w:rsidTr="00BD75A8">
        <w:trPr>
          <w:trHeight w:val="300"/>
        </w:trPr>
        <w:tc>
          <w:tcPr>
            <w:tcW w:w="4035" w:type="dxa"/>
            <w:tcMar>
              <w:left w:w="105" w:type="dxa"/>
              <w:right w:w="105" w:type="dxa"/>
            </w:tcMar>
          </w:tcPr>
          <w:p w14:paraId="0511DC1F"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Acute 1 x M ≥ 25</w:t>
            </w:r>
            <w:r>
              <w:rPr>
                <w:rFonts w:asciiTheme="majorBidi" w:hAnsiTheme="majorBidi" w:cstheme="majorBidi"/>
                <w:lang w:val="en-US"/>
              </w:rPr>
              <w:t> </w:t>
            </w:r>
            <w:r w:rsidRPr="00047BD9">
              <w:rPr>
                <w:rFonts w:asciiTheme="majorBidi" w:hAnsiTheme="majorBidi" w:cstheme="majorBidi"/>
                <w:lang w:val="en-US"/>
              </w:rPr>
              <w:t>%</w:t>
            </w:r>
          </w:p>
        </w:tc>
        <w:tc>
          <w:tcPr>
            <w:tcW w:w="1965" w:type="dxa"/>
            <w:tcMar>
              <w:left w:w="105" w:type="dxa"/>
              <w:right w:w="105" w:type="dxa"/>
            </w:tcMar>
          </w:tcPr>
          <w:p w14:paraId="19364A36"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Acute 1</w:t>
            </w:r>
          </w:p>
        </w:tc>
        <w:tc>
          <w:tcPr>
            <w:tcW w:w="3000" w:type="dxa"/>
            <w:tcMar>
              <w:left w:w="105" w:type="dxa"/>
              <w:right w:w="105" w:type="dxa"/>
            </w:tcMar>
          </w:tcPr>
          <w:p w14:paraId="52C9AEE4"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0.03 x 100 = 3 = not classified</w:t>
            </w:r>
          </w:p>
        </w:tc>
      </w:tr>
    </w:tbl>
    <w:p w14:paraId="2E7A1A18" w14:textId="77777777" w:rsidR="009824A2" w:rsidRPr="00AB58FC" w:rsidRDefault="009824A2" w:rsidP="009824A2">
      <w:pPr>
        <w:spacing w:after="160" w:line="259" w:lineRule="auto"/>
        <w:jc w:val="both"/>
        <w:rPr>
          <w:rFonts w:asciiTheme="majorBidi" w:hAnsiTheme="majorBidi" w:cstheme="majorBidi"/>
          <w:color w:val="000000" w:themeColor="text1"/>
        </w:rPr>
      </w:pP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9824A2" w:rsidRPr="00047BD9" w14:paraId="3592734C" w14:textId="77777777" w:rsidTr="00BD75A8">
        <w:trPr>
          <w:trHeight w:val="300"/>
        </w:trPr>
        <w:tc>
          <w:tcPr>
            <w:tcW w:w="4035" w:type="dxa"/>
            <w:tcMar>
              <w:left w:w="105" w:type="dxa"/>
              <w:right w:w="105" w:type="dxa"/>
            </w:tcMar>
          </w:tcPr>
          <w:p w14:paraId="1D47E1F0" w14:textId="77777777" w:rsidR="009824A2" w:rsidRPr="009824A2" w:rsidRDefault="009824A2" w:rsidP="00BD75A8">
            <w:pPr>
              <w:spacing w:line="259" w:lineRule="auto"/>
              <w:jc w:val="both"/>
              <w:rPr>
                <w:rFonts w:asciiTheme="majorBidi" w:hAnsiTheme="majorBidi" w:cstheme="majorBidi"/>
                <w:lang w:val="en-US"/>
              </w:rPr>
            </w:pPr>
            <w:r w:rsidRPr="00047BD9">
              <w:rPr>
                <w:rFonts w:asciiTheme="majorBidi" w:hAnsiTheme="majorBidi" w:cstheme="majorBidi"/>
                <w:lang w:val="en-US"/>
              </w:rPr>
              <w:t>Sum of the concentration of ingredients classified as:</w:t>
            </w:r>
          </w:p>
        </w:tc>
        <w:tc>
          <w:tcPr>
            <w:tcW w:w="1965" w:type="dxa"/>
            <w:tcMar>
              <w:left w:w="105" w:type="dxa"/>
              <w:right w:w="105" w:type="dxa"/>
            </w:tcMar>
          </w:tcPr>
          <w:p w14:paraId="69B37825"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Mixture is classified as</w:t>
            </w:r>
          </w:p>
        </w:tc>
        <w:tc>
          <w:tcPr>
            <w:tcW w:w="3000" w:type="dxa"/>
            <w:tcMar>
              <w:left w:w="105" w:type="dxa"/>
              <w:right w:w="105" w:type="dxa"/>
            </w:tcMar>
          </w:tcPr>
          <w:p w14:paraId="251519FB"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Result</w:t>
            </w:r>
          </w:p>
        </w:tc>
      </w:tr>
      <w:tr w:rsidR="009824A2" w:rsidRPr="00047BD9" w14:paraId="5BB969D4" w14:textId="77777777" w:rsidTr="00BD75A8">
        <w:trPr>
          <w:trHeight w:val="300"/>
        </w:trPr>
        <w:tc>
          <w:tcPr>
            <w:tcW w:w="4035" w:type="dxa"/>
            <w:tcMar>
              <w:left w:w="105" w:type="dxa"/>
              <w:right w:w="105" w:type="dxa"/>
            </w:tcMar>
          </w:tcPr>
          <w:p w14:paraId="4E5DFE87"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Chronic 1 x M ≥ 25</w:t>
            </w:r>
            <w:r>
              <w:rPr>
                <w:rFonts w:asciiTheme="majorBidi" w:hAnsiTheme="majorBidi" w:cstheme="majorBidi"/>
                <w:lang w:val="en-US"/>
              </w:rPr>
              <w:t> </w:t>
            </w:r>
            <w:r w:rsidRPr="00047BD9">
              <w:rPr>
                <w:rFonts w:asciiTheme="majorBidi" w:hAnsiTheme="majorBidi" w:cstheme="majorBidi"/>
                <w:lang w:val="en-US"/>
              </w:rPr>
              <w:t>%</w:t>
            </w:r>
          </w:p>
        </w:tc>
        <w:tc>
          <w:tcPr>
            <w:tcW w:w="1965" w:type="dxa"/>
            <w:tcMar>
              <w:left w:w="105" w:type="dxa"/>
              <w:right w:w="105" w:type="dxa"/>
            </w:tcMar>
          </w:tcPr>
          <w:p w14:paraId="06FA6BAB"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Chronic 1</w:t>
            </w:r>
          </w:p>
        </w:tc>
        <w:tc>
          <w:tcPr>
            <w:tcW w:w="3000" w:type="dxa"/>
            <w:tcMar>
              <w:left w:w="105" w:type="dxa"/>
              <w:right w:w="105" w:type="dxa"/>
            </w:tcMar>
          </w:tcPr>
          <w:p w14:paraId="500144CE"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0.03 x 100 = 3 = not classified</w:t>
            </w:r>
          </w:p>
        </w:tc>
      </w:tr>
      <w:tr w:rsidR="009824A2" w:rsidRPr="00047BD9" w14:paraId="5953FF79" w14:textId="77777777" w:rsidTr="00BD75A8">
        <w:trPr>
          <w:trHeight w:val="300"/>
        </w:trPr>
        <w:tc>
          <w:tcPr>
            <w:tcW w:w="4035" w:type="dxa"/>
            <w:tcMar>
              <w:left w:w="105" w:type="dxa"/>
              <w:right w:w="105" w:type="dxa"/>
            </w:tcMar>
          </w:tcPr>
          <w:p w14:paraId="731DBF6E" w14:textId="77777777" w:rsidR="009824A2" w:rsidRPr="009824A2" w:rsidRDefault="009824A2" w:rsidP="00BD75A8">
            <w:pPr>
              <w:spacing w:line="259" w:lineRule="auto"/>
              <w:jc w:val="both"/>
              <w:rPr>
                <w:rFonts w:asciiTheme="majorBidi" w:hAnsiTheme="majorBidi" w:cstheme="majorBidi"/>
                <w:lang w:val="en-US"/>
              </w:rPr>
            </w:pPr>
            <w:r w:rsidRPr="00047BD9">
              <w:rPr>
                <w:rFonts w:asciiTheme="majorBidi" w:hAnsiTheme="majorBidi" w:cstheme="majorBidi"/>
                <w:lang w:val="en-US"/>
              </w:rPr>
              <w:t>(M x 10 x Chronic 1) + Chronic 2 ≥ 25 %</w:t>
            </w:r>
          </w:p>
        </w:tc>
        <w:tc>
          <w:tcPr>
            <w:tcW w:w="1965" w:type="dxa"/>
            <w:tcMar>
              <w:left w:w="105" w:type="dxa"/>
              <w:right w:w="105" w:type="dxa"/>
            </w:tcMar>
          </w:tcPr>
          <w:p w14:paraId="5745E1DC"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Chronic 2</w:t>
            </w:r>
          </w:p>
        </w:tc>
        <w:tc>
          <w:tcPr>
            <w:tcW w:w="3000" w:type="dxa"/>
            <w:tcMar>
              <w:left w:w="105" w:type="dxa"/>
              <w:right w:w="105" w:type="dxa"/>
            </w:tcMar>
          </w:tcPr>
          <w:p w14:paraId="2EF69B5A"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lang w:val="en-US"/>
              </w:rPr>
              <w:t>(100 x 10 x 0.03) + 0 = 30 =</w:t>
            </w:r>
          </w:p>
          <w:p w14:paraId="45B28AC9" w14:textId="77777777" w:rsidR="009824A2" w:rsidRPr="00047BD9" w:rsidRDefault="009824A2" w:rsidP="00BD75A8">
            <w:pPr>
              <w:spacing w:line="259" w:lineRule="auto"/>
              <w:jc w:val="both"/>
              <w:rPr>
                <w:rFonts w:asciiTheme="majorBidi" w:hAnsiTheme="majorBidi" w:cstheme="majorBidi"/>
              </w:rPr>
            </w:pPr>
            <w:r w:rsidRPr="00047BD9">
              <w:rPr>
                <w:rFonts w:asciiTheme="majorBidi" w:hAnsiTheme="majorBidi" w:cstheme="majorBidi"/>
                <w:b/>
                <w:bCs/>
                <w:lang w:val="en-US"/>
              </w:rPr>
              <w:t>Classified</w:t>
            </w:r>
          </w:p>
          <w:p w14:paraId="6D83189C" w14:textId="77777777" w:rsidR="009824A2" w:rsidRPr="00047BD9" w:rsidRDefault="009824A2" w:rsidP="00BD75A8">
            <w:pPr>
              <w:spacing w:line="259" w:lineRule="auto"/>
              <w:jc w:val="both"/>
              <w:rPr>
                <w:rFonts w:asciiTheme="majorBidi" w:hAnsiTheme="majorBidi" w:cstheme="majorBidi"/>
              </w:rPr>
            </w:pPr>
          </w:p>
        </w:tc>
      </w:tr>
    </w:tbl>
    <w:p w14:paraId="067CA6E4" w14:textId="77777777" w:rsidR="009824A2" w:rsidRPr="009824A2" w:rsidRDefault="009824A2" w:rsidP="009824A2">
      <w:pPr>
        <w:pStyle w:val="SingleTxtG"/>
        <w:rPr>
          <w:lang w:val="en-US"/>
        </w:rPr>
      </w:pPr>
      <w:r w:rsidRPr="00DD6A2F">
        <w:rPr>
          <w:lang w:val="en-US"/>
        </w:rPr>
        <w:t xml:space="preserve">Mixture is chronic aquatic toxic 2 and therefore also </w:t>
      </w:r>
      <w:r w:rsidRPr="00DD6A2F">
        <w:rPr>
          <w:b/>
          <w:bCs/>
          <w:lang w:val="en-US"/>
        </w:rPr>
        <w:t>environmentally hazardous – UN</w:t>
      </w:r>
      <w:r>
        <w:rPr>
          <w:b/>
          <w:bCs/>
          <w:lang w:val="en-US"/>
        </w:rPr>
        <w:t> </w:t>
      </w:r>
      <w:r w:rsidRPr="00DD6A2F">
        <w:rPr>
          <w:b/>
          <w:bCs/>
          <w:lang w:val="en-US"/>
        </w:rPr>
        <w:t>3082</w:t>
      </w:r>
    </w:p>
    <w:p w14:paraId="771B3BD0" w14:textId="77777777" w:rsidR="009824A2" w:rsidRPr="009824A2" w:rsidRDefault="009824A2" w:rsidP="009824A2">
      <w:pPr>
        <w:pStyle w:val="SingleTxtG"/>
        <w:rPr>
          <w:lang w:val="en-US"/>
        </w:rPr>
      </w:pPr>
      <w:r w:rsidRPr="00C74458">
        <w:rPr>
          <w:b/>
          <w:bCs/>
          <w:lang w:val="en-US"/>
        </w:rPr>
        <w:t>Example 4:</w:t>
      </w:r>
      <w:r w:rsidRPr="00DD6A2F">
        <w:rPr>
          <w:lang w:val="en-US"/>
        </w:rPr>
        <w:t xml:space="preserve"> A liquid paint mixture contains a </w:t>
      </w:r>
      <w:r w:rsidRPr="00C74458">
        <w:rPr>
          <w:b/>
          <w:bCs/>
          <w:lang w:val="en-US"/>
        </w:rPr>
        <w:t>mixture of environmentally hazardous substances in:</w:t>
      </w:r>
    </w:p>
    <w:p w14:paraId="6AD2833C" w14:textId="77777777" w:rsidR="009824A2" w:rsidRPr="009824A2" w:rsidRDefault="009824A2" w:rsidP="009824A2">
      <w:pPr>
        <w:pStyle w:val="SingleTxtG"/>
        <w:ind w:left="1701"/>
        <w:rPr>
          <w:lang w:val="en-US"/>
        </w:rPr>
      </w:pPr>
      <w:r>
        <w:rPr>
          <w:rFonts w:ascii="Symbol" w:hAnsi="Symbol"/>
        </w:rPr>
        <w:t>(</w:t>
      </w:r>
      <w:r w:rsidRPr="00DD6A2F">
        <w:rPr>
          <w:lang w:val="en-US"/>
        </w:rPr>
        <w:t>a</w:t>
      </w:r>
      <w:r>
        <w:rPr>
          <w:lang w:val="en-US"/>
        </w:rPr>
        <w:t>)</w:t>
      </w:r>
      <w:r>
        <w:rPr>
          <w:lang w:val="en-US"/>
        </w:rPr>
        <w:tab/>
      </w:r>
      <w:r w:rsidRPr="00C74458">
        <w:rPr>
          <w:b/>
          <w:bCs/>
          <w:lang w:val="en-US"/>
        </w:rPr>
        <w:t>a concentration of 0.01</w:t>
      </w:r>
      <w:r>
        <w:rPr>
          <w:b/>
          <w:bCs/>
          <w:lang w:val="en-US"/>
        </w:rPr>
        <w:t> </w:t>
      </w:r>
      <w:r w:rsidRPr="00C74458">
        <w:rPr>
          <w:b/>
          <w:bCs/>
          <w:lang w:val="en-US"/>
        </w:rPr>
        <w:t>% assigned to both Acute and Chronic hazard category 1, M</w:t>
      </w:r>
      <w:r>
        <w:rPr>
          <w:b/>
          <w:bCs/>
          <w:lang w:val="en-US"/>
        </w:rPr>
        <w:t>-</w:t>
      </w:r>
      <w:r w:rsidRPr="00C74458">
        <w:rPr>
          <w:b/>
          <w:bCs/>
          <w:lang w:val="en-US"/>
        </w:rPr>
        <w:t>factor is 100 (acute) and 100 (chronic)</w:t>
      </w:r>
    </w:p>
    <w:p w14:paraId="29018B8F" w14:textId="77777777" w:rsidR="009824A2" w:rsidRPr="009824A2" w:rsidRDefault="009824A2" w:rsidP="009824A2">
      <w:pPr>
        <w:pStyle w:val="SingleTxtG"/>
        <w:ind w:left="1701"/>
        <w:rPr>
          <w:rFonts w:asciiTheme="majorBidi" w:hAnsiTheme="majorBidi" w:cstheme="majorBidi"/>
          <w:b/>
          <w:bCs/>
          <w:lang w:val="en-US"/>
        </w:rPr>
      </w:pPr>
      <w:r>
        <w:rPr>
          <w:lang w:val="en-US"/>
        </w:rPr>
        <w:t>(b)</w:t>
      </w:r>
      <w:r>
        <w:rPr>
          <w:lang w:val="en-US"/>
        </w:rPr>
        <w:tab/>
      </w:r>
      <w:r w:rsidRPr="00C74458">
        <w:rPr>
          <w:b/>
          <w:bCs/>
          <w:lang w:val="en-US"/>
        </w:rPr>
        <w:t>a concentration of 0.02</w:t>
      </w:r>
      <w:r>
        <w:rPr>
          <w:b/>
          <w:bCs/>
          <w:lang w:val="en-US"/>
        </w:rPr>
        <w:t> </w:t>
      </w:r>
      <w:r w:rsidRPr="00C74458">
        <w:rPr>
          <w:b/>
          <w:bCs/>
          <w:lang w:val="en-US"/>
        </w:rPr>
        <w:t>% assigned to Chronic hazard category 1, M</w:t>
      </w:r>
      <w:r>
        <w:rPr>
          <w:b/>
          <w:bCs/>
          <w:lang w:val="en-US"/>
        </w:rPr>
        <w:noBreakHyphen/>
      </w:r>
      <w:r w:rsidRPr="00C74458">
        <w:rPr>
          <w:b/>
          <w:bCs/>
          <w:lang w:val="en-US"/>
        </w:rPr>
        <w:t>factor is 1000</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9824A2" w:rsidRPr="00FB2EB9" w14:paraId="1DB44369" w14:textId="77777777" w:rsidTr="00BD75A8">
        <w:trPr>
          <w:trHeight w:val="300"/>
        </w:trPr>
        <w:tc>
          <w:tcPr>
            <w:tcW w:w="4035" w:type="dxa"/>
            <w:tcMar>
              <w:left w:w="105" w:type="dxa"/>
              <w:right w:w="105" w:type="dxa"/>
            </w:tcMar>
          </w:tcPr>
          <w:p w14:paraId="3B53C30B" w14:textId="77777777" w:rsidR="009824A2" w:rsidRPr="009824A2" w:rsidRDefault="009824A2" w:rsidP="00BD75A8">
            <w:pPr>
              <w:spacing w:line="259" w:lineRule="auto"/>
              <w:jc w:val="both"/>
              <w:rPr>
                <w:rFonts w:asciiTheme="majorBidi" w:hAnsiTheme="majorBidi" w:cstheme="majorBidi"/>
                <w:lang w:val="en-US"/>
              </w:rPr>
            </w:pPr>
            <w:r w:rsidRPr="00FB2EB9">
              <w:rPr>
                <w:rFonts w:asciiTheme="majorBidi" w:hAnsiTheme="majorBidi" w:cstheme="majorBidi"/>
                <w:lang w:val="en-US"/>
              </w:rPr>
              <w:t>Sum of the concentration of ingredients classified as:</w:t>
            </w:r>
          </w:p>
        </w:tc>
        <w:tc>
          <w:tcPr>
            <w:tcW w:w="1965" w:type="dxa"/>
            <w:tcMar>
              <w:left w:w="105" w:type="dxa"/>
              <w:right w:w="105" w:type="dxa"/>
            </w:tcMar>
          </w:tcPr>
          <w:p w14:paraId="176E4B86"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Mixture is classified as</w:t>
            </w:r>
          </w:p>
        </w:tc>
        <w:tc>
          <w:tcPr>
            <w:tcW w:w="3000" w:type="dxa"/>
            <w:tcMar>
              <w:left w:w="105" w:type="dxa"/>
              <w:right w:w="105" w:type="dxa"/>
            </w:tcMar>
          </w:tcPr>
          <w:p w14:paraId="7D5414F0"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Result</w:t>
            </w:r>
          </w:p>
        </w:tc>
      </w:tr>
      <w:tr w:rsidR="009824A2" w:rsidRPr="00FB2EB9" w14:paraId="2EB0AC3A" w14:textId="77777777" w:rsidTr="00BD75A8">
        <w:trPr>
          <w:trHeight w:val="300"/>
        </w:trPr>
        <w:tc>
          <w:tcPr>
            <w:tcW w:w="4035" w:type="dxa"/>
            <w:tcMar>
              <w:left w:w="105" w:type="dxa"/>
              <w:right w:w="105" w:type="dxa"/>
            </w:tcMar>
          </w:tcPr>
          <w:p w14:paraId="278ACF50"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Acute 1 x M ≥ 25</w:t>
            </w:r>
            <w:r>
              <w:rPr>
                <w:rFonts w:asciiTheme="majorBidi" w:hAnsiTheme="majorBidi" w:cstheme="majorBidi"/>
                <w:lang w:val="en-US"/>
              </w:rPr>
              <w:t> </w:t>
            </w:r>
            <w:r w:rsidRPr="00FB2EB9">
              <w:rPr>
                <w:rFonts w:asciiTheme="majorBidi" w:hAnsiTheme="majorBidi" w:cstheme="majorBidi"/>
                <w:lang w:val="en-US"/>
              </w:rPr>
              <w:t>%</w:t>
            </w:r>
          </w:p>
        </w:tc>
        <w:tc>
          <w:tcPr>
            <w:tcW w:w="1965" w:type="dxa"/>
            <w:tcMar>
              <w:left w:w="105" w:type="dxa"/>
              <w:right w:w="105" w:type="dxa"/>
            </w:tcMar>
          </w:tcPr>
          <w:p w14:paraId="1340046F"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Acute 1</w:t>
            </w:r>
          </w:p>
        </w:tc>
        <w:tc>
          <w:tcPr>
            <w:tcW w:w="3000" w:type="dxa"/>
            <w:tcMar>
              <w:left w:w="105" w:type="dxa"/>
              <w:right w:w="105" w:type="dxa"/>
            </w:tcMar>
          </w:tcPr>
          <w:p w14:paraId="19F6DE09"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0.01 x 100 = 1 = not classified</w:t>
            </w:r>
          </w:p>
        </w:tc>
      </w:tr>
    </w:tbl>
    <w:p w14:paraId="4ACC064F" w14:textId="77777777" w:rsidR="009824A2" w:rsidRPr="00FB2EB9" w:rsidRDefault="009824A2" w:rsidP="009824A2">
      <w:pPr>
        <w:spacing w:after="160" w:line="259" w:lineRule="auto"/>
        <w:jc w:val="both"/>
        <w:rPr>
          <w:rFonts w:asciiTheme="majorBidi" w:hAnsiTheme="majorBidi" w:cstheme="majorBidi"/>
          <w:color w:val="000000" w:themeColor="text1"/>
        </w:rPr>
      </w:pP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9824A2" w:rsidRPr="00FB2EB9" w14:paraId="3C46F6F8" w14:textId="77777777" w:rsidTr="00BD75A8">
        <w:trPr>
          <w:trHeight w:val="300"/>
        </w:trPr>
        <w:tc>
          <w:tcPr>
            <w:tcW w:w="4035" w:type="dxa"/>
            <w:tcMar>
              <w:left w:w="105" w:type="dxa"/>
              <w:right w:w="105" w:type="dxa"/>
            </w:tcMar>
          </w:tcPr>
          <w:p w14:paraId="101AEB5B" w14:textId="77777777" w:rsidR="009824A2" w:rsidRPr="009824A2" w:rsidRDefault="009824A2" w:rsidP="00BD75A8">
            <w:pPr>
              <w:spacing w:line="259" w:lineRule="auto"/>
              <w:jc w:val="both"/>
              <w:rPr>
                <w:rFonts w:asciiTheme="majorBidi" w:hAnsiTheme="majorBidi" w:cstheme="majorBidi"/>
                <w:lang w:val="en-US"/>
              </w:rPr>
            </w:pPr>
            <w:r w:rsidRPr="00FB2EB9">
              <w:rPr>
                <w:rFonts w:asciiTheme="majorBidi" w:hAnsiTheme="majorBidi" w:cstheme="majorBidi"/>
                <w:lang w:val="en-US"/>
              </w:rPr>
              <w:t>Sum of the concentration of ingredients classified as:</w:t>
            </w:r>
          </w:p>
        </w:tc>
        <w:tc>
          <w:tcPr>
            <w:tcW w:w="1965" w:type="dxa"/>
            <w:tcMar>
              <w:left w:w="105" w:type="dxa"/>
              <w:right w:w="105" w:type="dxa"/>
            </w:tcMar>
          </w:tcPr>
          <w:p w14:paraId="73C3AFB0"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Mixture is classified as</w:t>
            </w:r>
          </w:p>
        </w:tc>
        <w:tc>
          <w:tcPr>
            <w:tcW w:w="3000" w:type="dxa"/>
            <w:tcMar>
              <w:left w:w="105" w:type="dxa"/>
              <w:right w:w="105" w:type="dxa"/>
            </w:tcMar>
          </w:tcPr>
          <w:p w14:paraId="3537E488"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Result</w:t>
            </w:r>
          </w:p>
        </w:tc>
      </w:tr>
      <w:tr w:rsidR="009824A2" w:rsidRPr="00F50823" w14:paraId="14BCA8A5" w14:textId="77777777" w:rsidTr="00BD75A8">
        <w:trPr>
          <w:trHeight w:val="300"/>
        </w:trPr>
        <w:tc>
          <w:tcPr>
            <w:tcW w:w="4035" w:type="dxa"/>
            <w:tcMar>
              <w:left w:w="105" w:type="dxa"/>
              <w:right w:w="105" w:type="dxa"/>
            </w:tcMar>
          </w:tcPr>
          <w:p w14:paraId="097D5F77"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Chronic 1 x M ≥ 25</w:t>
            </w:r>
            <w:r>
              <w:rPr>
                <w:rFonts w:asciiTheme="majorBidi" w:hAnsiTheme="majorBidi" w:cstheme="majorBidi"/>
                <w:lang w:val="en-US"/>
              </w:rPr>
              <w:t> </w:t>
            </w:r>
            <w:r w:rsidRPr="00FB2EB9">
              <w:rPr>
                <w:rFonts w:asciiTheme="majorBidi" w:hAnsiTheme="majorBidi" w:cstheme="majorBidi"/>
                <w:lang w:val="en-US"/>
              </w:rPr>
              <w:t>%</w:t>
            </w:r>
          </w:p>
        </w:tc>
        <w:tc>
          <w:tcPr>
            <w:tcW w:w="1965" w:type="dxa"/>
            <w:tcMar>
              <w:left w:w="105" w:type="dxa"/>
              <w:right w:w="105" w:type="dxa"/>
            </w:tcMar>
          </w:tcPr>
          <w:p w14:paraId="29C403C4"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Chronic 1</w:t>
            </w:r>
          </w:p>
        </w:tc>
        <w:tc>
          <w:tcPr>
            <w:tcW w:w="3000" w:type="dxa"/>
            <w:tcMar>
              <w:left w:w="105" w:type="dxa"/>
              <w:right w:w="105" w:type="dxa"/>
            </w:tcMar>
          </w:tcPr>
          <w:p w14:paraId="5FD13E22" w14:textId="77777777" w:rsidR="009824A2" w:rsidRPr="009824A2" w:rsidRDefault="009824A2" w:rsidP="00BD75A8">
            <w:pPr>
              <w:spacing w:line="259" w:lineRule="auto"/>
              <w:jc w:val="both"/>
              <w:rPr>
                <w:rFonts w:asciiTheme="majorBidi" w:hAnsiTheme="majorBidi" w:cstheme="majorBidi"/>
                <w:lang w:val="en-US"/>
              </w:rPr>
            </w:pPr>
            <w:r w:rsidRPr="00FB2EB9">
              <w:rPr>
                <w:rFonts w:asciiTheme="majorBidi" w:hAnsiTheme="majorBidi" w:cstheme="majorBidi"/>
                <w:lang w:val="en-US"/>
              </w:rPr>
              <w:t xml:space="preserve">Sub1(0.01 x 100) + Sub2(0.02x1000) = 21 = </w:t>
            </w:r>
          </w:p>
          <w:p w14:paraId="79498693" w14:textId="77777777" w:rsidR="009824A2" w:rsidRPr="009824A2" w:rsidRDefault="009824A2" w:rsidP="00BD75A8">
            <w:pPr>
              <w:spacing w:line="259" w:lineRule="auto"/>
              <w:jc w:val="both"/>
              <w:rPr>
                <w:rFonts w:asciiTheme="majorBidi" w:hAnsiTheme="majorBidi" w:cstheme="majorBidi"/>
                <w:lang w:val="en-US"/>
              </w:rPr>
            </w:pPr>
            <w:r w:rsidRPr="00FB2EB9">
              <w:rPr>
                <w:rFonts w:asciiTheme="majorBidi" w:hAnsiTheme="majorBidi" w:cstheme="majorBidi"/>
                <w:lang w:val="en-US"/>
              </w:rPr>
              <w:t>not classified</w:t>
            </w:r>
          </w:p>
        </w:tc>
      </w:tr>
      <w:tr w:rsidR="009824A2" w:rsidRPr="00FB2EB9" w14:paraId="3562C95E" w14:textId="77777777" w:rsidTr="00BD75A8">
        <w:trPr>
          <w:trHeight w:val="300"/>
        </w:trPr>
        <w:tc>
          <w:tcPr>
            <w:tcW w:w="4035" w:type="dxa"/>
            <w:tcMar>
              <w:left w:w="105" w:type="dxa"/>
              <w:right w:w="105" w:type="dxa"/>
            </w:tcMar>
          </w:tcPr>
          <w:p w14:paraId="249E8381" w14:textId="77777777" w:rsidR="009824A2" w:rsidRPr="009824A2" w:rsidRDefault="009824A2" w:rsidP="00BD75A8">
            <w:pPr>
              <w:spacing w:line="259" w:lineRule="auto"/>
              <w:jc w:val="both"/>
              <w:rPr>
                <w:rFonts w:asciiTheme="majorBidi" w:hAnsiTheme="majorBidi" w:cstheme="majorBidi"/>
                <w:lang w:val="en-US"/>
              </w:rPr>
            </w:pPr>
            <w:r w:rsidRPr="00FB2EB9">
              <w:rPr>
                <w:rFonts w:asciiTheme="majorBidi" w:hAnsiTheme="majorBidi" w:cstheme="majorBidi"/>
                <w:lang w:val="en-US"/>
              </w:rPr>
              <w:t>(M x 10 x Chronic 1) + Chronic 2 ≥ 25 %</w:t>
            </w:r>
          </w:p>
        </w:tc>
        <w:tc>
          <w:tcPr>
            <w:tcW w:w="1965" w:type="dxa"/>
            <w:tcMar>
              <w:left w:w="105" w:type="dxa"/>
              <w:right w:w="105" w:type="dxa"/>
            </w:tcMar>
          </w:tcPr>
          <w:p w14:paraId="7027C33A"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lang w:val="en-US"/>
              </w:rPr>
              <w:t>Chronic 2</w:t>
            </w:r>
          </w:p>
        </w:tc>
        <w:tc>
          <w:tcPr>
            <w:tcW w:w="3000" w:type="dxa"/>
            <w:tcMar>
              <w:left w:w="105" w:type="dxa"/>
              <w:right w:w="105" w:type="dxa"/>
            </w:tcMar>
          </w:tcPr>
          <w:p w14:paraId="40798055" w14:textId="77777777" w:rsidR="009824A2" w:rsidRPr="009824A2" w:rsidRDefault="009824A2" w:rsidP="00BD75A8">
            <w:pPr>
              <w:spacing w:line="259" w:lineRule="auto"/>
              <w:jc w:val="both"/>
              <w:rPr>
                <w:rFonts w:asciiTheme="majorBidi" w:hAnsiTheme="majorBidi" w:cstheme="majorBidi"/>
                <w:lang w:val="en-US"/>
              </w:rPr>
            </w:pPr>
            <w:r w:rsidRPr="00FB2EB9">
              <w:rPr>
                <w:rFonts w:asciiTheme="majorBidi" w:hAnsiTheme="majorBidi" w:cstheme="majorBidi"/>
                <w:lang w:val="en-US"/>
              </w:rPr>
              <w:t>Sub1(100 x 10 x 0.01) + Sub2(1000x10x0.02) = 210 =</w:t>
            </w:r>
          </w:p>
          <w:p w14:paraId="103D04E3" w14:textId="77777777" w:rsidR="009824A2" w:rsidRPr="00FB2EB9" w:rsidRDefault="009824A2" w:rsidP="00BD75A8">
            <w:pPr>
              <w:spacing w:line="259" w:lineRule="auto"/>
              <w:jc w:val="both"/>
              <w:rPr>
                <w:rFonts w:asciiTheme="majorBidi" w:hAnsiTheme="majorBidi" w:cstheme="majorBidi"/>
              </w:rPr>
            </w:pPr>
            <w:r w:rsidRPr="00FB2EB9">
              <w:rPr>
                <w:rFonts w:asciiTheme="majorBidi" w:hAnsiTheme="majorBidi" w:cstheme="majorBidi"/>
                <w:b/>
                <w:bCs/>
                <w:lang w:val="en-US"/>
              </w:rPr>
              <w:t>Classified</w:t>
            </w:r>
          </w:p>
          <w:p w14:paraId="0FF1414C" w14:textId="77777777" w:rsidR="009824A2" w:rsidRPr="00FB2EB9" w:rsidRDefault="009824A2" w:rsidP="00BD75A8">
            <w:pPr>
              <w:spacing w:line="259" w:lineRule="auto"/>
              <w:jc w:val="both"/>
              <w:rPr>
                <w:rFonts w:asciiTheme="majorBidi" w:hAnsiTheme="majorBidi" w:cstheme="majorBidi"/>
              </w:rPr>
            </w:pPr>
          </w:p>
        </w:tc>
      </w:tr>
    </w:tbl>
    <w:p w14:paraId="29D3DCF0" w14:textId="77777777" w:rsidR="009824A2" w:rsidRPr="009824A2" w:rsidRDefault="009824A2" w:rsidP="009824A2">
      <w:pPr>
        <w:pStyle w:val="SingleTxtG"/>
        <w:rPr>
          <w:lang w:val="en-US"/>
        </w:rPr>
      </w:pPr>
      <w:r w:rsidRPr="00DD6A2F">
        <w:rPr>
          <w:lang w:val="en-US"/>
        </w:rPr>
        <w:t xml:space="preserve">Mixture is chronic aquatic toxic 2 and therefore also </w:t>
      </w:r>
      <w:r w:rsidRPr="00DD6A2F">
        <w:rPr>
          <w:b/>
          <w:bCs/>
          <w:lang w:val="en-US"/>
        </w:rPr>
        <w:t>environmentally hazardous – UN</w:t>
      </w:r>
      <w:r>
        <w:rPr>
          <w:b/>
          <w:bCs/>
          <w:lang w:val="en-US"/>
        </w:rPr>
        <w:t> </w:t>
      </w:r>
      <w:r w:rsidRPr="00DD6A2F">
        <w:rPr>
          <w:b/>
          <w:bCs/>
          <w:lang w:val="en-US"/>
        </w:rPr>
        <w:t>3082</w:t>
      </w:r>
    </w:p>
    <w:p w14:paraId="3FCFA919" w14:textId="77777777" w:rsidR="009824A2" w:rsidRPr="009824A2" w:rsidRDefault="009824A2" w:rsidP="009824A2">
      <w:pPr>
        <w:pStyle w:val="SingleTxtG"/>
        <w:rPr>
          <w:lang w:val="en-US"/>
        </w:rPr>
      </w:pPr>
      <w:r w:rsidRPr="00DD6A2F">
        <w:rPr>
          <w:b/>
          <w:bCs/>
          <w:lang w:val="en-US"/>
        </w:rPr>
        <w:t>Example 5</w:t>
      </w:r>
      <w:r w:rsidRPr="00DD6A2F">
        <w:rPr>
          <w:lang w:val="en-US"/>
        </w:rPr>
        <w:t xml:space="preserve">: A liquid paint mixture contains one environmentally hazardous substance in a concentration of </w:t>
      </w:r>
      <w:r w:rsidRPr="00DD6A2F">
        <w:rPr>
          <w:b/>
          <w:bCs/>
          <w:lang w:val="en-US"/>
        </w:rPr>
        <w:t>2.75</w:t>
      </w:r>
      <w:r>
        <w:rPr>
          <w:b/>
          <w:bCs/>
          <w:lang w:val="en-US"/>
        </w:rPr>
        <w:t> </w:t>
      </w:r>
      <w:r w:rsidRPr="00DD6A2F">
        <w:rPr>
          <w:b/>
          <w:bCs/>
          <w:lang w:val="en-US"/>
        </w:rPr>
        <w:t>% assigned to Chronic hazard category 1, M</w:t>
      </w:r>
      <w:r>
        <w:rPr>
          <w:b/>
          <w:bCs/>
          <w:lang w:val="en-US"/>
        </w:rPr>
        <w:t>-</w:t>
      </w:r>
      <w:r w:rsidRPr="00DD6A2F">
        <w:rPr>
          <w:b/>
          <w:bCs/>
          <w:lang w:val="en-US"/>
        </w:rPr>
        <w:t>factor is 1</w:t>
      </w:r>
    </w:p>
    <w:p w14:paraId="1C96E99E" w14:textId="77777777" w:rsidR="009824A2" w:rsidRPr="00DD6A2F" w:rsidRDefault="009824A2" w:rsidP="009824A2">
      <w:pPr>
        <w:pStyle w:val="SingleTxtG"/>
      </w:pPr>
      <w:r w:rsidRPr="00DD6A2F">
        <w:rPr>
          <w:lang w:val="en-US"/>
        </w:rPr>
        <w:t>Calculation for UN</w:t>
      </w:r>
      <w:r>
        <w:rPr>
          <w:lang w:val="en-US"/>
        </w:rPr>
        <w:t> </w:t>
      </w:r>
      <w:r w:rsidRPr="00DD6A2F">
        <w:rPr>
          <w:lang w:val="en-US"/>
        </w:rPr>
        <w:t>3082:</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9824A2" w:rsidRPr="008C4998" w14:paraId="06FF9360" w14:textId="77777777" w:rsidTr="00BD75A8">
        <w:trPr>
          <w:trHeight w:val="300"/>
        </w:trPr>
        <w:tc>
          <w:tcPr>
            <w:tcW w:w="4035" w:type="dxa"/>
            <w:tcMar>
              <w:left w:w="105" w:type="dxa"/>
              <w:right w:w="105" w:type="dxa"/>
            </w:tcMar>
          </w:tcPr>
          <w:p w14:paraId="648D1B74" w14:textId="77777777" w:rsidR="009824A2" w:rsidRPr="009824A2" w:rsidRDefault="009824A2" w:rsidP="00BD75A8">
            <w:pPr>
              <w:spacing w:line="259" w:lineRule="auto"/>
              <w:jc w:val="both"/>
              <w:rPr>
                <w:rFonts w:asciiTheme="majorBidi" w:hAnsiTheme="majorBidi" w:cstheme="majorBidi"/>
                <w:lang w:val="en-US"/>
              </w:rPr>
            </w:pPr>
            <w:r w:rsidRPr="008C4998">
              <w:rPr>
                <w:rFonts w:asciiTheme="majorBidi" w:hAnsiTheme="majorBidi" w:cstheme="majorBidi"/>
                <w:lang w:val="en-US"/>
              </w:rPr>
              <w:t>Sum of the concentration of ingredients classified as:</w:t>
            </w:r>
          </w:p>
        </w:tc>
        <w:tc>
          <w:tcPr>
            <w:tcW w:w="1965" w:type="dxa"/>
            <w:tcMar>
              <w:left w:w="105" w:type="dxa"/>
              <w:right w:w="105" w:type="dxa"/>
            </w:tcMar>
          </w:tcPr>
          <w:p w14:paraId="14630ECE"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lang w:val="en-US"/>
              </w:rPr>
              <w:t>Mixture is classified as</w:t>
            </w:r>
          </w:p>
        </w:tc>
        <w:tc>
          <w:tcPr>
            <w:tcW w:w="3000" w:type="dxa"/>
            <w:tcMar>
              <w:left w:w="105" w:type="dxa"/>
              <w:right w:w="105" w:type="dxa"/>
            </w:tcMar>
          </w:tcPr>
          <w:p w14:paraId="373BAA43"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lang w:val="en-US"/>
              </w:rPr>
              <w:t>Result</w:t>
            </w:r>
          </w:p>
        </w:tc>
      </w:tr>
      <w:tr w:rsidR="009824A2" w:rsidRPr="008C4998" w14:paraId="5FF452A2" w14:textId="77777777" w:rsidTr="00BD75A8">
        <w:trPr>
          <w:trHeight w:val="300"/>
        </w:trPr>
        <w:tc>
          <w:tcPr>
            <w:tcW w:w="4035" w:type="dxa"/>
            <w:tcMar>
              <w:left w:w="105" w:type="dxa"/>
              <w:right w:w="105" w:type="dxa"/>
            </w:tcMar>
          </w:tcPr>
          <w:p w14:paraId="15C584D9"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lang w:val="en-US"/>
              </w:rPr>
              <w:t>Chronic 1 x M ≥ 25</w:t>
            </w:r>
            <w:r>
              <w:rPr>
                <w:rFonts w:asciiTheme="majorBidi" w:hAnsiTheme="majorBidi" w:cstheme="majorBidi"/>
                <w:lang w:val="en-US"/>
              </w:rPr>
              <w:t> </w:t>
            </w:r>
            <w:r w:rsidRPr="008C4998">
              <w:rPr>
                <w:rFonts w:asciiTheme="majorBidi" w:hAnsiTheme="majorBidi" w:cstheme="majorBidi"/>
                <w:lang w:val="en-US"/>
              </w:rPr>
              <w:t>%</w:t>
            </w:r>
          </w:p>
        </w:tc>
        <w:tc>
          <w:tcPr>
            <w:tcW w:w="1965" w:type="dxa"/>
            <w:tcMar>
              <w:left w:w="105" w:type="dxa"/>
              <w:right w:w="105" w:type="dxa"/>
            </w:tcMar>
          </w:tcPr>
          <w:p w14:paraId="55862A6F"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lang w:val="en-US"/>
              </w:rPr>
              <w:t>Chronic 1</w:t>
            </w:r>
          </w:p>
        </w:tc>
        <w:tc>
          <w:tcPr>
            <w:tcW w:w="3000" w:type="dxa"/>
            <w:tcMar>
              <w:left w:w="105" w:type="dxa"/>
              <w:right w:w="105" w:type="dxa"/>
            </w:tcMar>
          </w:tcPr>
          <w:p w14:paraId="1716C79B"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lang w:val="en-US"/>
              </w:rPr>
              <w:t>2.75 x 1 = 2.75 = not classified</w:t>
            </w:r>
          </w:p>
        </w:tc>
      </w:tr>
      <w:tr w:rsidR="009824A2" w:rsidRPr="008C4998" w14:paraId="0433D93E" w14:textId="77777777" w:rsidTr="00BD75A8">
        <w:trPr>
          <w:trHeight w:val="300"/>
        </w:trPr>
        <w:tc>
          <w:tcPr>
            <w:tcW w:w="4035" w:type="dxa"/>
            <w:tcMar>
              <w:left w:w="105" w:type="dxa"/>
              <w:right w:w="105" w:type="dxa"/>
            </w:tcMar>
          </w:tcPr>
          <w:p w14:paraId="3B12FC13" w14:textId="77777777" w:rsidR="009824A2" w:rsidRPr="009824A2" w:rsidRDefault="009824A2" w:rsidP="00BD75A8">
            <w:pPr>
              <w:spacing w:line="259" w:lineRule="auto"/>
              <w:jc w:val="both"/>
              <w:rPr>
                <w:rFonts w:asciiTheme="majorBidi" w:hAnsiTheme="majorBidi" w:cstheme="majorBidi"/>
                <w:lang w:val="en-US"/>
              </w:rPr>
            </w:pPr>
            <w:r w:rsidRPr="008C4998">
              <w:rPr>
                <w:rFonts w:asciiTheme="majorBidi" w:hAnsiTheme="majorBidi" w:cstheme="majorBidi"/>
                <w:lang w:val="en-US"/>
              </w:rPr>
              <w:t>(M x 10 x Chronic 1) + Chronic 2 ≥ 25 %</w:t>
            </w:r>
          </w:p>
        </w:tc>
        <w:tc>
          <w:tcPr>
            <w:tcW w:w="1965" w:type="dxa"/>
            <w:tcMar>
              <w:left w:w="105" w:type="dxa"/>
              <w:right w:w="105" w:type="dxa"/>
            </w:tcMar>
          </w:tcPr>
          <w:p w14:paraId="625D3BF8"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lang w:val="en-US"/>
              </w:rPr>
              <w:t>Chronic 2</w:t>
            </w:r>
          </w:p>
        </w:tc>
        <w:tc>
          <w:tcPr>
            <w:tcW w:w="3000" w:type="dxa"/>
            <w:tcMar>
              <w:left w:w="105" w:type="dxa"/>
              <w:right w:w="105" w:type="dxa"/>
            </w:tcMar>
          </w:tcPr>
          <w:p w14:paraId="2DD2757B"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lang w:val="en-US"/>
              </w:rPr>
              <w:t>(1 x 10 x 2.75) + 0 = 27.5 =</w:t>
            </w:r>
          </w:p>
          <w:p w14:paraId="7DF1C818" w14:textId="77777777" w:rsidR="009824A2" w:rsidRPr="008C4998" w:rsidRDefault="009824A2" w:rsidP="00BD75A8">
            <w:pPr>
              <w:spacing w:line="259" w:lineRule="auto"/>
              <w:jc w:val="both"/>
              <w:rPr>
                <w:rFonts w:asciiTheme="majorBidi" w:hAnsiTheme="majorBidi" w:cstheme="majorBidi"/>
              </w:rPr>
            </w:pPr>
            <w:r w:rsidRPr="008C4998">
              <w:rPr>
                <w:rFonts w:asciiTheme="majorBidi" w:hAnsiTheme="majorBidi" w:cstheme="majorBidi"/>
                <w:b/>
                <w:bCs/>
                <w:lang w:val="en-US"/>
              </w:rPr>
              <w:t>Classified</w:t>
            </w:r>
          </w:p>
          <w:p w14:paraId="3F964DCF" w14:textId="77777777" w:rsidR="009824A2" w:rsidRPr="008C4998" w:rsidRDefault="009824A2" w:rsidP="00BD75A8">
            <w:pPr>
              <w:spacing w:line="259" w:lineRule="auto"/>
              <w:jc w:val="both"/>
              <w:rPr>
                <w:rFonts w:asciiTheme="majorBidi" w:hAnsiTheme="majorBidi" w:cstheme="majorBidi"/>
              </w:rPr>
            </w:pPr>
          </w:p>
        </w:tc>
      </w:tr>
    </w:tbl>
    <w:p w14:paraId="5421C73C" w14:textId="77777777" w:rsidR="009824A2" w:rsidRPr="009824A2" w:rsidRDefault="009824A2" w:rsidP="009824A2">
      <w:pPr>
        <w:pStyle w:val="SingleTxtG"/>
        <w:rPr>
          <w:lang w:val="en-US"/>
        </w:rPr>
      </w:pPr>
      <w:r w:rsidRPr="00DD6A2F">
        <w:rPr>
          <w:lang w:val="en-US"/>
        </w:rPr>
        <w:t xml:space="preserve">Mixture is chronic aquatic toxic 2 and therefore also </w:t>
      </w:r>
      <w:r w:rsidRPr="00504021">
        <w:rPr>
          <w:b/>
          <w:bCs/>
          <w:lang w:val="en-US"/>
        </w:rPr>
        <w:t>environmentally hazardous – UN</w:t>
      </w:r>
      <w:r>
        <w:rPr>
          <w:b/>
          <w:bCs/>
          <w:lang w:val="en-US"/>
        </w:rPr>
        <w:t> </w:t>
      </w:r>
      <w:r w:rsidRPr="00504021">
        <w:rPr>
          <w:b/>
          <w:bCs/>
          <w:lang w:val="en-US"/>
        </w:rPr>
        <w:t>3082 and will be packaged in UN-approved packaging (would have to be supplied in metal UN-approved packaging)</w:t>
      </w:r>
    </w:p>
    <w:p w14:paraId="2EE52CFA" w14:textId="77777777" w:rsidR="009824A2" w:rsidRPr="009824A2" w:rsidRDefault="009824A2" w:rsidP="009824A2">
      <w:pPr>
        <w:pStyle w:val="SingleTxtG"/>
        <w:rPr>
          <w:lang w:val="en-US"/>
        </w:rPr>
      </w:pPr>
      <w:r w:rsidRPr="00DD6A2F">
        <w:rPr>
          <w:lang w:val="en-US"/>
        </w:rPr>
        <w:t>The proposal is to exempt mixture classified as UN</w:t>
      </w:r>
      <w:r>
        <w:rPr>
          <w:lang w:val="en-US"/>
        </w:rPr>
        <w:t> </w:t>
      </w:r>
      <w:r w:rsidRPr="00DD6A2F">
        <w:rPr>
          <w:lang w:val="en-US"/>
        </w:rPr>
        <w:t>3082 but containing &lt; 1</w:t>
      </w:r>
      <w:r>
        <w:rPr>
          <w:lang w:val="en-US"/>
        </w:rPr>
        <w:t> </w:t>
      </w:r>
      <w:r w:rsidRPr="00DD6A2F">
        <w:rPr>
          <w:lang w:val="en-US"/>
        </w:rPr>
        <w:t>% of highly toxic to the environment substances (with M-factor &gt;1) for UN-approved packaging.</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5"/>
        <w:gridCol w:w="3060"/>
        <w:gridCol w:w="4245"/>
      </w:tblGrid>
      <w:tr w:rsidR="009824A2" w:rsidRPr="00F50823" w14:paraId="1AE943B2" w14:textId="77777777" w:rsidTr="00BD75A8">
        <w:trPr>
          <w:trHeight w:val="300"/>
        </w:trPr>
        <w:tc>
          <w:tcPr>
            <w:tcW w:w="1695" w:type="dxa"/>
            <w:tcMar>
              <w:left w:w="105" w:type="dxa"/>
              <w:right w:w="105" w:type="dxa"/>
            </w:tcMar>
          </w:tcPr>
          <w:p w14:paraId="28FB470B" w14:textId="77777777" w:rsidR="009824A2" w:rsidRPr="002061BA" w:rsidRDefault="009824A2" w:rsidP="00BD75A8">
            <w:pPr>
              <w:spacing w:line="259" w:lineRule="auto"/>
              <w:jc w:val="both"/>
              <w:rPr>
                <w:rFonts w:asciiTheme="majorBidi" w:hAnsiTheme="majorBidi" w:cstheme="majorBidi"/>
              </w:rPr>
            </w:pPr>
            <w:r w:rsidRPr="002061BA">
              <w:rPr>
                <w:rFonts w:asciiTheme="majorBidi" w:hAnsiTheme="majorBidi" w:cstheme="majorBidi"/>
                <w:b/>
                <w:bCs/>
                <w:lang w:val="en-US"/>
              </w:rPr>
              <w:t>Example</w:t>
            </w:r>
          </w:p>
        </w:tc>
        <w:tc>
          <w:tcPr>
            <w:tcW w:w="3060" w:type="dxa"/>
            <w:tcMar>
              <w:left w:w="105" w:type="dxa"/>
              <w:right w:w="105" w:type="dxa"/>
            </w:tcMar>
          </w:tcPr>
          <w:p w14:paraId="4AE12AC4" w14:textId="77777777" w:rsidR="009824A2" w:rsidRPr="002061BA" w:rsidRDefault="009824A2" w:rsidP="00BD75A8">
            <w:pPr>
              <w:spacing w:line="259" w:lineRule="auto"/>
              <w:jc w:val="both"/>
              <w:rPr>
                <w:rFonts w:asciiTheme="majorBidi" w:hAnsiTheme="majorBidi" w:cstheme="majorBidi"/>
              </w:rPr>
            </w:pPr>
            <w:r w:rsidRPr="002061BA">
              <w:rPr>
                <w:rFonts w:asciiTheme="majorBidi" w:hAnsiTheme="majorBidi" w:cstheme="majorBidi"/>
                <w:b/>
                <w:bCs/>
                <w:lang w:val="en-US"/>
              </w:rPr>
              <w:t xml:space="preserve">Contain &lt;1% </w:t>
            </w:r>
          </w:p>
        </w:tc>
        <w:tc>
          <w:tcPr>
            <w:tcW w:w="4245" w:type="dxa"/>
            <w:tcMar>
              <w:left w:w="105" w:type="dxa"/>
              <w:right w:w="105" w:type="dxa"/>
            </w:tcMar>
          </w:tcPr>
          <w:p w14:paraId="3B327CC4" w14:textId="77777777" w:rsidR="009824A2" w:rsidRPr="009824A2" w:rsidRDefault="009824A2" w:rsidP="00BD75A8">
            <w:pPr>
              <w:spacing w:line="259" w:lineRule="auto"/>
              <w:jc w:val="both"/>
              <w:rPr>
                <w:rFonts w:asciiTheme="majorBidi" w:hAnsiTheme="majorBidi" w:cstheme="majorBidi"/>
                <w:lang w:val="en-US"/>
              </w:rPr>
            </w:pPr>
            <w:r w:rsidRPr="002061BA">
              <w:rPr>
                <w:rFonts w:asciiTheme="majorBidi" w:hAnsiTheme="majorBidi" w:cstheme="majorBidi"/>
                <w:b/>
                <w:bCs/>
                <w:lang w:val="en-US"/>
              </w:rPr>
              <w:t>UN approved packaging under our proposal</w:t>
            </w:r>
          </w:p>
        </w:tc>
      </w:tr>
      <w:tr w:rsidR="009824A2" w:rsidRPr="00F50823" w14:paraId="3AC0B82B" w14:textId="77777777" w:rsidTr="00BD75A8">
        <w:trPr>
          <w:trHeight w:val="300"/>
        </w:trPr>
        <w:tc>
          <w:tcPr>
            <w:tcW w:w="1695" w:type="dxa"/>
            <w:tcMar>
              <w:left w:w="105" w:type="dxa"/>
              <w:right w:w="105" w:type="dxa"/>
            </w:tcMar>
          </w:tcPr>
          <w:p w14:paraId="01D6CB00"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2</w:t>
            </w:r>
          </w:p>
          <w:p w14:paraId="28366F7B"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4B5F892B"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0.03% Chronic cat.  1, M = 100</w:t>
            </w:r>
          </w:p>
        </w:tc>
        <w:tc>
          <w:tcPr>
            <w:tcW w:w="4245" w:type="dxa"/>
            <w:tcMar>
              <w:left w:w="105" w:type="dxa"/>
              <w:right w:w="105" w:type="dxa"/>
            </w:tcMar>
          </w:tcPr>
          <w:p w14:paraId="2B1E0C0A" w14:textId="77777777" w:rsidR="009824A2" w:rsidRPr="009824A2" w:rsidRDefault="009824A2" w:rsidP="00BD75A8">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No (0.03</w:t>
            </w:r>
            <w:r>
              <w:rPr>
                <w:rFonts w:asciiTheme="majorBidi" w:eastAsia="Calibri" w:hAnsiTheme="majorBidi" w:cstheme="majorBidi"/>
                <w:lang w:val="en-US"/>
              </w:rPr>
              <w:t> </w:t>
            </w:r>
            <w:r w:rsidRPr="002061BA">
              <w:rPr>
                <w:rFonts w:asciiTheme="majorBidi" w:eastAsia="Calibri" w:hAnsiTheme="majorBidi" w:cstheme="majorBidi"/>
                <w:lang w:val="en-US"/>
              </w:rPr>
              <w:t>% &lt; 1</w:t>
            </w:r>
            <w:r>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9824A2" w:rsidRPr="00F50823" w14:paraId="06A84620" w14:textId="77777777" w:rsidTr="00BD75A8">
        <w:trPr>
          <w:trHeight w:val="300"/>
        </w:trPr>
        <w:tc>
          <w:tcPr>
            <w:tcW w:w="1695" w:type="dxa"/>
            <w:tcMar>
              <w:left w:w="105" w:type="dxa"/>
              <w:right w:w="105" w:type="dxa"/>
            </w:tcMar>
          </w:tcPr>
          <w:p w14:paraId="0E662FFA"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3</w:t>
            </w:r>
          </w:p>
          <w:p w14:paraId="014B41F2"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3F2D9643" w14:textId="77777777" w:rsidR="009824A2" w:rsidRPr="009824A2" w:rsidRDefault="009824A2" w:rsidP="00BD75A8">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0.03% Acute cat. 1 (M = 100); Chronic cat. 1 (M = 100)</w:t>
            </w:r>
          </w:p>
        </w:tc>
        <w:tc>
          <w:tcPr>
            <w:tcW w:w="4245" w:type="dxa"/>
            <w:tcMar>
              <w:left w:w="105" w:type="dxa"/>
              <w:right w:w="105" w:type="dxa"/>
            </w:tcMar>
          </w:tcPr>
          <w:p w14:paraId="52EA6EC4" w14:textId="77777777" w:rsidR="009824A2" w:rsidRPr="009824A2" w:rsidRDefault="009824A2" w:rsidP="00BD75A8">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No (0.03</w:t>
            </w:r>
            <w:r>
              <w:rPr>
                <w:rFonts w:asciiTheme="majorBidi" w:eastAsia="Calibri" w:hAnsiTheme="majorBidi" w:cstheme="majorBidi"/>
                <w:lang w:val="en-US"/>
              </w:rPr>
              <w:t> </w:t>
            </w:r>
            <w:r w:rsidRPr="002061BA">
              <w:rPr>
                <w:rFonts w:asciiTheme="majorBidi" w:eastAsia="Calibri" w:hAnsiTheme="majorBidi" w:cstheme="majorBidi"/>
                <w:lang w:val="en-US"/>
              </w:rPr>
              <w:t>% &lt; 1</w:t>
            </w:r>
            <w:r>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9824A2" w:rsidRPr="00F50823" w14:paraId="2A3C092A" w14:textId="77777777" w:rsidTr="00BD75A8">
        <w:trPr>
          <w:trHeight w:val="300"/>
        </w:trPr>
        <w:tc>
          <w:tcPr>
            <w:tcW w:w="1695" w:type="dxa"/>
            <w:tcMar>
              <w:left w:w="105" w:type="dxa"/>
              <w:right w:w="105" w:type="dxa"/>
            </w:tcMar>
          </w:tcPr>
          <w:p w14:paraId="0096E2D7"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 xml:space="preserve">Example 4 </w:t>
            </w:r>
          </w:p>
          <w:p w14:paraId="378901D6"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1E183D45" w14:textId="77777777" w:rsidR="009824A2" w:rsidRPr="009824A2" w:rsidRDefault="009824A2" w:rsidP="00BD75A8">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Substance 1: 0.01</w:t>
            </w:r>
            <w:r>
              <w:rPr>
                <w:rFonts w:asciiTheme="majorBidi" w:eastAsia="Calibri" w:hAnsiTheme="majorBidi" w:cstheme="majorBidi"/>
                <w:lang w:val="en-US"/>
              </w:rPr>
              <w:t> </w:t>
            </w:r>
            <w:r w:rsidRPr="002061BA">
              <w:rPr>
                <w:rFonts w:asciiTheme="majorBidi" w:eastAsia="Calibri" w:hAnsiTheme="majorBidi" w:cstheme="majorBidi"/>
                <w:lang w:val="en-US"/>
              </w:rPr>
              <w:t>% Acute cat. 1 (M = 100); Chronic cat. 1 (M = 100)</w:t>
            </w:r>
          </w:p>
          <w:p w14:paraId="22F34CCC"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lastRenderedPageBreak/>
              <w:t>Substance 2: 0.02</w:t>
            </w:r>
            <w:r>
              <w:rPr>
                <w:rFonts w:asciiTheme="majorBidi" w:eastAsia="Calibri" w:hAnsiTheme="majorBidi" w:cstheme="majorBidi"/>
                <w:lang w:val="en-US"/>
              </w:rPr>
              <w:t> </w:t>
            </w:r>
            <w:r w:rsidRPr="002061BA">
              <w:rPr>
                <w:rFonts w:asciiTheme="majorBidi" w:eastAsia="Calibri" w:hAnsiTheme="majorBidi" w:cstheme="majorBidi"/>
                <w:lang w:val="en-US"/>
              </w:rPr>
              <w:t>% Chronic cat. 1 (M = 1000)</w:t>
            </w:r>
          </w:p>
        </w:tc>
        <w:tc>
          <w:tcPr>
            <w:tcW w:w="4245" w:type="dxa"/>
            <w:tcMar>
              <w:left w:w="105" w:type="dxa"/>
              <w:right w:w="105" w:type="dxa"/>
            </w:tcMar>
          </w:tcPr>
          <w:p w14:paraId="6AD5E195" w14:textId="77777777" w:rsidR="009824A2" w:rsidRPr="009824A2" w:rsidRDefault="009824A2" w:rsidP="00BD75A8">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lastRenderedPageBreak/>
              <w:t>No (0.01 + 0.02%) = 0.03</w:t>
            </w:r>
            <w:r>
              <w:rPr>
                <w:rFonts w:asciiTheme="majorBidi" w:eastAsia="Calibri" w:hAnsiTheme="majorBidi" w:cstheme="majorBidi"/>
                <w:lang w:val="en-US"/>
              </w:rPr>
              <w:t> </w:t>
            </w:r>
            <w:r w:rsidRPr="002061BA">
              <w:rPr>
                <w:rFonts w:asciiTheme="majorBidi" w:eastAsia="Calibri" w:hAnsiTheme="majorBidi" w:cstheme="majorBidi"/>
                <w:lang w:val="en-US"/>
              </w:rPr>
              <w:t>% &lt;1</w:t>
            </w:r>
            <w:r>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9824A2" w:rsidRPr="00F50823" w14:paraId="2A327E81" w14:textId="77777777" w:rsidTr="00BD75A8">
        <w:trPr>
          <w:trHeight w:val="300"/>
        </w:trPr>
        <w:tc>
          <w:tcPr>
            <w:tcW w:w="1695" w:type="dxa"/>
            <w:tcMar>
              <w:left w:w="105" w:type="dxa"/>
              <w:right w:w="105" w:type="dxa"/>
            </w:tcMar>
          </w:tcPr>
          <w:p w14:paraId="5C3869CC"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5</w:t>
            </w:r>
          </w:p>
          <w:p w14:paraId="7B3F9345" w14:textId="77777777" w:rsidR="009824A2" w:rsidRPr="002061BA" w:rsidRDefault="009824A2" w:rsidP="00BD75A8">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5101A7F0" w14:textId="77777777" w:rsidR="009824A2" w:rsidRPr="009824A2" w:rsidRDefault="009824A2" w:rsidP="00BD75A8">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2.75</w:t>
            </w:r>
            <w:r>
              <w:rPr>
                <w:rFonts w:asciiTheme="majorBidi" w:eastAsia="Calibri" w:hAnsiTheme="majorBidi" w:cstheme="majorBidi"/>
                <w:lang w:val="en-US"/>
              </w:rPr>
              <w:t> </w:t>
            </w:r>
            <w:r w:rsidRPr="002061BA">
              <w:rPr>
                <w:rFonts w:asciiTheme="majorBidi" w:eastAsia="Calibri" w:hAnsiTheme="majorBidi" w:cstheme="majorBidi"/>
                <w:lang w:val="en-US"/>
              </w:rPr>
              <w:t>% Acute cat. 1 (M = 1); Chronic cat. 1 (M = 1)</w:t>
            </w:r>
          </w:p>
        </w:tc>
        <w:tc>
          <w:tcPr>
            <w:tcW w:w="4245" w:type="dxa"/>
            <w:tcMar>
              <w:left w:w="105" w:type="dxa"/>
              <w:right w:w="105" w:type="dxa"/>
            </w:tcMar>
          </w:tcPr>
          <w:p w14:paraId="4794955A" w14:textId="77777777" w:rsidR="009824A2" w:rsidRPr="009824A2" w:rsidRDefault="009824A2" w:rsidP="00BD75A8">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Yes (2.75</w:t>
            </w:r>
            <w:r>
              <w:rPr>
                <w:rFonts w:asciiTheme="majorBidi" w:eastAsia="Calibri" w:hAnsiTheme="majorBidi" w:cstheme="majorBidi"/>
                <w:lang w:val="en-US"/>
              </w:rPr>
              <w:t> </w:t>
            </w:r>
            <w:r w:rsidRPr="002061BA">
              <w:rPr>
                <w:rFonts w:asciiTheme="majorBidi" w:eastAsia="Calibri" w:hAnsiTheme="majorBidi" w:cstheme="majorBidi"/>
                <w:lang w:val="en-US"/>
              </w:rPr>
              <w:t>% environmentally hazardous substance but not highly toxic (M=1))</w:t>
            </w:r>
          </w:p>
        </w:tc>
      </w:tr>
    </w:tbl>
    <w:p w14:paraId="6E2BE869" w14:textId="77777777" w:rsidR="009824A2" w:rsidRPr="009824A2" w:rsidRDefault="009824A2" w:rsidP="009824A2">
      <w:pPr>
        <w:pStyle w:val="HChG"/>
        <w:rPr>
          <w:rFonts w:eastAsia="Calibri"/>
          <w:lang w:val="en-US"/>
        </w:rPr>
      </w:pPr>
      <w:r>
        <w:rPr>
          <w:rFonts w:eastAsia="Calibri"/>
          <w:lang w:val="en-US"/>
        </w:rPr>
        <w:tab/>
        <w:t>V.</w:t>
      </w:r>
      <w:r>
        <w:rPr>
          <w:rFonts w:eastAsia="Calibri"/>
          <w:lang w:val="en-US"/>
        </w:rPr>
        <w:tab/>
      </w:r>
      <w:r w:rsidRPr="00DD6A2F">
        <w:rPr>
          <w:rFonts w:eastAsia="Calibri"/>
          <w:lang w:val="en-US"/>
        </w:rPr>
        <w:t>Additional Remarks</w:t>
      </w:r>
    </w:p>
    <w:p w14:paraId="25800446" w14:textId="77777777" w:rsidR="009824A2" w:rsidRPr="009824A2" w:rsidRDefault="009824A2" w:rsidP="009824A2">
      <w:pPr>
        <w:pStyle w:val="SingleTxtG"/>
        <w:rPr>
          <w:rFonts w:eastAsia="Calibri"/>
          <w:lang w:val="en-US"/>
        </w:rPr>
      </w:pPr>
      <w:r>
        <w:rPr>
          <w:rFonts w:eastAsia="Calibri"/>
          <w:lang w:val="en-US"/>
        </w:rPr>
        <w:t>14.</w:t>
      </w:r>
      <w:r>
        <w:rPr>
          <w:rFonts w:eastAsia="Calibri"/>
          <w:lang w:val="en-US"/>
        </w:rPr>
        <w:tab/>
      </w:r>
      <w:r w:rsidRPr="00DD6A2F">
        <w:rPr>
          <w:rFonts w:eastAsia="Calibri"/>
          <w:lang w:val="en-US"/>
        </w:rPr>
        <w:t xml:space="preserve">When Class 9 </w:t>
      </w:r>
      <w:r>
        <w:rPr>
          <w:rFonts w:eastAsia="Calibri"/>
          <w:lang w:val="en-US"/>
        </w:rPr>
        <w:t>e</w:t>
      </w:r>
      <w:r w:rsidRPr="00DD6A2F">
        <w:rPr>
          <w:rFonts w:eastAsia="Calibri"/>
          <w:lang w:val="en-US"/>
        </w:rPr>
        <w:t xml:space="preserve">nvironmentally </w:t>
      </w:r>
      <w:r>
        <w:rPr>
          <w:rFonts w:eastAsia="Calibri"/>
          <w:lang w:val="en-US"/>
        </w:rPr>
        <w:t>h</w:t>
      </w:r>
      <w:r w:rsidRPr="00DD6A2F">
        <w:rPr>
          <w:rFonts w:eastAsia="Calibri"/>
          <w:lang w:val="en-US"/>
        </w:rPr>
        <w:t>azardous classification was introduced (2009), there was only limited data available on substances (as well as M-factors). Over the years this has increased due to the proliferation of high M-factors.</w:t>
      </w:r>
    </w:p>
    <w:p w14:paraId="3B30BC49" w14:textId="77777777" w:rsidR="009824A2" w:rsidRPr="009824A2" w:rsidRDefault="009824A2" w:rsidP="009824A2">
      <w:pPr>
        <w:pStyle w:val="SingleTxtG"/>
        <w:rPr>
          <w:rFonts w:eastAsia="Calibri"/>
          <w:lang w:val="en-US"/>
        </w:rPr>
      </w:pPr>
      <w:r>
        <w:rPr>
          <w:rFonts w:eastAsia="Calibri"/>
          <w:lang w:val="en-US"/>
        </w:rPr>
        <w:t>15.</w:t>
      </w:r>
      <w:r>
        <w:rPr>
          <w:rFonts w:eastAsia="Calibri"/>
          <w:lang w:val="en-US"/>
        </w:rPr>
        <w:tab/>
      </w:r>
      <w:r w:rsidRPr="00DD6A2F">
        <w:rPr>
          <w:rFonts w:eastAsia="Calibri"/>
          <w:lang w:val="en-US"/>
        </w:rPr>
        <w:t>High M-factors have led to the environmentally hazardous classification for a mixture at disproportionately low levels (e.g. 0.025</w:t>
      </w:r>
      <w:r>
        <w:rPr>
          <w:rFonts w:eastAsia="Calibri"/>
          <w:lang w:val="en-US"/>
        </w:rPr>
        <w:t> </w:t>
      </w:r>
      <w:r w:rsidRPr="00DD6A2F">
        <w:rPr>
          <w:rFonts w:eastAsia="Calibri"/>
          <w:lang w:val="en-US"/>
        </w:rPr>
        <w:t>%) when compared to mixture classification for corrosive (5</w:t>
      </w:r>
      <w:r>
        <w:rPr>
          <w:rFonts w:eastAsia="Calibri"/>
          <w:lang w:val="en-US"/>
        </w:rPr>
        <w:t xml:space="preserve"> </w:t>
      </w:r>
      <w:r w:rsidRPr="00DD6A2F">
        <w:rPr>
          <w:rFonts w:eastAsia="Calibri"/>
          <w:lang w:val="en-US"/>
        </w:rPr>
        <w:t>%) or toxic (oral 33.3</w:t>
      </w:r>
      <w:r>
        <w:rPr>
          <w:rFonts w:eastAsia="Calibri"/>
          <w:lang w:val="en-US"/>
        </w:rPr>
        <w:t xml:space="preserve"> </w:t>
      </w:r>
      <w:r w:rsidRPr="00DD6A2F">
        <w:rPr>
          <w:rFonts w:eastAsia="Calibri"/>
          <w:lang w:val="en-US"/>
        </w:rPr>
        <w:t>% - dermal 3</w:t>
      </w:r>
      <w:r>
        <w:rPr>
          <w:rFonts w:eastAsia="Calibri"/>
          <w:lang w:val="en-US"/>
        </w:rPr>
        <w:t xml:space="preserve"> </w:t>
      </w:r>
      <w:r w:rsidRPr="00DD6A2F">
        <w:rPr>
          <w:rFonts w:eastAsia="Calibri"/>
          <w:lang w:val="en-US"/>
        </w:rPr>
        <w:t>0% - inhalation 5</w:t>
      </w:r>
      <w:r>
        <w:rPr>
          <w:rFonts w:eastAsia="Calibri"/>
          <w:lang w:val="en-US"/>
        </w:rPr>
        <w:t xml:space="preserve"> </w:t>
      </w:r>
      <w:r w:rsidRPr="00DD6A2F">
        <w:rPr>
          <w:rFonts w:eastAsia="Calibri"/>
          <w:lang w:val="en-US"/>
        </w:rPr>
        <w:t>%). UN</w:t>
      </w:r>
      <w:r>
        <w:rPr>
          <w:rFonts w:eastAsia="Calibri"/>
          <w:lang w:val="en-US"/>
        </w:rPr>
        <w:t> </w:t>
      </w:r>
      <w:r w:rsidRPr="00DD6A2F">
        <w:rPr>
          <w:rFonts w:eastAsia="Calibri"/>
          <w:lang w:val="en-US"/>
        </w:rPr>
        <w:t>3077/3082 only exist in PG</w:t>
      </w:r>
      <w:r>
        <w:rPr>
          <w:rFonts w:eastAsia="Calibri"/>
          <w:lang w:val="en-US"/>
        </w:rPr>
        <w:t> </w:t>
      </w:r>
      <w:r w:rsidRPr="00DD6A2F">
        <w:rPr>
          <w:rFonts w:eastAsia="Calibri"/>
          <w:lang w:val="en-US"/>
        </w:rPr>
        <w:t xml:space="preserve">III (less danger) whereas corrosive and toxic have the full range of </w:t>
      </w:r>
      <w:r>
        <w:rPr>
          <w:rFonts w:eastAsia="Calibri"/>
          <w:lang w:val="en-US"/>
        </w:rPr>
        <w:t>packing group</w:t>
      </w:r>
      <w:r w:rsidRPr="00DD6A2F">
        <w:rPr>
          <w:rFonts w:eastAsia="Calibri"/>
          <w:lang w:val="en-US"/>
        </w:rPr>
        <w:t xml:space="preserve"> (I severe</w:t>
      </w:r>
      <w:r>
        <w:rPr>
          <w:rFonts w:eastAsia="Calibri"/>
          <w:lang w:val="en-US"/>
        </w:rPr>
        <w:t>,</w:t>
      </w:r>
      <w:r w:rsidRPr="00DD6A2F">
        <w:rPr>
          <w:rFonts w:eastAsia="Calibri"/>
          <w:lang w:val="en-US"/>
        </w:rPr>
        <w:t xml:space="preserve"> II medium</w:t>
      </w:r>
      <w:r>
        <w:rPr>
          <w:rFonts w:eastAsia="Calibri"/>
          <w:lang w:val="en-US"/>
        </w:rPr>
        <w:t>,</w:t>
      </w:r>
      <w:r w:rsidRPr="00DD6A2F">
        <w:rPr>
          <w:rFonts w:eastAsia="Calibri"/>
          <w:lang w:val="en-US"/>
        </w:rPr>
        <w:t xml:space="preserve"> III less danger). The environmentally hazardous classification does not take precedence over class</w:t>
      </w:r>
      <w:r>
        <w:rPr>
          <w:rFonts w:eastAsia="Calibri"/>
          <w:lang w:val="en-US"/>
        </w:rPr>
        <w:t>es</w:t>
      </w:r>
      <w:r w:rsidRPr="00DD6A2F">
        <w:rPr>
          <w:rFonts w:eastAsia="Calibri"/>
          <w:lang w:val="en-US"/>
        </w:rPr>
        <w:t xml:space="preserve"> 1</w:t>
      </w:r>
      <w:r>
        <w:rPr>
          <w:rFonts w:eastAsia="Calibri"/>
          <w:lang w:val="en-US"/>
        </w:rPr>
        <w:t xml:space="preserve"> to </w:t>
      </w:r>
      <w:r w:rsidRPr="00DD6A2F">
        <w:rPr>
          <w:rFonts w:eastAsia="Calibri"/>
          <w:lang w:val="en-US"/>
        </w:rPr>
        <w:t xml:space="preserve">8 and is an additional hazard while corrosive and toxic are not. Thus, this classification has inadvertently become ‘over-prioritized’ through the link between </w:t>
      </w:r>
      <w:r w:rsidRPr="00336311">
        <w:rPr>
          <w:rFonts w:eastAsia="Calibri"/>
          <w:i/>
          <w:iCs/>
          <w:lang w:val="en-US"/>
        </w:rPr>
        <w:t>GHS</w:t>
      </w:r>
      <w:r w:rsidRPr="00DD6A2F">
        <w:rPr>
          <w:rFonts w:eastAsia="Calibri"/>
          <w:lang w:val="en-US"/>
        </w:rPr>
        <w:t xml:space="preserve"> </w:t>
      </w:r>
      <w:r>
        <w:rPr>
          <w:rFonts w:eastAsia="Calibri"/>
          <w:lang w:val="en-US"/>
        </w:rPr>
        <w:t xml:space="preserve">and the </w:t>
      </w:r>
      <w:r w:rsidRPr="00336311">
        <w:rPr>
          <w:rFonts w:eastAsia="Calibri"/>
          <w:i/>
          <w:iCs/>
          <w:lang w:val="en-US"/>
        </w:rPr>
        <w:t>Model Regulations</w:t>
      </w:r>
      <w:r w:rsidRPr="00DD6A2F">
        <w:rPr>
          <w:rFonts w:eastAsia="Calibri"/>
          <w:lang w:val="en-US"/>
        </w:rPr>
        <w:t>, due primarily to M-</w:t>
      </w:r>
      <w:r>
        <w:rPr>
          <w:rFonts w:eastAsia="Calibri"/>
          <w:lang w:val="en-US"/>
        </w:rPr>
        <w:t>f</w:t>
      </w:r>
      <w:r w:rsidRPr="00DD6A2F">
        <w:rPr>
          <w:rFonts w:eastAsia="Calibri"/>
          <w:lang w:val="en-US"/>
        </w:rPr>
        <w:t>actors.</w:t>
      </w:r>
    </w:p>
    <w:p w14:paraId="57B4019A" w14:textId="77777777" w:rsidR="009824A2" w:rsidRDefault="009824A2" w:rsidP="009824A2">
      <w:pPr>
        <w:pStyle w:val="SingleTxtG"/>
        <w:rPr>
          <w:rFonts w:eastAsia="Calibri"/>
          <w:lang w:val="en-US"/>
        </w:rPr>
      </w:pPr>
      <w:r>
        <w:rPr>
          <w:rFonts w:eastAsia="Calibri"/>
          <w:lang w:val="en-US"/>
        </w:rPr>
        <w:t>16.</w:t>
      </w:r>
      <w:r>
        <w:rPr>
          <w:rFonts w:eastAsia="Calibri"/>
          <w:lang w:val="en-US"/>
        </w:rPr>
        <w:tab/>
      </w:r>
      <w:r w:rsidRPr="00DD6A2F">
        <w:rPr>
          <w:rFonts w:eastAsia="Calibri"/>
          <w:lang w:val="en-US"/>
        </w:rPr>
        <w:t>In transport classification for health hazards only acute toxic classification is taken into account and not chronic toxic, while for environmentally hazardous classification both acute and chronic (1 and 2) are seen as dangerous in transport.</w:t>
      </w:r>
    </w:p>
    <w:p w14:paraId="2FAE5CEB" w14:textId="77777777" w:rsidR="009824A2" w:rsidRPr="004B7132" w:rsidRDefault="009824A2" w:rsidP="009824A2">
      <w:pPr>
        <w:spacing w:before="240"/>
        <w:jc w:val="center"/>
        <w:rPr>
          <w:u w:val="single"/>
          <w:lang w:val="en-US"/>
        </w:rPr>
      </w:pPr>
      <w:r>
        <w:rPr>
          <w:u w:val="single"/>
          <w:lang w:val="en-US"/>
        </w:rPr>
        <w:tab/>
      </w:r>
      <w:r>
        <w:rPr>
          <w:u w:val="single"/>
          <w:lang w:val="en-US"/>
        </w:rPr>
        <w:tab/>
      </w:r>
      <w:r>
        <w:rPr>
          <w:u w:val="single"/>
          <w:lang w:val="en-US"/>
        </w:rPr>
        <w:tab/>
      </w:r>
    </w:p>
    <w:p w14:paraId="6475BBEE" w14:textId="77777777" w:rsidR="009824A2" w:rsidRPr="009824A2" w:rsidRDefault="009824A2" w:rsidP="009824A2">
      <w:pPr>
        <w:pStyle w:val="SingleTxtG"/>
        <w:rPr>
          <w:lang w:val="en-US" w:eastAsia="ru-RU"/>
        </w:rPr>
      </w:pPr>
    </w:p>
    <w:sectPr w:rsidR="009824A2" w:rsidRPr="009824A2" w:rsidSect="009824A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5E9E" w14:textId="77777777" w:rsidR="00A119A4" w:rsidRPr="00A312BC" w:rsidRDefault="00A119A4" w:rsidP="00A312BC"/>
  </w:endnote>
  <w:endnote w:type="continuationSeparator" w:id="0">
    <w:p w14:paraId="01DBE599" w14:textId="77777777" w:rsidR="00A119A4" w:rsidRPr="00A312BC" w:rsidRDefault="00A119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6A82" w14:textId="71980E6D" w:rsidR="009824A2" w:rsidRPr="009824A2" w:rsidRDefault="009824A2">
    <w:pPr>
      <w:pStyle w:val="a8"/>
    </w:pPr>
    <w:r w:rsidRPr="009824A2">
      <w:rPr>
        <w:b/>
        <w:sz w:val="18"/>
      </w:rPr>
      <w:fldChar w:fldCharType="begin"/>
    </w:r>
    <w:r w:rsidRPr="009824A2">
      <w:rPr>
        <w:b/>
        <w:sz w:val="18"/>
      </w:rPr>
      <w:instrText xml:space="preserve"> PAGE  \* MERGEFORMAT </w:instrText>
    </w:r>
    <w:r w:rsidRPr="009824A2">
      <w:rPr>
        <w:b/>
        <w:sz w:val="18"/>
      </w:rPr>
      <w:fldChar w:fldCharType="separate"/>
    </w:r>
    <w:r w:rsidRPr="009824A2">
      <w:rPr>
        <w:b/>
        <w:noProof/>
        <w:sz w:val="18"/>
      </w:rPr>
      <w:t>2</w:t>
    </w:r>
    <w:r w:rsidRPr="009824A2">
      <w:rPr>
        <w:b/>
        <w:sz w:val="18"/>
      </w:rPr>
      <w:fldChar w:fldCharType="end"/>
    </w:r>
    <w:r>
      <w:rPr>
        <w:b/>
        <w:sz w:val="18"/>
      </w:rPr>
      <w:tab/>
    </w:r>
    <w:r>
      <w:t>GE.23-25519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DD91" w14:textId="6B4A8623" w:rsidR="009824A2" w:rsidRPr="009824A2" w:rsidRDefault="009824A2" w:rsidP="009824A2">
    <w:pPr>
      <w:pStyle w:val="a8"/>
      <w:tabs>
        <w:tab w:val="clear" w:pos="9639"/>
        <w:tab w:val="right" w:pos="9638"/>
      </w:tabs>
      <w:rPr>
        <w:b/>
        <w:sz w:val="18"/>
      </w:rPr>
    </w:pPr>
    <w:r>
      <w:t>GE.23-25519</w:t>
    </w:r>
    <w:r>
      <w:tab/>
    </w:r>
    <w:r w:rsidRPr="009824A2">
      <w:rPr>
        <w:b/>
        <w:sz w:val="18"/>
      </w:rPr>
      <w:fldChar w:fldCharType="begin"/>
    </w:r>
    <w:r w:rsidRPr="009824A2">
      <w:rPr>
        <w:b/>
        <w:sz w:val="18"/>
      </w:rPr>
      <w:instrText xml:space="preserve"> PAGE  \* MERGEFORMAT </w:instrText>
    </w:r>
    <w:r w:rsidRPr="009824A2">
      <w:rPr>
        <w:b/>
        <w:sz w:val="18"/>
      </w:rPr>
      <w:fldChar w:fldCharType="separate"/>
    </w:r>
    <w:r w:rsidRPr="009824A2">
      <w:rPr>
        <w:b/>
        <w:noProof/>
        <w:sz w:val="18"/>
      </w:rPr>
      <w:t>3</w:t>
    </w:r>
    <w:r w:rsidRPr="009824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221B" w14:textId="5872BF19" w:rsidR="00042B72" w:rsidRPr="009824A2" w:rsidRDefault="009824A2" w:rsidP="009824A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120CE57" wp14:editId="3A38960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23-25519  (R)</w:t>
    </w:r>
    <w:r>
      <w:rPr>
        <w:noProof/>
      </w:rPr>
      <w:drawing>
        <wp:anchor distT="0" distB="0" distL="114300" distR="114300" simplePos="0" relativeHeight="251659264" behindDoc="0" locked="0" layoutInCell="1" allowOverlap="1" wp14:anchorId="7E3E8B63" wp14:editId="452444E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170124  </w:t>
    </w:r>
    <w:r w:rsidR="00F50823">
      <w:rPr>
        <w:lang w:val="en-US"/>
      </w:rPr>
      <w:t>23</w:t>
    </w:r>
    <w:r>
      <w:rPr>
        <w:lang w:val="en-US"/>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F5E8" w14:textId="77777777" w:rsidR="00A119A4" w:rsidRPr="001075E9" w:rsidRDefault="00A119A4" w:rsidP="001075E9">
      <w:pPr>
        <w:tabs>
          <w:tab w:val="right" w:pos="2155"/>
        </w:tabs>
        <w:spacing w:after="80" w:line="240" w:lineRule="auto"/>
        <w:ind w:left="680"/>
        <w:rPr>
          <w:u w:val="single"/>
        </w:rPr>
      </w:pPr>
      <w:r>
        <w:rPr>
          <w:u w:val="single"/>
        </w:rPr>
        <w:tab/>
      </w:r>
    </w:p>
  </w:footnote>
  <w:footnote w:type="continuationSeparator" w:id="0">
    <w:p w14:paraId="4123B01B" w14:textId="77777777" w:rsidR="00A119A4" w:rsidRDefault="00A119A4" w:rsidP="00407B78">
      <w:pPr>
        <w:tabs>
          <w:tab w:val="right" w:pos="2155"/>
        </w:tabs>
        <w:spacing w:after="80"/>
        <w:ind w:left="680"/>
        <w:rPr>
          <w:u w:val="single"/>
        </w:rPr>
      </w:pPr>
      <w:r>
        <w:rPr>
          <w:u w:val="single"/>
        </w:rPr>
        <w:tab/>
      </w:r>
    </w:p>
  </w:footnote>
  <w:footnote w:id="1">
    <w:p w14:paraId="01BA59E3" w14:textId="1D08F092" w:rsidR="009824A2" w:rsidRPr="007219F2" w:rsidRDefault="009824A2">
      <w:pPr>
        <w:pStyle w:val="ad"/>
        <w:rPr>
          <w:sz w:val="20"/>
        </w:rPr>
      </w:pPr>
      <w:r>
        <w:tab/>
      </w:r>
      <w:r w:rsidRPr="009824A2">
        <w:rPr>
          <w:rStyle w:val="aa"/>
          <w:sz w:val="20"/>
          <w:vertAlign w:val="baseline"/>
        </w:rPr>
        <w:t>*</w:t>
      </w:r>
      <w:r w:rsidRPr="009824A2">
        <w:rPr>
          <w:rStyle w:val="aa"/>
          <w:vertAlign w:val="baseline"/>
        </w:rPr>
        <w:tab/>
      </w:r>
      <w:r w:rsidRPr="009824A2">
        <w:t>A/78/6 (разд. 20), таблица 20.5.</w:t>
      </w:r>
    </w:p>
  </w:footnote>
  <w:footnote w:id="2">
    <w:p w14:paraId="18BDCC4B" w14:textId="055608DF" w:rsidR="009824A2" w:rsidRPr="009824A2" w:rsidRDefault="009824A2">
      <w:pPr>
        <w:pStyle w:val="ad"/>
        <w:rPr>
          <w:sz w:val="20"/>
        </w:rPr>
      </w:pPr>
      <w:r>
        <w:tab/>
      </w:r>
      <w:r w:rsidRPr="009824A2">
        <w:rPr>
          <w:rStyle w:val="aa"/>
          <w:sz w:val="20"/>
          <w:vertAlign w:val="baseline"/>
        </w:rPr>
        <w:t>**</w:t>
      </w:r>
      <w:r w:rsidRPr="009824A2">
        <w:rPr>
          <w:rStyle w:val="aa"/>
          <w:vertAlign w:val="baseline"/>
        </w:rPr>
        <w:tab/>
      </w:r>
      <w:r w:rsidRPr="009824A2">
        <w:t>Распространено Межправительственной организацией по международным железнодорожным перевозкам (ОТИФ) под условным обозначением OTIF/RID/RC/2024/7.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DFF8" w14:textId="6C09EC1D" w:rsidR="009824A2" w:rsidRPr="009824A2" w:rsidRDefault="00614174">
    <w:pPr>
      <w:pStyle w:val="a5"/>
    </w:pPr>
    <w:fldSimple w:instr=" TITLE  \* MERGEFORMAT ">
      <w:r w:rsidR="00762527">
        <w:t>ECE/TRANS/WP.15/AC.1/2024/7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73D3" w14:textId="3EFF633C" w:rsidR="009824A2" w:rsidRPr="009824A2" w:rsidRDefault="00614174" w:rsidP="009824A2">
    <w:pPr>
      <w:pStyle w:val="a5"/>
      <w:jc w:val="right"/>
    </w:pPr>
    <w:fldSimple w:instr=" TITLE  \* MERGEFORMAT ">
      <w:r w:rsidR="00762527">
        <w:t>ECE/TRANS/WP.15/AC.1/2024/7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A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4174"/>
    <w:rsid w:val="00617A43"/>
    <w:rsid w:val="006345DB"/>
    <w:rsid w:val="00640F49"/>
    <w:rsid w:val="00680D03"/>
    <w:rsid w:val="00681A10"/>
    <w:rsid w:val="006A1ED8"/>
    <w:rsid w:val="006C2031"/>
    <w:rsid w:val="006D1522"/>
    <w:rsid w:val="006D461A"/>
    <w:rsid w:val="006F35EE"/>
    <w:rsid w:val="007021FF"/>
    <w:rsid w:val="00712895"/>
    <w:rsid w:val="007219F2"/>
    <w:rsid w:val="00734ACB"/>
    <w:rsid w:val="00757357"/>
    <w:rsid w:val="0076252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24A2"/>
    <w:rsid w:val="009A24AC"/>
    <w:rsid w:val="009C59D7"/>
    <w:rsid w:val="009C6FE6"/>
    <w:rsid w:val="009D7E7D"/>
    <w:rsid w:val="00A119A4"/>
    <w:rsid w:val="00A14DA8"/>
    <w:rsid w:val="00A312BC"/>
    <w:rsid w:val="00A84021"/>
    <w:rsid w:val="00A84D35"/>
    <w:rsid w:val="00A917B3"/>
    <w:rsid w:val="00AB4B51"/>
    <w:rsid w:val="00B10CC7"/>
    <w:rsid w:val="00B36DF7"/>
    <w:rsid w:val="00B441C2"/>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5082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0F0D"/>
  <w15:docId w15:val="{8693AA14-AAB9-4731-ACD9-E0386D05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9824A2"/>
    <w:rPr>
      <w:b/>
      <w:sz w:val="28"/>
      <w:lang w:val="ru-RU" w:eastAsia="ru-RU"/>
    </w:rPr>
  </w:style>
  <w:style w:type="character" w:customStyle="1" w:styleId="SingleTxtGChar">
    <w:name w:val="_ Single Txt_G Char"/>
    <w:link w:val="SingleTxtG"/>
    <w:qFormat/>
    <w:locked/>
    <w:rsid w:val="009824A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DB843-CDF0-4378-85FC-50893333C649}"/>
</file>

<file path=customXml/itemProps2.xml><?xml version="1.0" encoding="utf-8"?>
<ds:datastoreItem xmlns:ds="http://schemas.openxmlformats.org/officeDocument/2006/customXml" ds:itemID="{D1C1BA75-4C56-4569-A4D4-C609B72DEA32}"/>
</file>

<file path=docProps/app.xml><?xml version="1.0" encoding="utf-8"?>
<Properties xmlns="http://schemas.openxmlformats.org/officeDocument/2006/extended-properties" xmlns:vt="http://schemas.openxmlformats.org/officeDocument/2006/docPropsVTypes">
  <Template>ECE.dotm</Template>
  <TotalTime>1</TotalTime>
  <Pages>8</Pages>
  <Words>2770</Words>
  <Characters>15582</Characters>
  <Application>Microsoft Office Word</Application>
  <DocSecurity>0</DocSecurity>
  <Lines>443</Lines>
  <Paragraphs>239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ECE/TRANS/WP.15/AC.1/2024/7</dc:title>
  <dc:subject/>
  <dc:creator>Ioulia Sergueevna GOUSSAROVA</dc:creator>
  <cp:keywords/>
  <cp:lastModifiedBy>Ioulia Goussarova</cp:lastModifiedBy>
  <cp:revision>3</cp:revision>
  <cp:lastPrinted>2024-01-23T17:01:00Z</cp:lastPrinted>
  <dcterms:created xsi:type="dcterms:W3CDTF">2024-01-23T17:01:00Z</dcterms:created>
  <dcterms:modified xsi:type="dcterms:W3CDTF">2024-01-23T17:02:00Z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