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C6B325B" w14:textId="77777777" w:rsidTr="00C97039">
        <w:trPr>
          <w:trHeight w:hRule="exact" w:val="851"/>
        </w:trPr>
        <w:tc>
          <w:tcPr>
            <w:tcW w:w="1276" w:type="dxa"/>
            <w:tcBorders>
              <w:bottom w:val="single" w:sz="4" w:space="0" w:color="auto"/>
            </w:tcBorders>
          </w:tcPr>
          <w:p w14:paraId="359D3BAB" w14:textId="77777777" w:rsidR="00F35BAF" w:rsidRPr="00DB58B5" w:rsidRDefault="00F35BAF" w:rsidP="00E96C3C"/>
        </w:tc>
        <w:tc>
          <w:tcPr>
            <w:tcW w:w="2268" w:type="dxa"/>
            <w:tcBorders>
              <w:bottom w:val="single" w:sz="4" w:space="0" w:color="auto"/>
            </w:tcBorders>
            <w:vAlign w:val="bottom"/>
          </w:tcPr>
          <w:p w14:paraId="6C06D16E"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C9D5FA5" w14:textId="7F163ED9" w:rsidR="00F35BAF" w:rsidRPr="00DB58B5" w:rsidRDefault="00E96C3C" w:rsidP="00E96C3C">
            <w:pPr>
              <w:jc w:val="right"/>
            </w:pPr>
            <w:r w:rsidRPr="00E96C3C">
              <w:rPr>
                <w:sz w:val="40"/>
              </w:rPr>
              <w:t>ECE</w:t>
            </w:r>
            <w:r>
              <w:t>/TRANS/WP.15/AC.1/2024/7</w:t>
            </w:r>
          </w:p>
        </w:tc>
      </w:tr>
      <w:tr w:rsidR="00F35BAF" w:rsidRPr="00DB58B5" w14:paraId="6E21F7C4" w14:textId="77777777" w:rsidTr="00C97039">
        <w:trPr>
          <w:trHeight w:hRule="exact" w:val="2835"/>
        </w:trPr>
        <w:tc>
          <w:tcPr>
            <w:tcW w:w="1276" w:type="dxa"/>
            <w:tcBorders>
              <w:top w:val="single" w:sz="4" w:space="0" w:color="auto"/>
              <w:bottom w:val="single" w:sz="12" w:space="0" w:color="auto"/>
            </w:tcBorders>
          </w:tcPr>
          <w:p w14:paraId="577798BC" w14:textId="77777777" w:rsidR="00F35BAF" w:rsidRPr="00DB58B5" w:rsidRDefault="00F35BAF" w:rsidP="00C97039">
            <w:pPr>
              <w:spacing w:before="120"/>
              <w:jc w:val="center"/>
            </w:pPr>
            <w:r>
              <w:rPr>
                <w:noProof/>
                <w:lang w:eastAsia="fr-CH"/>
              </w:rPr>
              <w:drawing>
                <wp:inline distT="0" distB="0" distL="0" distR="0" wp14:anchorId="4341E7E6" wp14:editId="526A4AE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22B4FAC"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E434FBD" w14:textId="77777777" w:rsidR="00F35BAF" w:rsidRDefault="00E96C3C" w:rsidP="00C97039">
            <w:pPr>
              <w:spacing w:before="240"/>
            </w:pPr>
            <w:r>
              <w:t>Distr. générale</w:t>
            </w:r>
          </w:p>
          <w:p w14:paraId="62185D6F" w14:textId="7EF7DC22" w:rsidR="00E96C3C" w:rsidRDefault="00E96C3C" w:rsidP="00E96C3C">
            <w:pPr>
              <w:spacing w:line="240" w:lineRule="exact"/>
            </w:pPr>
            <w:r>
              <w:t xml:space="preserve">18 </w:t>
            </w:r>
            <w:r w:rsidR="00C108A3">
              <w:t>décembre</w:t>
            </w:r>
            <w:r>
              <w:t xml:space="preserve"> 202</w:t>
            </w:r>
            <w:r w:rsidR="00C108A3">
              <w:t>3</w:t>
            </w:r>
          </w:p>
          <w:p w14:paraId="77EBA4FA" w14:textId="77777777" w:rsidR="00E96C3C" w:rsidRDefault="00E96C3C" w:rsidP="00E96C3C">
            <w:pPr>
              <w:spacing w:line="240" w:lineRule="exact"/>
            </w:pPr>
            <w:r>
              <w:t>Français</w:t>
            </w:r>
          </w:p>
          <w:p w14:paraId="729C381F" w14:textId="72B23E8D" w:rsidR="00E96C3C" w:rsidRPr="00DB58B5" w:rsidRDefault="00E96C3C" w:rsidP="00E96C3C">
            <w:pPr>
              <w:spacing w:line="240" w:lineRule="exact"/>
            </w:pPr>
            <w:r>
              <w:t>Original : anglais</w:t>
            </w:r>
          </w:p>
        </w:tc>
      </w:tr>
    </w:tbl>
    <w:p w14:paraId="282B19CF" w14:textId="5D766261" w:rsidR="007F20FA" w:rsidRPr="000312C0" w:rsidRDefault="007F20FA" w:rsidP="007F20FA">
      <w:pPr>
        <w:spacing w:before="120"/>
        <w:rPr>
          <w:b/>
          <w:sz w:val="28"/>
          <w:szCs w:val="28"/>
        </w:rPr>
      </w:pPr>
      <w:r w:rsidRPr="000312C0">
        <w:rPr>
          <w:b/>
          <w:sz w:val="28"/>
          <w:szCs w:val="28"/>
        </w:rPr>
        <w:t>Commission économique pour l</w:t>
      </w:r>
      <w:r w:rsidR="00C108A3">
        <w:rPr>
          <w:b/>
          <w:sz w:val="28"/>
          <w:szCs w:val="28"/>
        </w:rPr>
        <w:t>’</w:t>
      </w:r>
      <w:r w:rsidRPr="000312C0">
        <w:rPr>
          <w:b/>
          <w:sz w:val="28"/>
          <w:szCs w:val="28"/>
        </w:rPr>
        <w:t>Europe</w:t>
      </w:r>
    </w:p>
    <w:p w14:paraId="1889DA91" w14:textId="77777777" w:rsidR="007F20FA" w:rsidRDefault="007F20FA" w:rsidP="007F20FA">
      <w:pPr>
        <w:spacing w:before="120"/>
        <w:rPr>
          <w:sz w:val="28"/>
          <w:szCs w:val="28"/>
        </w:rPr>
      </w:pPr>
      <w:r w:rsidRPr="00685843">
        <w:rPr>
          <w:sz w:val="28"/>
          <w:szCs w:val="28"/>
        </w:rPr>
        <w:t>Comité des transports intérieurs</w:t>
      </w:r>
    </w:p>
    <w:p w14:paraId="0FF954F1" w14:textId="77777777" w:rsidR="00E96C3C" w:rsidRPr="009E01B8" w:rsidRDefault="00E96C3C" w:rsidP="00AF0CB5">
      <w:pPr>
        <w:spacing w:before="120"/>
        <w:rPr>
          <w:b/>
          <w:sz w:val="24"/>
          <w:szCs w:val="24"/>
        </w:rPr>
      </w:pPr>
      <w:r w:rsidRPr="009E01B8">
        <w:rPr>
          <w:b/>
          <w:sz w:val="24"/>
          <w:szCs w:val="24"/>
        </w:rPr>
        <w:t>Groupe de travail des transports de marchandises dangereuses</w:t>
      </w:r>
    </w:p>
    <w:p w14:paraId="6B3C667C" w14:textId="6B15D908" w:rsidR="00E96C3C" w:rsidRPr="00926E87" w:rsidRDefault="00E96C3C" w:rsidP="00AF0CB5">
      <w:pPr>
        <w:spacing w:before="120"/>
        <w:rPr>
          <w:b/>
        </w:rPr>
      </w:pPr>
      <w:r w:rsidRPr="00926E87">
        <w:rPr>
          <w:b/>
        </w:rPr>
        <w:t>Réunion commune de la Commission d</w:t>
      </w:r>
      <w:r w:rsidR="00C108A3">
        <w:rPr>
          <w:b/>
        </w:rPr>
        <w:t>’</w:t>
      </w:r>
      <w:r w:rsidRPr="00926E87">
        <w:rPr>
          <w:b/>
        </w:rPr>
        <w:t>experts du RID</w:t>
      </w:r>
      <w:r>
        <w:rPr>
          <w:b/>
        </w:rPr>
        <w:t xml:space="preserve"> </w:t>
      </w:r>
      <w:r w:rsidRPr="00926E87">
        <w:rPr>
          <w:b/>
        </w:rPr>
        <w:t>et</w:t>
      </w:r>
      <w:r>
        <w:rPr>
          <w:b/>
        </w:rPr>
        <w:br/>
      </w:r>
      <w:r w:rsidRPr="00926E87">
        <w:rPr>
          <w:b/>
        </w:rPr>
        <w:t>du Groupe de travail</w:t>
      </w:r>
      <w:r>
        <w:rPr>
          <w:b/>
        </w:rPr>
        <w:t xml:space="preserve"> </w:t>
      </w:r>
      <w:r w:rsidRPr="00926E87">
        <w:rPr>
          <w:b/>
        </w:rPr>
        <w:t>des transports de marchandises dangereuses</w:t>
      </w:r>
    </w:p>
    <w:p w14:paraId="07348116" w14:textId="3BCE2346" w:rsidR="00E96C3C" w:rsidRDefault="00E96C3C" w:rsidP="00AF0CB5">
      <w:pPr>
        <w:spacing w:before="120"/>
      </w:pPr>
      <w:r>
        <w:rPr>
          <w:lang w:val="fr-FR"/>
        </w:rPr>
        <w:t>Berne, 25-28 mars 2024</w:t>
      </w:r>
    </w:p>
    <w:p w14:paraId="0448DAF9" w14:textId="22C3FE6A" w:rsidR="00E96C3C" w:rsidRDefault="00E96C3C" w:rsidP="00AF0CB5">
      <w:r>
        <w:rPr>
          <w:lang w:val="fr-FR"/>
        </w:rPr>
        <w:t>Point 5 a) de l</w:t>
      </w:r>
      <w:r w:rsidR="00C108A3">
        <w:rPr>
          <w:lang w:val="fr-FR"/>
        </w:rPr>
        <w:t>’</w:t>
      </w:r>
      <w:r>
        <w:rPr>
          <w:lang w:val="fr-FR"/>
        </w:rPr>
        <w:t>ordre du jour provisoire</w:t>
      </w:r>
    </w:p>
    <w:p w14:paraId="69C74CC7" w14:textId="11C45EC6" w:rsidR="00E96C3C" w:rsidRPr="00E96C3C" w:rsidRDefault="00E96C3C" w:rsidP="00E96C3C">
      <w:pPr>
        <w:rPr>
          <w:b/>
          <w:bCs/>
        </w:rPr>
      </w:pPr>
      <w:r w:rsidRPr="00E96C3C">
        <w:rPr>
          <w:b/>
          <w:bCs/>
          <w:lang w:val="fr-FR"/>
        </w:rPr>
        <w:t>Propositions d</w:t>
      </w:r>
      <w:r w:rsidR="00C108A3">
        <w:rPr>
          <w:b/>
          <w:bCs/>
          <w:lang w:val="fr-FR"/>
        </w:rPr>
        <w:t>’</w:t>
      </w:r>
      <w:r w:rsidRPr="00E96C3C">
        <w:rPr>
          <w:b/>
          <w:bCs/>
          <w:lang w:val="fr-FR"/>
        </w:rPr>
        <w:t>amendements au RID, à l</w:t>
      </w:r>
      <w:r w:rsidR="00C108A3">
        <w:rPr>
          <w:b/>
          <w:bCs/>
          <w:lang w:val="fr-FR"/>
        </w:rPr>
        <w:t>’</w:t>
      </w:r>
      <w:r w:rsidRPr="00E96C3C">
        <w:rPr>
          <w:b/>
          <w:bCs/>
          <w:lang w:val="fr-FR"/>
        </w:rPr>
        <w:t>ADR et à l</w:t>
      </w:r>
      <w:r w:rsidR="00C108A3">
        <w:rPr>
          <w:b/>
          <w:bCs/>
          <w:lang w:val="fr-FR"/>
        </w:rPr>
        <w:t>’</w:t>
      </w:r>
      <w:r w:rsidRPr="00E96C3C">
        <w:rPr>
          <w:b/>
          <w:bCs/>
          <w:lang w:val="fr-FR"/>
        </w:rPr>
        <w:t>ADN</w:t>
      </w:r>
      <w:r>
        <w:rPr>
          <w:b/>
          <w:bCs/>
          <w:lang w:val="fr-FR"/>
        </w:rPr>
        <w:t> </w:t>
      </w:r>
      <w:r w:rsidRPr="00E96C3C">
        <w:rPr>
          <w:b/>
          <w:bCs/>
          <w:lang w:val="fr-FR"/>
        </w:rPr>
        <w:t>:</w:t>
      </w:r>
    </w:p>
    <w:p w14:paraId="1DD95133" w14:textId="77777777" w:rsidR="00E96C3C" w:rsidRPr="0085615D" w:rsidRDefault="00E96C3C" w:rsidP="00E96C3C">
      <w:r w:rsidRPr="00E96C3C">
        <w:rPr>
          <w:b/>
          <w:bCs/>
          <w:lang w:val="fr-FR"/>
        </w:rPr>
        <w:t>Questions en suspens</w:t>
      </w:r>
    </w:p>
    <w:p w14:paraId="350CE260" w14:textId="3C81BC30" w:rsidR="00E96C3C" w:rsidRPr="0085615D" w:rsidRDefault="00E96C3C" w:rsidP="00E96C3C">
      <w:pPr>
        <w:pStyle w:val="HChG"/>
      </w:pPr>
      <w:r>
        <w:rPr>
          <w:lang w:val="fr-FR"/>
        </w:rPr>
        <w:tab/>
      </w:r>
      <w:r>
        <w:rPr>
          <w:lang w:val="fr-FR"/>
        </w:rPr>
        <w:tab/>
        <w:t>Peintures et encres d</w:t>
      </w:r>
      <w:r w:rsidR="00C108A3">
        <w:rPr>
          <w:lang w:val="fr-FR"/>
        </w:rPr>
        <w:t>’</w:t>
      </w:r>
      <w:r>
        <w:rPr>
          <w:lang w:val="fr-FR"/>
        </w:rPr>
        <w:t>imprimerie classées comme des</w:t>
      </w:r>
      <w:r w:rsidR="00C108A3">
        <w:rPr>
          <w:lang w:val="fr-FR"/>
        </w:rPr>
        <w:t> </w:t>
      </w:r>
      <w:r>
        <w:rPr>
          <w:lang w:val="fr-FR"/>
        </w:rPr>
        <w:t>mélanges dangereux pour l</w:t>
      </w:r>
      <w:r w:rsidR="00C108A3">
        <w:rPr>
          <w:lang w:val="fr-FR"/>
        </w:rPr>
        <w:t>’</w:t>
      </w:r>
      <w:r>
        <w:rPr>
          <w:lang w:val="fr-FR"/>
        </w:rPr>
        <w:t xml:space="preserve">environnement sous </w:t>
      </w:r>
      <w:r w:rsidR="00C108A3">
        <w:rPr>
          <w:lang w:val="fr-FR"/>
        </w:rPr>
        <w:br/>
      </w:r>
      <w:r>
        <w:rPr>
          <w:lang w:val="fr-FR"/>
        </w:rPr>
        <w:t>le No ONU 3082 relevant de la classe 9, et prescriptions relatives aux épreuves concernant l</w:t>
      </w:r>
      <w:r w:rsidR="00C108A3">
        <w:rPr>
          <w:lang w:val="fr-FR"/>
        </w:rPr>
        <w:t>’</w:t>
      </w:r>
      <w:r>
        <w:rPr>
          <w:lang w:val="fr-FR"/>
        </w:rPr>
        <w:t xml:space="preserve">emballage </w:t>
      </w:r>
      <w:r w:rsidR="00C108A3">
        <w:rPr>
          <w:lang w:val="fr-FR"/>
        </w:rPr>
        <w:br/>
      </w:r>
      <w:r>
        <w:rPr>
          <w:lang w:val="fr-FR"/>
        </w:rPr>
        <w:t>de petites quantités</w:t>
      </w:r>
    </w:p>
    <w:p w14:paraId="4A555657" w14:textId="7553A845" w:rsidR="00E96C3C" w:rsidRPr="0085615D" w:rsidRDefault="00E96C3C" w:rsidP="00E96C3C">
      <w:pPr>
        <w:pStyle w:val="H1G"/>
      </w:pPr>
      <w:r>
        <w:rPr>
          <w:lang w:val="fr-FR"/>
        </w:rPr>
        <w:tab/>
      </w:r>
      <w:r>
        <w:rPr>
          <w:lang w:val="fr-FR"/>
        </w:rPr>
        <w:tab/>
        <w:t>Communication du Conseil européen de l</w:t>
      </w:r>
      <w:r w:rsidR="00C108A3">
        <w:rPr>
          <w:lang w:val="fr-FR"/>
        </w:rPr>
        <w:t>’</w:t>
      </w:r>
      <w:r>
        <w:rPr>
          <w:lang w:val="fr-FR"/>
        </w:rPr>
        <w:t>industrie des peintures, des</w:t>
      </w:r>
      <w:r w:rsidR="00565253">
        <w:rPr>
          <w:lang w:val="fr-FR"/>
        </w:rPr>
        <w:t> </w:t>
      </w:r>
      <w:r>
        <w:rPr>
          <w:lang w:val="fr-FR"/>
        </w:rPr>
        <w:t>encres d</w:t>
      </w:r>
      <w:r w:rsidR="00C108A3">
        <w:rPr>
          <w:lang w:val="fr-FR"/>
        </w:rPr>
        <w:t>’</w:t>
      </w:r>
      <w:r>
        <w:rPr>
          <w:lang w:val="fr-FR"/>
        </w:rPr>
        <w:t>imprimerie et des couleurs d</w:t>
      </w:r>
      <w:r w:rsidR="00C108A3">
        <w:rPr>
          <w:lang w:val="fr-FR"/>
        </w:rPr>
        <w:t>’</w:t>
      </w:r>
      <w:r>
        <w:rPr>
          <w:lang w:val="fr-FR"/>
        </w:rPr>
        <w:t>art (CEPE)</w:t>
      </w:r>
      <w:r w:rsidRPr="00E96C3C">
        <w:rPr>
          <w:rStyle w:val="Appelnotedebasdep"/>
          <w:b w:val="0"/>
          <w:bCs/>
          <w:sz w:val="20"/>
          <w:vertAlign w:val="baseline"/>
        </w:rPr>
        <w:footnoteReference w:customMarkFollows="1" w:id="2"/>
        <w:t>*</w:t>
      </w:r>
      <w:r w:rsidRPr="00E96C3C">
        <w:rPr>
          <w:b w:val="0"/>
          <w:bCs/>
          <w:sz w:val="20"/>
          <w:vertAlign w:val="superscript"/>
          <w:lang w:val="fr-FR"/>
        </w:rPr>
        <w:t>,</w:t>
      </w:r>
      <w:r>
        <w:rPr>
          <w:b w:val="0"/>
          <w:sz w:val="20"/>
          <w:lang w:val="fr-FR"/>
        </w:rPr>
        <w:t xml:space="preserve"> </w:t>
      </w:r>
      <w:r w:rsidRPr="00E96C3C">
        <w:rPr>
          <w:rStyle w:val="Appelnotedebasdep"/>
          <w:b w:val="0"/>
          <w:sz w:val="20"/>
          <w:vertAlign w:val="baseline"/>
        </w:rPr>
        <w:footnoteReference w:customMarkFollows="1" w:id="3"/>
        <w:t>**</w:t>
      </w:r>
    </w:p>
    <w:p w14:paraId="46DE1CCD" w14:textId="77777777" w:rsidR="00E96C3C" w:rsidRPr="0085615D" w:rsidRDefault="00E96C3C" w:rsidP="00E96C3C">
      <w:pPr>
        <w:pStyle w:val="HChG"/>
      </w:pPr>
      <w:r>
        <w:rPr>
          <w:lang w:val="fr-FR"/>
        </w:rPr>
        <w:tab/>
      </w:r>
      <w:r w:rsidRPr="002B147B">
        <w:rPr>
          <w:lang w:val="fr-FR"/>
        </w:rPr>
        <w:t>I.</w:t>
      </w:r>
      <w:r w:rsidRPr="002B147B">
        <w:rPr>
          <w:lang w:val="fr-FR"/>
        </w:rPr>
        <w:tab/>
        <w:t>Introduction</w:t>
      </w:r>
    </w:p>
    <w:p w14:paraId="5203AC1A" w14:textId="131F5188" w:rsidR="00E96C3C" w:rsidRPr="0085615D" w:rsidRDefault="00E96C3C" w:rsidP="00E96C3C">
      <w:pPr>
        <w:pStyle w:val="SingleTxtG"/>
      </w:pPr>
      <w:r>
        <w:rPr>
          <w:lang w:val="fr-FR"/>
        </w:rPr>
        <w:t>1.</w:t>
      </w:r>
      <w:r>
        <w:rPr>
          <w:lang w:val="fr-FR"/>
        </w:rPr>
        <w:tab/>
        <w:t>Pour faire suite à une proposition précédente du CEPE datant de septembre 2021 (document ECE/TRANS/WP.15/AC.1/2021/37 et documents informels INF.26 et INF.46 (CEPE), auxquels s</w:t>
      </w:r>
      <w:r w:rsidR="00C108A3">
        <w:rPr>
          <w:lang w:val="fr-FR"/>
        </w:rPr>
        <w:t>’</w:t>
      </w:r>
      <w:r>
        <w:rPr>
          <w:lang w:val="fr-FR"/>
        </w:rPr>
        <w:t>ajoute le document informel INF.37 soumis par la Norvège), il a été décidé d</w:t>
      </w:r>
      <w:r w:rsidR="00C108A3">
        <w:rPr>
          <w:lang w:val="fr-FR"/>
        </w:rPr>
        <w:t>’</w:t>
      </w:r>
      <w:r>
        <w:rPr>
          <w:lang w:val="fr-FR"/>
        </w:rPr>
        <w:t>inclure dans le</w:t>
      </w:r>
      <w:r w:rsidRPr="007A3592">
        <w:rPr>
          <w:lang w:val="fr-FR"/>
        </w:rPr>
        <w:t xml:space="preserve"> RID et l</w:t>
      </w:r>
      <w:r w:rsidR="00C108A3">
        <w:rPr>
          <w:lang w:val="fr-FR"/>
        </w:rPr>
        <w:t>’</w:t>
      </w:r>
      <w:r w:rsidRPr="007A3592">
        <w:rPr>
          <w:lang w:val="fr-FR"/>
        </w:rPr>
        <w:t xml:space="preserve">ADR </w:t>
      </w:r>
      <w:r>
        <w:rPr>
          <w:lang w:val="fr-FR"/>
        </w:rPr>
        <w:t>une mesure transitoire afin d</w:t>
      </w:r>
      <w:r w:rsidR="00C108A3">
        <w:rPr>
          <w:lang w:val="fr-FR"/>
        </w:rPr>
        <w:t>’</w:t>
      </w:r>
      <w:r>
        <w:rPr>
          <w:lang w:val="fr-FR"/>
        </w:rPr>
        <w:t>exempter les emballages de certaines peintures classées sous le No ONU 3082 des prescriptions relatives aux épreuves. L</w:t>
      </w:r>
      <w:r w:rsidR="00C108A3">
        <w:rPr>
          <w:lang w:val="fr-FR"/>
        </w:rPr>
        <w:t>’</w:t>
      </w:r>
      <w:r>
        <w:rPr>
          <w:lang w:val="fr-FR"/>
        </w:rPr>
        <w:t>Accord multilatéral M343 proposé par la Norvège a été adopté avec le soutien de plusieurs membres du Groupe de travail des transports de marchandises dangereuses (WP.15). Il est valable du 18 octobre 2021 au 30 juin 2023. Par la suite, le 1.6.1.51 a été ajouté à l</w:t>
      </w:r>
      <w:r w:rsidR="00C108A3">
        <w:rPr>
          <w:lang w:val="fr-FR"/>
        </w:rPr>
        <w:t>’</w:t>
      </w:r>
      <w:r>
        <w:rPr>
          <w:lang w:val="fr-FR"/>
        </w:rPr>
        <w:t>édition 2023 du RID et de l</w:t>
      </w:r>
      <w:r w:rsidR="00C108A3">
        <w:rPr>
          <w:lang w:val="fr-FR"/>
        </w:rPr>
        <w:t>’</w:t>
      </w:r>
      <w:r>
        <w:rPr>
          <w:lang w:val="fr-FR"/>
        </w:rPr>
        <w:t>ADR et demeure valable jusqu</w:t>
      </w:r>
      <w:r w:rsidR="00C108A3">
        <w:rPr>
          <w:lang w:val="fr-FR"/>
        </w:rPr>
        <w:t>’</w:t>
      </w:r>
      <w:r>
        <w:rPr>
          <w:lang w:val="fr-FR"/>
        </w:rPr>
        <w:t>au 30 juin 2025.</w:t>
      </w:r>
    </w:p>
    <w:p w14:paraId="71EE5428" w14:textId="41308855" w:rsidR="00E96C3C" w:rsidRPr="0085615D" w:rsidRDefault="00E96C3C" w:rsidP="00E96C3C">
      <w:pPr>
        <w:pStyle w:val="SingleTxtG"/>
      </w:pPr>
      <w:r>
        <w:rPr>
          <w:lang w:val="fr-FR"/>
        </w:rPr>
        <w:t>2.</w:t>
      </w:r>
      <w:r>
        <w:rPr>
          <w:lang w:val="fr-FR"/>
        </w:rPr>
        <w:tab/>
        <w:t>La mesure transitoire actuelle mentionne explicitement trois conservateurs dont le reclassement dans le cadre de la quinzième adaptation au progrès technique du règlement de l</w:t>
      </w:r>
      <w:r w:rsidR="00C108A3">
        <w:rPr>
          <w:lang w:val="fr-FR"/>
        </w:rPr>
        <w:t>’</w:t>
      </w:r>
      <w:r>
        <w:rPr>
          <w:lang w:val="fr-FR"/>
        </w:rPr>
        <w:t>Union européenne (UE) relatif à la classification, à l</w:t>
      </w:r>
      <w:r w:rsidR="00C108A3">
        <w:rPr>
          <w:lang w:val="fr-FR"/>
        </w:rPr>
        <w:t>’</w:t>
      </w:r>
      <w:r>
        <w:rPr>
          <w:lang w:val="fr-FR"/>
        </w:rPr>
        <w:t>étiquetage et à l</w:t>
      </w:r>
      <w:r w:rsidR="00C108A3">
        <w:rPr>
          <w:lang w:val="fr-FR"/>
        </w:rPr>
        <w:t>’</w:t>
      </w:r>
      <w:r>
        <w:rPr>
          <w:lang w:val="fr-FR"/>
        </w:rPr>
        <w:t>emballage des substances et des mélanges (règlement CLP) (date d</w:t>
      </w:r>
      <w:r w:rsidR="00C108A3">
        <w:rPr>
          <w:lang w:val="fr-FR"/>
        </w:rPr>
        <w:t>’</w:t>
      </w:r>
      <w:r>
        <w:rPr>
          <w:lang w:val="fr-FR"/>
        </w:rPr>
        <w:t>application</w:t>
      </w:r>
      <w:r w:rsidR="00C108A3">
        <w:rPr>
          <w:lang w:val="fr-FR"/>
        </w:rPr>
        <w:t> </w:t>
      </w:r>
      <w:r>
        <w:rPr>
          <w:lang w:val="fr-FR"/>
        </w:rPr>
        <w:t>: 1</w:t>
      </w:r>
      <w:r w:rsidRPr="00FB7AA0">
        <w:rPr>
          <w:vertAlign w:val="superscript"/>
          <w:lang w:val="fr-FR"/>
        </w:rPr>
        <w:t>er</w:t>
      </w:r>
      <w:r>
        <w:rPr>
          <w:lang w:val="fr-FR"/>
        </w:rPr>
        <w:t xml:space="preserve"> mars 2022) a conduit à la désignation de certaines peintures et encres d</w:t>
      </w:r>
      <w:r w:rsidR="00C108A3">
        <w:rPr>
          <w:lang w:val="fr-FR"/>
        </w:rPr>
        <w:t>’</w:t>
      </w:r>
      <w:r>
        <w:rPr>
          <w:lang w:val="fr-FR"/>
        </w:rPr>
        <w:t>imprimerie à l</w:t>
      </w:r>
      <w:r w:rsidR="00C108A3">
        <w:rPr>
          <w:lang w:val="fr-FR"/>
        </w:rPr>
        <w:t>’</w:t>
      </w:r>
      <w:r>
        <w:rPr>
          <w:lang w:val="fr-FR"/>
        </w:rPr>
        <w:t>eau en tant que mélanges dangereux pour l</w:t>
      </w:r>
      <w:r w:rsidR="00C108A3">
        <w:rPr>
          <w:lang w:val="fr-FR"/>
        </w:rPr>
        <w:t>’</w:t>
      </w:r>
      <w:r>
        <w:rPr>
          <w:lang w:val="fr-FR"/>
        </w:rPr>
        <w:t xml:space="preserve">environnement de la classe 9 (principalement en raison des « facteurs M » élevés attribués à ces matières). Les conservateurs sont essentiels au bon fonctionnement et </w:t>
      </w:r>
      <w:r>
        <w:rPr>
          <w:lang w:val="fr-FR"/>
        </w:rPr>
        <w:lastRenderedPageBreak/>
        <w:t>à la stabilisation des peintures et des encres d</w:t>
      </w:r>
      <w:r w:rsidR="00C108A3">
        <w:rPr>
          <w:lang w:val="fr-FR"/>
        </w:rPr>
        <w:t>’</w:t>
      </w:r>
      <w:r>
        <w:rPr>
          <w:lang w:val="fr-FR"/>
        </w:rPr>
        <w:t>imprimerie, et permettent notamment d</w:t>
      </w:r>
      <w:r w:rsidR="00C108A3">
        <w:rPr>
          <w:lang w:val="fr-FR"/>
        </w:rPr>
        <w:t>’</w:t>
      </w:r>
      <w:r>
        <w:rPr>
          <w:lang w:val="fr-FR"/>
        </w:rPr>
        <w:t>éviter que le produit soit contaminé ou qu</w:t>
      </w:r>
      <w:r w:rsidR="00C108A3">
        <w:rPr>
          <w:lang w:val="fr-FR"/>
        </w:rPr>
        <w:t>’</w:t>
      </w:r>
      <w:r>
        <w:rPr>
          <w:lang w:val="fr-FR"/>
        </w:rPr>
        <w:t>il soit altéré pendant le stockage. Il est très difficile, voire impossible, de remplacer ces conservateurs, car l</w:t>
      </w:r>
      <w:r w:rsidR="00C108A3">
        <w:rPr>
          <w:lang w:val="fr-FR"/>
        </w:rPr>
        <w:t>’</w:t>
      </w:r>
      <w:r>
        <w:rPr>
          <w:lang w:val="fr-FR"/>
        </w:rPr>
        <w:t>industrie ne parvient pas à trouver d</w:t>
      </w:r>
      <w:r w:rsidR="00C108A3">
        <w:rPr>
          <w:lang w:val="fr-FR"/>
        </w:rPr>
        <w:t>’</w:t>
      </w:r>
      <w:r>
        <w:rPr>
          <w:lang w:val="fr-FR"/>
        </w:rPr>
        <w:t>autres produits ayant les mêmes performances techniques. Il est maintenant prévu de (re)classer d</w:t>
      </w:r>
      <w:r w:rsidR="00C108A3">
        <w:rPr>
          <w:lang w:val="fr-FR"/>
        </w:rPr>
        <w:t>’</w:t>
      </w:r>
      <w:r>
        <w:rPr>
          <w:lang w:val="fr-FR"/>
        </w:rPr>
        <w:t>autres matières hautement toxiques au titre du CLP, ce qui aura pour effet que de nouveaux mélanges seront affectés à la classe 9 même s</w:t>
      </w:r>
      <w:r w:rsidR="00C108A3">
        <w:rPr>
          <w:lang w:val="fr-FR"/>
        </w:rPr>
        <w:t>’</w:t>
      </w:r>
      <w:r>
        <w:rPr>
          <w:lang w:val="fr-FR"/>
        </w:rPr>
        <w:t>ils contiennent de très faibles niveaux (inférieurs à 0,025</w:t>
      </w:r>
      <w:r w:rsidR="00297855">
        <w:rPr>
          <w:lang w:val="fr-FR"/>
        </w:rPr>
        <w:t> </w:t>
      </w:r>
      <w:r>
        <w:rPr>
          <w:lang w:val="fr-FR"/>
        </w:rPr>
        <w:t>% par exemple) des matières en question. Cela est dû aux facteurs M qui sont pris en compte pour les classifications de danger, notamment pour les conservateurs (voir l</w:t>
      </w:r>
      <w:r w:rsidR="00C108A3">
        <w:rPr>
          <w:lang w:val="fr-FR"/>
        </w:rPr>
        <w:t>’</w:t>
      </w:r>
      <w:r>
        <w:rPr>
          <w:lang w:val="fr-FR"/>
        </w:rPr>
        <w:t>annexe pour en savoir plus sur les facteurs M).</w:t>
      </w:r>
    </w:p>
    <w:p w14:paraId="5F1F8641" w14:textId="3CA0ECD5" w:rsidR="00E96C3C" w:rsidRPr="0085615D" w:rsidRDefault="00E96C3C" w:rsidP="00E96C3C">
      <w:pPr>
        <w:pStyle w:val="SingleTxtG"/>
      </w:pPr>
      <w:r>
        <w:rPr>
          <w:lang w:val="fr-FR"/>
        </w:rPr>
        <w:t>3.</w:t>
      </w:r>
      <w:r>
        <w:rPr>
          <w:lang w:val="fr-FR"/>
        </w:rPr>
        <w:tab/>
        <w:t>Le fait qu</w:t>
      </w:r>
      <w:r w:rsidR="00C108A3">
        <w:rPr>
          <w:lang w:val="fr-FR"/>
        </w:rPr>
        <w:t>’</w:t>
      </w:r>
      <w:r>
        <w:rPr>
          <w:lang w:val="fr-FR"/>
        </w:rPr>
        <w:t>il n</w:t>
      </w:r>
      <w:r w:rsidR="00C108A3">
        <w:rPr>
          <w:lang w:val="fr-FR"/>
        </w:rPr>
        <w:t>’</w:t>
      </w:r>
      <w:r>
        <w:rPr>
          <w:lang w:val="fr-FR"/>
        </w:rPr>
        <w:t>existe toujours pas d</w:t>
      </w:r>
      <w:r w:rsidR="00C108A3">
        <w:rPr>
          <w:lang w:val="fr-FR"/>
        </w:rPr>
        <w:t>’</w:t>
      </w:r>
      <w:r>
        <w:rPr>
          <w:lang w:val="fr-FR"/>
        </w:rPr>
        <w:t>emballages en plastique approuvés par l</w:t>
      </w:r>
      <w:r w:rsidR="00C108A3">
        <w:rPr>
          <w:lang w:val="fr-FR"/>
        </w:rPr>
        <w:t>’</w:t>
      </w:r>
      <w:r>
        <w:rPr>
          <w:lang w:val="fr-FR"/>
        </w:rPr>
        <w:t>ONU pour le transport de ces peintures et encres d</w:t>
      </w:r>
      <w:r w:rsidR="00C108A3">
        <w:rPr>
          <w:lang w:val="fr-FR"/>
        </w:rPr>
        <w:t>’</w:t>
      </w:r>
      <w:r>
        <w:rPr>
          <w:lang w:val="fr-FR"/>
        </w:rPr>
        <w:t>imprimerie à l</w:t>
      </w:r>
      <w:r w:rsidR="00C108A3">
        <w:rPr>
          <w:lang w:val="fr-FR"/>
        </w:rPr>
        <w:t>’</w:t>
      </w:r>
      <w:r>
        <w:rPr>
          <w:lang w:val="fr-FR"/>
        </w:rPr>
        <w:t>eau en quantités comprises entre 5 et 30 litres est un véritable problème pour le secteur des peintures et des encres d</w:t>
      </w:r>
      <w:r w:rsidR="00C108A3">
        <w:rPr>
          <w:lang w:val="fr-FR"/>
        </w:rPr>
        <w:t>’</w:t>
      </w:r>
      <w:r>
        <w:rPr>
          <w:lang w:val="fr-FR"/>
        </w:rPr>
        <w:t>imprimerie dans le monde. L</w:t>
      </w:r>
      <w:r w:rsidR="00C108A3">
        <w:rPr>
          <w:lang w:val="fr-FR"/>
        </w:rPr>
        <w:t>’</w:t>
      </w:r>
      <w:r w:rsidRPr="009D5281">
        <w:rPr>
          <w:lang w:val="fr-FR"/>
        </w:rPr>
        <w:t xml:space="preserve">emballage de ces produits </w:t>
      </w:r>
      <w:r>
        <w:rPr>
          <w:lang w:val="fr-FR"/>
        </w:rPr>
        <w:t>doit répondre à certaines exigences essentielles : il doit notamment pouvoir être ouvert et refermé en toute sécurité à plusieurs reprises, afin de permettre la mise à la teinte des peintures à l</w:t>
      </w:r>
      <w:r w:rsidR="00C108A3">
        <w:rPr>
          <w:lang w:val="fr-FR"/>
        </w:rPr>
        <w:t>’</w:t>
      </w:r>
      <w:r>
        <w:rPr>
          <w:lang w:val="fr-FR"/>
        </w:rPr>
        <w:t>eau dans les points de vente (tels que les magasins de bricolage) ainsi que l</w:t>
      </w:r>
      <w:r w:rsidR="00C108A3">
        <w:rPr>
          <w:lang w:val="fr-FR"/>
        </w:rPr>
        <w:t>’</w:t>
      </w:r>
      <w:r>
        <w:rPr>
          <w:lang w:val="fr-FR"/>
        </w:rPr>
        <w:t>utilisation répétée des concentrés d</w:t>
      </w:r>
      <w:r w:rsidR="00C108A3">
        <w:rPr>
          <w:lang w:val="fr-FR"/>
        </w:rPr>
        <w:t>’</w:t>
      </w:r>
      <w:r>
        <w:rPr>
          <w:lang w:val="fr-FR"/>
        </w:rPr>
        <w:t>encre lors de la préparation d</w:t>
      </w:r>
      <w:r w:rsidR="00C108A3">
        <w:rPr>
          <w:lang w:val="fr-FR"/>
        </w:rPr>
        <w:t>’</w:t>
      </w:r>
      <w:r>
        <w:rPr>
          <w:lang w:val="fr-FR"/>
        </w:rPr>
        <w:t>encres finies de couleur assortie pour les imprimeries. En outre, certains types de peinture et d</w:t>
      </w:r>
      <w:r w:rsidR="00C108A3">
        <w:rPr>
          <w:lang w:val="fr-FR"/>
        </w:rPr>
        <w:t>’</w:t>
      </w:r>
      <w:r>
        <w:rPr>
          <w:lang w:val="fr-FR"/>
        </w:rPr>
        <w:t>encre ne peuvent être placés dans des emballages en métal car cela risquerait de provoquer une réaction et d</w:t>
      </w:r>
      <w:r w:rsidR="00C108A3">
        <w:rPr>
          <w:lang w:val="fr-FR"/>
        </w:rPr>
        <w:t>’</w:t>
      </w:r>
      <w:r>
        <w:rPr>
          <w:lang w:val="fr-FR"/>
        </w:rPr>
        <w:t>entraîner une décoloration ou une altération plus grave du produit, voire sa décomposition (et créer une situation dangereuse).</w:t>
      </w:r>
    </w:p>
    <w:p w14:paraId="576E520A" w14:textId="5207BE6F" w:rsidR="00E96C3C" w:rsidRPr="001E17CD" w:rsidRDefault="00E96C3C" w:rsidP="00E96C3C">
      <w:pPr>
        <w:pStyle w:val="SingleTxtG"/>
      </w:pPr>
      <w:r>
        <w:rPr>
          <w:lang w:val="fr-FR"/>
        </w:rPr>
        <w:t>4.</w:t>
      </w:r>
      <w:r>
        <w:rPr>
          <w:lang w:val="fr-FR"/>
        </w:rPr>
        <w:tab/>
        <w:t>Le CEPE demande une modification de la mesure transitoire actuelle du RID et de l</w:t>
      </w:r>
      <w:r w:rsidR="00C108A3">
        <w:rPr>
          <w:lang w:val="fr-FR"/>
        </w:rPr>
        <w:t>’</w:t>
      </w:r>
      <w:r>
        <w:rPr>
          <w:lang w:val="fr-FR"/>
        </w:rPr>
        <w:t>ADR et son extension pour faire face à une situation qui reste difficile, en raison de l</w:t>
      </w:r>
      <w:r w:rsidR="00C108A3">
        <w:rPr>
          <w:lang w:val="fr-FR"/>
        </w:rPr>
        <w:t>’</w:t>
      </w:r>
      <w:r>
        <w:rPr>
          <w:lang w:val="fr-FR"/>
        </w:rPr>
        <w:t>absence d</w:t>
      </w:r>
      <w:r w:rsidR="00C108A3">
        <w:rPr>
          <w:lang w:val="fr-FR"/>
        </w:rPr>
        <w:t>’</w:t>
      </w:r>
      <w:r>
        <w:rPr>
          <w:lang w:val="fr-FR"/>
        </w:rPr>
        <w:t>emballages en plastique appropriés approuvés par l</w:t>
      </w:r>
      <w:r w:rsidR="00C108A3">
        <w:rPr>
          <w:lang w:val="fr-FR"/>
        </w:rPr>
        <w:t>’</w:t>
      </w:r>
      <w:r>
        <w:rPr>
          <w:lang w:val="fr-FR"/>
        </w:rPr>
        <w:t xml:space="preserve">ONU et des (re)classements </w:t>
      </w:r>
      <w:r w:rsidRPr="001E17CD">
        <w:rPr>
          <w:lang w:val="fr-FR"/>
        </w:rPr>
        <w:t>harmonisés d</w:t>
      </w:r>
      <w:r w:rsidR="00C108A3" w:rsidRPr="001E17CD">
        <w:rPr>
          <w:lang w:val="fr-FR"/>
        </w:rPr>
        <w:t>’</w:t>
      </w:r>
      <w:r w:rsidRPr="001E17CD">
        <w:rPr>
          <w:lang w:val="fr-FR"/>
        </w:rPr>
        <w:t>autres matières qui s</w:t>
      </w:r>
      <w:r w:rsidR="00C108A3" w:rsidRPr="001E17CD">
        <w:rPr>
          <w:lang w:val="fr-FR"/>
        </w:rPr>
        <w:t>’</w:t>
      </w:r>
      <w:r w:rsidRPr="001E17CD">
        <w:rPr>
          <w:lang w:val="fr-FR"/>
        </w:rPr>
        <w:t>annoncent dans le cadre de la législation CLP.</w:t>
      </w:r>
    </w:p>
    <w:p w14:paraId="3E4E2F16" w14:textId="3F71B8ED" w:rsidR="00E96C3C" w:rsidRPr="004C0286" w:rsidRDefault="00E96C3C" w:rsidP="00E96C3C">
      <w:pPr>
        <w:pStyle w:val="SingleTxtG"/>
        <w:rPr>
          <w:spacing w:val="-2"/>
        </w:rPr>
      </w:pPr>
      <w:r w:rsidRPr="001E17CD">
        <w:rPr>
          <w:spacing w:val="-2"/>
          <w:lang w:val="fr-FR"/>
        </w:rPr>
        <w:t>5.</w:t>
      </w:r>
      <w:r w:rsidRPr="001E17CD">
        <w:rPr>
          <w:spacing w:val="-2"/>
          <w:lang w:val="fr-FR"/>
        </w:rPr>
        <w:tab/>
        <w:t>L</w:t>
      </w:r>
      <w:r w:rsidR="001E17CD" w:rsidRPr="001E17CD">
        <w:rPr>
          <w:spacing w:val="-2"/>
          <w:lang w:val="fr-FR"/>
        </w:rPr>
        <w:t>e</w:t>
      </w:r>
      <w:r w:rsidRPr="001E17CD">
        <w:rPr>
          <w:spacing w:val="-2"/>
          <w:lang w:val="fr-FR"/>
        </w:rPr>
        <w:t xml:space="preserve"> CEPE</w:t>
      </w:r>
      <w:r w:rsidRPr="004C0286">
        <w:rPr>
          <w:spacing w:val="-2"/>
          <w:lang w:val="fr-FR"/>
        </w:rPr>
        <w:t xml:space="preserve"> souhaite également que les décisions prises au titre du RID et de l</w:t>
      </w:r>
      <w:r w:rsidR="00C108A3" w:rsidRPr="004C0286">
        <w:rPr>
          <w:spacing w:val="-2"/>
          <w:lang w:val="fr-FR"/>
        </w:rPr>
        <w:t>’</w:t>
      </w:r>
      <w:r w:rsidRPr="004C0286">
        <w:rPr>
          <w:spacing w:val="-2"/>
          <w:lang w:val="fr-FR"/>
        </w:rPr>
        <w:t>ADR aillent dans le même sens que les travaux du Sous-Comité d</w:t>
      </w:r>
      <w:r w:rsidR="00C108A3" w:rsidRPr="004C0286">
        <w:rPr>
          <w:spacing w:val="-2"/>
          <w:lang w:val="fr-FR"/>
        </w:rPr>
        <w:t>’</w:t>
      </w:r>
      <w:r w:rsidRPr="004C0286">
        <w:rPr>
          <w:spacing w:val="-2"/>
          <w:lang w:val="fr-FR"/>
        </w:rPr>
        <w:t>experts du transport des marchandises dangereuses (TMD). Le World Coatings Council (WCC) s</w:t>
      </w:r>
      <w:r w:rsidR="00C108A3" w:rsidRPr="004C0286">
        <w:rPr>
          <w:spacing w:val="-2"/>
          <w:lang w:val="fr-FR"/>
        </w:rPr>
        <w:t>’</w:t>
      </w:r>
      <w:r w:rsidRPr="004C0286">
        <w:rPr>
          <w:spacing w:val="-2"/>
          <w:lang w:val="fr-FR"/>
        </w:rPr>
        <w:t>est efforcé de résoudre le même problème en soumettant une série de propositions lors des quatre dernières sessions du Sous</w:t>
      </w:r>
      <w:r w:rsidR="004C0286">
        <w:rPr>
          <w:spacing w:val="-2"/>
          <w:lang w:val="fr-FR"/>
        </w:rPr>
        <w:noBreakHyphen/>
      </w:r>
      <w:r w:rsidRPr="004C0286">
        <w:rPr>
          <w:spacing w:val="-2"/>
          <w:lang w:val="fr-FR"/>
        </w:rPr>
        <w:t>Comité (documents ST/SG/AC.10/C.3/2022/22 et ST/SG/AC.10/C.3/2022/56, et documents informels INF.11 de la soixante-deuxième session et INF.15 de la soixante</w:t>
      </w:r>
      <w:r w:rsidR="004C0286">
        <w:rPr>
          <w:spacing w:val="-2"/>
          <w:lang w:val="fr-FR"/>
        </w:rPr>
        <w:noBreakHyphen/>
      </w:r>
      <w:r w:rsidRPr="004C0286">
        <w:rPr>
          <w:spacing w:val="-2"/>
          <w:lang w:val="fr-FR"/>
        </w:rPr>
        <w:t>troisième session).</w:t>
      </w:r>
    </w:p>
    <w:p w14:paraId="58713695" w14:textId="77777777" w:rsidR="00E96C3C" w:rsidRPr="0085615D" w:rsidRDefault="00E96C3C" w:rsidP="00E96C3C">
      <w:pPr>
        <w:pStyle w:val="HChG"/>
      </w:pPr>
      <w:r>
        <w:rPr>
          <w:lang w:val="fr-FR"/>
        </w:rPr>
        <w:tab/>
        <w:t>II.</w:t>
      </w:r>
      <w:r>
        <w:rPr>
          <w:lang w:val="fr-FR"/>
        </w:rPr>
        <w:tab/>
        <w:t>Proposition</w:t>
      </w:r>
    </w:p>
    <w:p w14:paraId="0A47D8EF" w14:textId="75F08DC4" w:rsidR="00E96C3C" w:rsidRPr="0085615D" w:rsidRDefault="00E96C3C" w:rsidP="00E96C3C">
      <w:pPr>
        <w:pStyle w:val="SingleTxtG"/>
      </w:pPr>
      <w:r>
        <w:rPr>
          <w:lang w:val="fr-FR"/>
        </w:rPr>
        <w:t>6.</w:t>
      </w:r>
      <w:r>
        <w:rPr>
          <w:lang w:val="fr-FR"/>
        </w:rPr>
        <w:tab/>
        <w:t xml:space="preserve">Modifier le </w:t>
      </w:r>
      <w:r w:rsidRPr="0073659A">
        <w:rPr>
          <w:lang w:val="fr-FR"/>
        </w:rPr>
        <w:t>1.6.1.51</w:t>
      </w:r>
      <w:r>
        <w:rPr>
          <w:lang w:val="fr-FR"/>
        </w:rPr>
        <w:t xml:space="preserve"> comme suit (les modifications figurent en </w:t>
      </w:r>
      <w:r w:rsidRPr="001E17CD">
        <w:rPr>
          <w:lang w:val="fr-FR"/>
        </w:rPr>
        <w:t>caractères soulignés</w:t>
      </w:r>
      <w:r>
        <w:rPr>
          <w:lang w:val="fr-FR"/>
        </w:rPr>
        <w:t xml:space="preserve"> pour les ajouts et biffés pour les suppressions)</w:t>
      </w:r>
      <w:r w:rsidR="00C108A3">
        <w:rPr>
          <w:lang w:val="fr-FR"/>
        </w:rPr>
        <w:t> </w:t>
      </w:r>
      <w:r>
        <w:rPr>
          <w:lang w:val="fr-FR"/>
        </w:rPr>
        <w:t>:</w:t>
      </w:r>
    </w:p>
    <w:p w14:paraId="015A0465" w14:textId="33D29B2E" w:rsidR="00E96C3C" w:rsidRPr="0085615D" w:rsidRDefault="00E96C3C" w:rsidP="00E96C3C">
      <w:pPr>
        <w:pStyle w:val="SingleTxtG"/>
        <w:ind w:left="2268" w:hanging="1134"/>
        <w:rPr>
          <w:strike/>
        </w:rPr>
      </w:pPr>
      <w:r>
        <w:rPr>
          <w:lang w:val="fr-FR"/>
        </w:rPr>
        <w:t>« 1.6.1.51</w:t>
      </w:r>
      <w:r>
        <w:rPr>
          <w:lang w:val="fr-FR"/>
        </w:rPr>
        <w:tab/>
        <w:t>Les adhésifs, peintures et matières apparentées aux peintures, encres d</w:t>
      </w:r>
      <w:r w:rsidR="00C108A3">
        <w:rPr>
          <w:lang w:val="fr-FR"/>
        </w:rPr>
        <w:t>’</w:t>
      </w:r>
      <w:r>
        <w:rPr>
          <w:lang w:val="fr-FR"/>
        </w:rPr>
        <w:t>imprimerie et matières apparentées aux encres d</w:t>
      </w:r>
      <w:r w:rsidR="00C108A3">
        <w:rPr>
          <w:lang w:val="fr-FR"/>
        </w:rPr>
        <w:t>’</w:t>
      </w:r>
      <w:r>
        <w:rPr>
          <w:lang w:val="fr-FR"/>
        </w:rPr>
        <w:t>imprimerie et les résines en solution affectées au No ONU 3082 matière dangereuse du point de vue de l</w:t>
      </w:r>
      <w:r w:rsidR="00C108A3">
        <w:rPr>
          <w:lang w:val="fr-FR"/>
        </w:rPr>
        <w:t>’</w:t>
      </w:r>
      <w:r>
        <w:rPr>
          <w:lang w:val="fr-FR"/>
        </w:rPr>
        <w:t>environnement, liquide, N.S.A., groupe d</w:t>
      </w:r>
      <w:r w:rsidR="00C108A3">
        <w:rPr>
          <w:lang w:val="fr-FR"/>
        </w:rPr>
        <w:t>’</w:t>
      </w:r>
      <w:r>
        <w:rPr>
          <w:lang w:val="fr-FR"/>
        </w:rPr>
        <w:t xml:space="preserve">emballage III, conformément au 2.2.9.1.10.6 en conséquence des </w:t>
      </w:r>
      <w:r>
        <w:rPr>
          <w:u w:val="single"/>
          <w:lang w:val="fr-FR"/>
        </w:rPr>
        <w:t xml:space="preserve">adaptations </w:t>
      </w:r>
      <w:r w:rsidRPr="001E17CD">
        <w:rPr>
          <w:u w:val="single"/>
          <w:lang w:val="fr-FR"/>
        </w:rPr>
        <w:t>au progrès technique actuelles et futures du règlement (CE) n</w:t>
      </w:r>
      <w:r w:rsidRPr="001E17CD">
        <w:rPr>
          <w:u w:val="single"/>
          <w:vertAlign w:val="superscript"/>
          <w:lang w:val="fr-FR"/>
        </w:rPr>
        <w:t>o</w:t>
      </w:r>
      <w:r w:rsidR="004C0286" w:rsidRPr="001E17CD">
        <w:rPr>
          <w:u w:val="single"/>
          <w:lang w:val="fr-FR"/>
        </w:rPr>
        <w:t> </w:t>
      </w:r>
      <w:r w:rsidRPr="001E17CD">
        <w:rPr>
          <w:u w:val="single"/>
          <w:lang w:val="fr-FR"/>
        </w:rPr>
        <w:t>1272/2008 relatif à la classification, à l</w:t>
      </w:r>
      <w:r w:rsidR="00C108A3" w:rsidRPr="001E17CD">
        <w:rPr>
          <w:u w:val="single"/>
          <w:lang w:val="fr-FR"/>
        </w:rPr>
        <w:t>’</w:t>
      </w:r>
      <w:r w:rsidRPr="001E17CD">
        <w:rPr>
          <w:u w:val="single"/>
          <w:lang w:val="fr-FR"/>
        </w:rPr>
        <w:t>étiquetage et à l</w:t>
      </w:r>
      <w:r w:rsidR="00C108A3" w:rsidRPr="001E17CD">
        <w:rPr>
          <w:u w:val="single"/>
          <w:lang w:val="fr-FR"/>
        </w:rPr>
        <w:t>’</w:t>
      </w:r>
      <w:r w:rsidRPr="001E17CD">
        <w:rPr>
          <w:u w:val="single"/>
          <w:lang w:val="fr-FR"/>
        </w:rPr>
        <w:t xml:space="preserve">emballage des substances et des mélanges </w:t>
      </w:r>
      <w:r w:rsidRPr="001E17CD">
        <w:rPr>
          <w:strike/>
          <w:lang w:val="fr-FR"/>
        </w:rPr>
        <w:t>du 2.2.9.1.10.5</w:t>
      </w:r>
      <w:r w:rsidRPr="001E17CD">
        <w:rPr>
          <w:lang w:val="fr-FR"/>
        </w:rPr>
        <w:t xml:space="preserve">, contenant </w:t>
      </w:r>
      <w:r w:rsidRPr="001E17CD">
        <w:rPr>
          <w:strike/>
          <w:lang w:val="fr-FR"/>
        </w:rPr>
        <w:t>0,025 % ou plus</w:t>
      </w:r>
      <w:r w:rsidRPr="001E17CD">
        <w:rPr>
          <w:lang w:val="fr-FR"/>
        </w:rPr>
        <w:t xml:space="preserve"> </w:t>
      </w:r>
      <w:r w:rsidRPr="001E17CD">
        <w:rPr>
          <w:u w:val="single"/>
          <w:lang w:val="fr-FR"/>
        </w:rPr>
        <w:t>jusqu</w:t>
      </w:r>
      <w:r w:rsidR="00C108A3" w:rsidRPr="001E17CD">
        <w:rPr>
          <w:u w:val="single"/>
          <w:lang w:val="fr-FR"/>
        </w:rPr>
        <w:t>’</w:t>
      </w:r>
      <w:r w:rsidRPr="001E17CD">
        <w:rPr>
          <w:u w:val="single"/>
          <w:lang w:val="fr-FR"/>
        </w:rPr>
        <w:t>à 1</w:t>
      </w:r>
      <w:r w:rsidR="004C0286" w:rsidRPr="001E17CD">
        <w:rPr>
          <w:u w:val="single"/>
          <w:lang w:val="fr-FR"/>
        </w:rPr>
        <w:t> </w:t>
      </w:r>
      <w:r w:rsidRPr="001E17CD">
        <w:rPr>
          <w:u w:val="single"/>
          <w:lang w:val="fr-FR"/>
        </w:rPr>
        <w:t>% de matières hautement toxiques</w:t>
      </w:r>
      <w:r>
        <w:rPr>
          <w:u w:val="single"/>
          <w:lang w:val="fr-FR"/>
        </w:rPr>
        <w:t xml:space="preserve"> dont le facteur M est supérieur à 1</w:t>
      </w:r>
      <w:r>
        <w:rPr>
          <w:lang w:val="fr-FR"/>
        </w:rPr>
        <w:t xml:space="preserve"> </w:t>
      </w:r>
      <w:r>
        <w:rPr>
          <w:strike/>
          <w:lang w:val="fr-FR"/>
        </w:rPr>
        <w:t>des substances suivantes, seules ou en combinaison</w:t>
      </w:r>
      <w:r w:rsidR="00C108A3">
        <w:rPr>
          <w:strike/>
          <w:lang w:val="fr-FR"/>
        </w:rPr>
        <w:t> </w:t>
      </w:r>
      <w:r>
        <w:rPr>
          <w:strike/>
          <w:lang w:val="fr-FR"/>
        </w:rPr>
        <w:t>:</w:t>
      </w:r>
    </w:p>
    <w:p w14:paraId="18E82A87" w14:textId="2170E798" w:rsidR="00E96C3C" w:rsidRPr="00E96C3C" w:rsidRDefault="00E96C3C" w:rsidP="00E96C3C">
      <w:pPr>
        <w:pStyle w:val="SingleTxtG"/>
        <w:ind w:left="2268"/>
        <w:rPr>
          <w:strike/>
          <w:lang w:val="en-US"/>
        </w:rPr>
      </w:pPr>
      <w:r w:rsidRPr="00E96C3C">
        <w:rPr>
          <w:strike/>
          <w:lang w:val="en-US"/>
        </w:rPr>
        <w:t>- 4,5-dichloro-2-octyl-2H-isothiazole-3-one (DCOIT)</w:t>
      </w:r>
      <w:r w:rsidR="00C108A3">
        <w:rPr>
          <w:strike/>
          <w:lang w:val="en-US"/>
        </w:rPr>
        <w:t> </w:t>
      </w:r>
      <w:r w:rsidRPr="00E96C3C">
        <w:rPr>
          <w:strike/>
          <w:lang w:val="en-US"/>
        </w:rPr>
        <w:t>;</w:t>
      </w:r>
    </w:p>
    <w:p w14:paraId="1DB4329E" w14:textId="77777777" w:rsidR="00E96C3C" w:rsidRPr="0085615D" w:rsidRDefault="00E96C3C" w:rsidP="00E96C3C">
      <w:pPr>
        <w:pStyle w:val="SingleTxtG"/>
        <w:ind w:left="2268"/>
        <w:rPr>
          <w:strike/>
        </w:rPr>
      </w:pPr>
      <w:r>
        <w:rPr>
          <w:strike/>
          <w:lang w:val="fr-FR"/>
        </w:rPr>
        <w:t xml:space="preserve">- </w:t>
      </w:r>
      <w:proofErr w:type="spellStart"/>
      <w:r w:rsidRPr="001E17CD">
        <w:rPr>
          <w:strike/>
        </w:rPr>
        <w:t>Octhilinone</w:t>
      </w:r>
      <w:proofErr w:type="spellEnd"/>
      <w:r>
        <w:rPr>
          <w:strike/>
          <w:lang w:val="fr-FR"/>
        </w:rPr>
        <w:t xml:space="preserve"> (</w:t>
      </w:r>
      <w:r w:rsidRPr="001E17CD">
        <w:rPr>
          <w:strike/>
        </w:rPr>
        <w:t>OIT</w:t>
      </w:r>
      <w:r>
        <w:rPr>
          <w:strike/>
          <w:lang w:val="fr-FR"/>
        </w:rPr>
        <w:t>) ;</w:t>
      </w:r>
      <w:r>
        <w:rPr>
          <w:lang w:val="fr-FR"/>
        </w:rPr>
        <w:t xml:space="preserve"> </w:t>
      </w:r>
      <w:r>
        <w:rPr>
          <w:strike/>
          <w:lang w:val="fr-FR"/>
        </w:rPr>
        <w:t>et</w:t>
      </w:r>
    </w:p>
    <w:p w14:paraId="2506AC5E" w14:textId="3459612B" w:rsidR="00E96C3C" w:rsidRPr="0085615D" w:rsidRDefault="00E96C3C" w:rsidP="00E96C3C">
      <w:pPr>
        <w:pStyle w:val="SingleTxtG"/>
        <w:ind w:left="2268"/>
        <w:rPr>
          <w:strike/>
        </w:rPr>
      </w:pPr>
      <w:r>
        <w:rPr>
          <w:strike/>
          <w:lang w:val="fr-FR"/>
        </w:rPr>
        <w:t xml:space="preserve">- Pyrithione de </w:t>
      </w:r>
      <w:r w:rsidRPr="00E96C3C">
        <w:rPr>
          <w:strike/>
        </w:rPr>
        <w:t>zinc</w:t>
      </w:r>
      <w:r>
        <w:rPr>
          <w:strike/>
          <w:lang w:val="fr-FR"/>
        </w:rPr>
        <w:t xml:space="preserve"> (ZnPT)</w:t>
      </w:r>
      <w:r w:rsidR="00C108A3">
        <w:rPr>
          <w:strike/>
          <w:lang w:val="fr-FR"/>
        </w:rPr>
        <w:t> </w:t>
      </w:r>
      <w:r>
        <w:rPr>
          <w:strike/>
          <w:lang w:val="fr-FR"/>
        </w:rPr>
        <w:t>;</w:t>
      </w:r>
    </w:p>
    <w:p w14:paraId="0C0F6B3E" w14:textId="41DE0938" w:rsidR="00E96C3C" w:rsidRPr="0085615D" w:rsidRDefault="00E96C3C" w:rsidP="004C0286">
      <w:pPr>
        <w:pStyle w:val="SingleTxtG"/>
        <w:keepNext/>
        <w:keepLines/>
        <w:ind w:left="2268"/>
        <w:rPr>
          <w:strike/>
        </w:rPr>
      </w:pPr>
      <w:r>
        <w:rPr>
          <w:lang w:val="fr-FR"/>
        </w:rPr>
        <w:lastRenderedPageBreak/>
        <w:t>peuvent être transportées jusqu</w:t>
      </w:r>
      <w:r w:rsidR="00C108A3">
        <w:rPr>
          <w:lang w:val="fr-FR"/>
        </w:rPr>
        <w:t>’</w:t>
      </w:r>
      <w:r>
        <w:rPr>
          <w:lang w:val="fr-FR"/>
        </w:rPr>
        <w:t>au 30 juin 202</w:t>
      </w:r>
      <w:r>
        <w:rPr>
          <w:u w:val="single"/>
          <w:lang w:val="fr-FR"/>
        </w:rPr>
        <w:t>7</w:t>
      </w:r>
      <w:r>
        <w:rPr>
          <w:strike/>
          <w:lang w:val="fr-FR"/>
        </w:rPr>
        <w:t>5</w:t>
      </w:r>
      <w:r>
        <w:rPr>
          <w:lang w:val="fr-FR"/>
        </w:rPr>
        <w:t xml:space="preserve"> dans des emballages en acier, en aluminium, en métal autre que l</w:t>
      </w:r>
      <w:r w:rsidR="00C108A3">
        <w:rPr>
          <w:lang w:val="fr-FR"/>
        </w:rPr>
        <w:t>’</w:t>
      </w:r>
      <w:r>
        <w:rPr>
          <w:lang w:val="fr-FR"/>
        </w:rPr>
        <w:t>acier ou l</w:t>
      </w:r>
      <w:r w:rsidR="00C108A3">
        <w:rPr>
          <w:lang w:val="fr-FR"/>
        </w:rPr>
        <w:t>’</w:t>
      </w:r>
      <w:r>
        <w:rPr>
          <w:lang w:val="fr-FR"/>
        </w:rPr>
        <w:t>aluminium, ou en plastique, qui ne satisfont pas aux prescriptions du 4.1.1.3, lorsqu</w:t>
      </w:r>
      <w:r w:rsidR="00C108A3">
        <w:rPr>
          <w:lang w:val="fr-FR"/>
        </w:rPr>
        <w:t>’</w:t>
      </w:r>
      <w:r>
        <w:rPr>
          <w:lang w:val="fr-FR"/>
        </w:rPr>
        <w:t>ils sont transportés en quantités ne dépassant pas 30 litres par emballage comme suit</w:t>
      </w:r>
      <w:r w:rsidR="00C108A3">
        <w:rPr>
          <w:lang w:val="fr-FR"/>
        </w:rPr>
        <w:t> </w:t>
      </w:r>
      <w:r>
        <w:rPr>
          <w:lang w:val="fr-FR"/>
        </w:rPr>
        <w:t>:</w:t>
      </w:r>
    </w:p>
    <w:p w14:paraId="4691DBE0" w14:textId="733BBC47" w:rsidR="00E96C3C" w:rsidRPr="0085615D" w:rsidRDefault="00E96C3C" w:rsidP="004C0286">
      <w:pPr>
        <w:pStyle w:val="SingleTxtG"/>
        <w:keepNext/>
        <w:keepLines/>
        <w:ind w:left="2835" w:hanging="567"/>
      </w:pPr>
      <w:r>
        <w:rPr>
          <w:lang w:val="fr-FR"/>
        </w:rPr>
        <w:t>a)</w:t>
      </w:r>
      <w:r>
        <w:rPr>
          <w:lang w:val="fr-FR"/>
        </w:rPr>
        <w:tab/>
        <w:t>En chargements palettisés, en caisses-palettes ou en autres charges unitaires, par exemple d</w:t>
      </w:r>
      <w:r w:rsidR="00C108A3">
        <w:rPr>
          <w:lang w:val="fr-FR"/>
        </w:rPr>
        <w:t>’</w:t>
      </w:r>
      <w:r>
        <w:rPr>
          <w:lang w:val="fr-FR"/>
        </w:rPr>
        <w:t>emballages individuels placés ou empilés sur une palette et assujettis par des sangles, des housses rétractables ou étirables ou par toute autre méthode appropriée</w:t>
      </w:r>
      <w:r w:rsidR="00C108A3">
        <w:rPr>
          <w:lang w:val="fr-FR"/>
        </w:rPr>
        <w:t> </w:t>
      </w:r>
      <w:r>
        <w:rPr>
          <w:lang w:val="fr-FR"/>
        </w:rPr>
        <w:t xml:space="preserve">; ou </w:t>
      </w:r>
    </w:p>
    <w:p w14:paraId="64ACFC9C" w14:textId="4D20D636" w:rsidR="00E96C3C" w:rsidRPr="0085615D" w:rsidRDefault="00E96C3C" w:rsidP="00E96C3C">
      <w:pPr>
        <w:pStyle w:val="SingleTxtG"/>
        <w:ind w:left="2835" w:hanging="567"/>
      </w:pPr>
      <w:r>
        <w:rPr>
          <w:lang w:val="fr-FR"/>
        </w:rPr>
        <w:t>b)</w:t>
      </w:r>
      <w:r>
        <w:rPr>
          <w:lang w:val="fr-FR"/>
        </w:rPr>
        <w:tab/>
        <w:t>Comme emballages intérieurs d</w:t>
      </w:r>
      <w:r w:rsidR="00C108A3">
        <w:rPr>
          <w:lang w:val="fr-FR"/>
        </w:rPr>
        <w:t>’</w:t>
      </w:r>
      <w:r>
        <w:rPr>
          <w:lang w:val="fr-FR"/>
        </w:rPr>
        <w:t>emballages combinés dont la masse nette ne dépasse pas 40 kg. ».</w:t>
      </w:r>
    </w:p>
    <w:p w14:paraId="5B63DD83" w14:textId="77777777" w:rsidR="00E96C3C" w:rsidRPr="0085615D" w:rsidRDefault="00E96C3C" w:rsidP="00E96C3C">
      <w:pPr>
        <w:pStyle w:val="HChG"/>
      </w:pPr>
      <w:r>
        <w:rPr>
          <w:lang w:val="fr-FR"/>
        </w:rPr>
        <w:tab/>
        <w:t>III.</w:t>
      </w:r>
      <w:r>
        <w:rPr>
          <w:lang w:val="fr-FR"/>
        </w:rPr>
        <w:tab/>
        <w:t>Justification</w:t>
      </w:r>
    </w:p>
    <w:p w14:paraId="2135D990" w14:textId="651AB2D3" w:rsidR="00E96C3C" w:rsidRPr="0085615D" w:rsidRDefault="00E96C3C" w:rsidP="00E96C3C">
      <w:pPr>
        <w:pStyle w:val="SingleTxtG"/>
      </w:pPr>
      <w:r>
        <w:rPr>
          <w:lang w:val="fr-FR"/>
        </w:rPr>
        <w:t>7.</w:t>
      </w:r>
      <w:r>
        <w:rPr>
          <w:lang w:val="fr-FR"/>
        </w:rPr>
        <w:tab/>
        <w:t>Le nombre de peintures et d</w:t>
      </w:r>
      <w:r w:rsidR="00C108A3">
        <w:rPr>
          <w:lang w:val="fr-FR"/>
        </w:rPr>
        <w:t>’</w:t>
      </w:r>
      <w:r>
        <w:rPr>
          <w:lang w:val="fr-FR"/>
        </w:rPr>
        <w:t>encres d</w:t>
      </w:r>
      <w:r w:rsidR="00C108A3">
        <w:rPr>
          <w:lang w:val="fr-FR"/>
        </w:rPr>
        <w:t>’</w:t>
      </w:r>
      <w:r>
        <w:rPr>
          <w:lang w:val="fr-FR"/>
        </w:rPr>
        <w:t>imprimerie relevant des matières dangereuses pour l</w:t>
      </w:r>
      <w:r w:rsidR="00C108A3">
        <w:rPr>
          <w:lang w:val="fr-FR"/>
        </w:rPr>
        <w:t>’</w:t>
      </w:r>
      <w:r>
        <w:rPr>
          <w:lang w:val="fr-FR"/>
        </w:rPr>
        <w:t>environnement de la classe 9 continue d</w:t>
      </w:r>
      <w:r w:rsidR="00C108A3">
        <w:rPr>
          <w:lang w:val="fr-FR"/>
        </w:rPr>
        <w:t>’</w:t>
      </w:r>
      <w:r>
        <w:rPr>
          <w:lang w:val="fr-FR"/>
        </w:rPr>
        <w:t>augmenter, en raison des nouveaux (re)classements harmonisés de certaines matières hautement toxiques, qui s</w:t>
      </w:r>
      <w:r w:rsidR="00C108A3">
        <w:rPr>
          <w:lang w:val="fr-FR"/>
        </w:rPr>
        <w:t>’</w:t>
      </w:r>
      <w:r>
        <w:rPr>
          <w:lang w:val="fr-FR"/>
        </w:rPr>
        <w:t>ajoutent aux matières visées par les mesures transitoires actuelles. Ces produits sont déjà transportés en toute sécurité en quantités allant jusqu</w:t>
      </w:r>
      <w:r w:rsidR="00C108A3">
        <w:rPr>
          <w:lang w:val="fr-FR"/>
        </w:rPr>
        <w:t>’</w:t>
      </w:r>
      <w:r>
        <w:rPr>
          <w:lang w:val="fr-FR"/>
        </w:rPr>
        <w:t>à 30 litres, conformément aux pratiques et procédures actuelles, en utilisant un emballage satisfaisant aux prescriptions des 4.1.1.1 et 4.1.1.2. Ainsi, l</w:t>
      </w:r>
      <w:r w:rsidR="00C108A3">
        <w:rPr>
          <w:lang w:val="fr-FR"/>
        </w:rPr>
        <w:t>’</w:t>
      </w:r>
      <w:r>
        <w:rPr>
          <w:lang w:val="fr-FR"/>
        </w:rPr>
        <w:t xml:space="preserve">emballage applique le principe directeur du </w:t>
      </w:r>
      <w:r w:rsidRPr="00D6338E">
        <w:rPr>
          <w:lang w:val="fr-FR"/>
        </w:rPr>
        <w:t>Règlement type</w:t>
      </w:r>
      <w:r>
        <w:rPr>
          <w:lang w:val="fr-FR"/>
        </w:rPr>
        <w:t xml:space="preserve"> en limitant le risque potentiel au minimum. Pour satisfaire aux prescriptions en matière d</w:t>
      </w:r>
      <w:r w:rsidR="00C108A3">
        <w:rPr>
          <w:lang w:val="fr-FR"/>
        </w:rPr>
        <w:t>’</w:t>
      </w:r>
      <w:r>
        <w:rPr>
          <w:lang w:val="fr-FR"/>
        </w:rPr>
        <w:t>emballage requises par la nature du produit et son utilisation, il faudrait continuer d</w:t>
      </w:r>
      <w:r w:rsidR="00C108A3">
        <w:rPr>
          <w:lang w:val="fr-FR"/>
        </w:rPr>
        <w:t>’</w:t>
      </w:r>
      <w:r>
        <w:rPr>
          <w:lang w:val="fr-FR"/>
        </w:rPr>
        <w:t>avoir la possibilité d</w:t>
      </w:r>
      <w:r w:rsidR="00C108A3">
        <w:rPr>
          <w:lang w:val="fr-FR"/>
        </w:rPr>
        <w:t>’</w:t>
      </w:r>
      <w:r>
        <w:rPr>
          <w:lang w:val="fr-FR"/>
        </w:rPr>
        <w:t>utiliser un emballage en plastique, mais il n</w:t>
      </w:r>
      <w:r w:rsidR="00C108A3">
        <w:rPr>
          <w:lang w:val="fr-FR"/>
        </w:rPr>
        <w:t>’</w:t>
      </w:r>
      <w:r>
        <w:rPr>
          <w:lang w:val="fr-FR"/>
        </w:rPr>
        <w:t>existe à l</w:t>
      </w:r>
      <w:r w:rsidR="00C108A3">
        <w:rPr>
          <w:lang w:val="fr-FR"/>
        </w:rPr>
        <w:t>’</w:t>
      </w:r>
      <w:r>
        <w:rPr>
          <w:lang w:val="fr-FR"/>
        </w:rPr>
        <w:t>heure actuelle aucun modèle approuvé par l</w:t>
      </w:r>
      <w:r w:rsidR="00C108A3">
        <w:rPr>
          <w:lang w:val="fr-FR"/>
        </w:rPr>
        <w:t>’</w:t>
      </w:r>
      <w:r>
        <w:rPr>
          <w:lang w:val="fr-FR"/>
        </w:rPr>
        <w:t>ONU. Exiger l</w:t>
      </w:r>
      <w:r w:rsidR="00C108A3">
        <w:rPr>
          <w:lang w:val="fr-FR"/>
        </w:rPr>
        <w:t>’</w:t>
      </w:r>
      <w:r>
        <w:rPr>
          <w:lang w:val="fr-FR"/>
        </w:rPr>
        <w:t>utilisation d</w:t>
      </w:r>
      <w:r w:rsidR="00C108A3">
        <w:rPr>
          <w:lang w:val="fr-FR"/>
        </w:rPr>
        <w:t>’</w:t>
      </w:r>
      <w:r>
        <w:rPr>
          <w:lang w:val="fr-FR"/>
        </w:rPr>
        <w:t>emballages approuvés par l</w:t>
      </w:r>
      <w:r w:rsidR="00C108A3">
        <w:rPr>
          <w:lang w:val="fr-FR"/>
        </w:rPr>
        <w:t>’</w:t>
      </w:r>
      <w:r>
        <w:rPr>
          <w:lang w:val="fr-FR"/>
        </w:rPr>
        <w:t>ONU entraverait le transport de ces produits.</w:t>
      </w:r>
    </w:p>
    <w:p w14:paraId="29E81D2A" w14:textId="316A5ACB" w:rsidR="00E96C3C" w:rsidRPr="0085615D" w:rsidRDefault="00E96C3C" w:rsidP="00E96C3C">
      <w:pPr>
        <w:pStyle w:val="SingleTxtG"/>
      </w:pPr>
      <w:r>
        <w:rPr>
          <w:lang w:val="fr-FR"/>
        </w:rPr>
        <w:t>8.</w:t>
      </w:r>
      <w:r>
        <w:rPr>
          <w:lang w:val="fr-FR"/>
        </w:rPr>
        <w:tab/>
        <w:t xml:space="preserve">Des débats sur la question se déroulent actuellement dans le cadre du </w:t>
      </w:r>
      <w:r w:rsidRPr="002A59F6">
        <w:rPr>
          <w:lang w:val="fr-FR"/>
        </w:rPr>
        <w:t xml:space="preserve">Sous-Comité </w:t>
      </w:r>
      <w:r>
        <w:rPr>
          <w:lang w:val="fr-FR"/>
        </w:rPr>
        <w:t>TMD mais, s</w:t>
      </w:r>
      <w:r w:rsidR="00C108A3">
        <w:rPr>
          <w:lang w:val="fr-FR"/>
        </w:rPr>
        <w:t>’</w:t>
      </w:r>
      <w:r>
        <w:rPr>
          <w:lang w:val="fr-FR"/>
        </w:rPr>
        <w:t xml:space="preserve">ils débouchent sur des mesures concrètes (comme des changements apportés au </w:t>
      </w:r>
      <w:r w:rsidRPr="00D6338E">
        <w:rPr>
          <w:lang w:val="fr-FR"/>
        </w:rPr>
        <w:t>Règlement type</w:t>
      </w:r>
      <w:r>
        <w:rPr>
          <w:lang w:val="fr-FR"/>
        </w:rPr>
        <w:t>), ce ne sera pas avant l</w:t>
      </w:r>
      <w:r w:rsidR="00C108A3">
        <w:rPr>
          <w:lang w:val="fr-FR"/>
        </w:rPr>
        <w:t>’</w:t>
      </w:r>
      <w:r>
        <w:rPr>
          <w:lang w:val="fr-FR"/>
        </w:rPr>
        <w:t>expiration de la période transitoire actuelle fixée dans le RID et l</w:t>
      </w:r>
      <w:r w:rsidR="00C108A3">
        <w:rPr>
          <w:lang w:val="fr-FR"/>
        </w:rPr>
        <w:t>’</w:t>
      </w:r>
      <w:r>
        <w:rPr>
          <w:lang w:val="fr-FR"/>
        </w:rPr>
        <w:t>ADR, c</w:t>
      </w:r>
      <w:r w:rsidR="00C108A3">
        <w:rPr>
          <w:lang w:val="fr-FR"/>
        </w:rPr>
        <w:t>’</w:t>
      </w:r>
      <w:r>
        <w:rPr>
          <w:lang w:val="fr-FR"/>
        </w:rPr>
        <w:t>est à dire le 30 juin 2025. Une extension de la mesure transitoire du RID et de l</w:t>
      </w:r>
      <w:r w:rsidR="00C108A3">
        <w:rPr>
          <w:lang w:val="fr-FR"/>
        </w:rPr>
        <w:t>’</w:t>
      </w:r>
      <w:r>
        <w:rPr>
          <w:lang w:val="fr-FR"/>
        </w:rPr>
        <w:t>ADR est donc nécessaire pour permettre la conclusion des travaux menés actuellement dans le cadre du Sous-Comité (qui devraient se terminer d</w:t>
      </w:r>
      <w:r w:rsidR="00C108A3">
        <w:rPr>
          <w:lang w:val="fr-FR"/>
        </w:rPr>
        <w:t>’</w:t>
      </w:r>
      <w:r>
        <w:rPr>
          <w:lang w:val="fr-FR"/>
        </w:rPr>
        <w:t>ici la fin de la période biennale en cours, c</w:t>
      </w:r>
      <w:r w:rsidR="00C108A3">
        <w:rPr>
          <w:lang w:val="fr-FR"/>
        </w:rPr>
        <w:t>’</w:t>
      </w:r>
      <w:r>
        <w:rPr>
          <w:lang w:val="fr-FR"/>
        </w:rPr>
        <w:t>est-à-dire en décembre 2024 au plus tard).</w:t>
      </w:r>
    </w:p>
    <w:p w14:paraId="096BEFEB" w14:textId="48B3A268" w:rsidR="00F9573C" w:rsidRDefault="00E96C3C" w:rsidP="00E96C3C">
      <w:pPr>
        <w:pStyle w:val="SingleTxtG"/>
        <w:rPr>
          <w:lang w:val="fr-FR"/>
        </w:rPr>
      </w:pPr>
      <w:r>
        <w:rPr>
          <w:lang w:val="fr-FR"/>
        </w:rPr>
        <w:t>9.</w:t>
      </w:r>
      <w:r>
        <w:rPr>
          <w:lang w:val="fr-FR"/>
        </w:rPr>
        <w:tab/>
        <w:t>Le CEPE se réjouit de participer aux débats sur la meilleure façon de procéder qui se dérouleront à la session de la Réunion commune de mars 2024.</w:t>
      </w:r>
    </w:p>
    <w:p w14:paraId="63A5C22E" w14:textId="3E11A62B" w:rsidR="00E96C3C" w:rsidRDefault="00E96C3C" w:rsidP="00E96C3C">
      <w:pPr>
        <w:rPr>
          <w:lang w:val="fr-FR"/>
        </w:rPr>
      </w:pPr>
      <w:r>
        <w:rPr>
          <w:lang w:val="fr-FR"/>
        </w:rPr>
        <w:br w:type="page"/>
      </w:r>
    </w:p>
    <w:p w14:paraId="68AF77F0" w14:textId="2A50CB29" w:rsidR="00E96C3C" w:rsidRPr="0003791C" w:rsidRDefault="00E96C3C" w:rsidP="00E96C3C">
      <w:pPr>
        <w:pStyle w:val="HChG"/>
        <w:rPr>
          <w:lang w:val="en-US"/>
        </w:rPr>
      </w:pPr>
      <w:r>
        <w:rPr>
          <w:lang w:val="en-US"/>
        </w:rPr>
        <w:lastRenderedPageBreak/>
        <w:t>A</w:t>
      </w:r>
      <w:r w:rsidRPr="0003791C">
        <w:rPr>
          <w:lang w:val="en-US"/>
        </w:rPr>
        <w:t>nnexe</w:t>
      </w:r>
    </w:p>
    <w:p w14:paraId="46208587" w14:textId="2E99219B" w:rsidR="00E96C3C" w:rsidRDefault="00E96C3C" w:rsidP="00E96C3C">
      <w:pPr>
        <w:pStyle w:val="SingleTxtG"/>
        <w:jc w:val="right"/>
        <w:rPr>
          <w:lang w:val="en-US"/>
        </w:rPr>
      </w:pPr>
      <w:r w:rsidRPr="0003791C">
        <w:rPr>
          <w:lang w:val="en-US"/>
        </w:rPr>
        <w:t>[Anglais seulement]</w:t>
      </w:r>
    </w:p>
    <w:p w14:paraId="1D09EA7C" w14:textId="77777777" w:rsidR="00E12084" w:rsidRPr="00E12084" w:rsidRDefault="00E12084" w:rsidP="00E12084">
      <w:pPr>
        <w:pStyle w:val="HChG"/>
        <w:rPr>
          <w:lang w:val="en-US"/>
        </w:rPr>
      </w:pPr>
      <w:r w:rsidRPr="001E17CD">
        <w:rPr>
          <w:lang w:val="en-US"/>
        </w:rPr>
        <w:tab/>
      </w:r>
      <w:r w:rsidRPr="001E17CD">
        <w:rPr>
          <w:lang w:val="en-US"/>
        </w:rPr>
        <w:tab/>
      </w:r>
      <w:r w:rsidRPr="00E12084">
        <w:rPr>
          <w:lang w:val="en-US"/>
        </w:rPr>
        <w:t>Environmentally hazardous classification and M-factors</w:t>
      </w:r>
    </w:p>
    <w:p w14:paraId="20755E28" w14:textId="77777777" w:rsidR="00E12084" w:rsidRPr="00E12084" w:rsidRDefault="00E12084" w:rsidP="00E12084">
      <w:pPr>
        <w:pStyle w:val="HChG"/>
        <w:rPr>
          <w:lang w:val="en-US"/>
        </w:rPr>
      </w:pPr>
      <w:r w:rsidRPr="00E12084">
        <w:rPr>
          <w:lang w:val="en-US"/>
        </w:rPr>
        <w:tab/>
        <w:t>I.</w:t>
      </w:r>
      <w:r w:rsidRPr="00E12084">
        <w:rPr>
          <w:lang w:val="en-US"/>
        </w:rPr>
        <w:tab/>
        <w:t>Introduction</w:t>
      </w:r>
    </w:p>
    <w:p w14:paraId="51A9E678" w14:textId="77777777" w:rsidR="00E12084" w:rsidRPr="00E12084" w:rsidRDefault="00E12084" w:rsidP="00E12084">
      <w:pPr>
        <w:pStyle w:val="SingleTxtG"/>
        <w:rPr>
          <w:lang w:val="en-US"/>
        </w:rPr>
      </w:pPr>
      <w:r w:rsidRPr="00E12084">
        <w:rPr>
          <w:lang w:val="en-US"/>
        </w:rPr>
        <w:t>1.</w:t>
      </w:r>
      <w:r w:rsidRPr="00E12084">
        <w:rPr>
          <w:lang w:val="en-US"/>
        </w:rPr>
        <w:tab/>
      </w:r>
      <w:r w:rsidRPr="00DD6A2F">
        <w:rPr>
          <w:lang w:val="en-US"/>
        </w:rPr>
        <w:t xml:space="preserve">In 2009/2010, the term "environmentally hazardous (aquatic environment)" was implemented in the transport of dangerous goods regulations. The criteria in the </w:t>
      </w:r>
      <w:r w:rsidRPr="00336311">
        <w:rPr>
          <w:i/>
          <w:iCs/>
          <w:lang w:val="en-US"/>
        </w:rPr>
        <w:t>Globally Harmonized System of Classification and Labelling of Chemicals (GHS)</w:t>
      </w:r>
      <w:r w:rsidRPr="00DD6A2F">
        <w:rPr>
          <w:lang w:val="en-US"/>
        </w:rPr>
        <w:t xml:space="preserve"> is used </w:t>
      </w:r>
      <w:r w:rsidRPr="00E12084">
        <w:rPr>
          <w:lang w:val="en-US"/>
        </w:rPr>
        <w:t>in</w:t>
      </w:r>
      <w:r w:rsidRPr="00DD6A2F">
        <w:rPr>
          <w:lang w:val="en-US"/>
        </w:rPr>
        <w:t xml:space="preserve"> the </w:t>
      </w:r>
      <w:r w:rsidRPr="001C1BE9">
        <w:rPr>
          <w:i/>
          <w:iCs/>
          <w:lang w:val="en-US"/>
        </w:rPr>
        <w:t>Model Regulations</w:t>
      </w:r>
      <w:r w:rsidRPr="00DD6A2F">
        <w:rPr>
          <w:lang w:val="en-US"/>
        </w:rPr>
        <w:t xml:space="preserve"> to identify environmentally hazardous chemical (in particular hazardous to the aquatic environment) and to define the applicable transport conditions (e.g. packing requirements) to avoid or minimize their release into the environment.</w:t>
      </w:r>
    </w:p>
    <w:p w14:paraId="7DFB5D6F" w14:textId="77777777" w:rsidR="00E12084" w:rsidRPr="00E12084" w:rsidRDefault="00E12084" w:rsidP="00E12084">
      <w:pPr>
        <w:pStyle w:val="SingleTxtG"/>
        <w:rPr>
          <w:lang w:val="en-US"/>
        </w:rPr>
      </w:pPr>
      <w:r>
        <w:rPr>
          <w:lang w:val="en-US"/>
        </w:rPr>
        <w:t>2.</w:t>
      </w:r>
      <w:r>
        <w:rPr>
          <w:lang w:val="en-US"/>
        </w:rPr>
        <w:tab/>
      </w:r>
      <w:r w:rsidRPr="00DD6A2F">
        <w:rPr>
          <w:lang w:val="en-US"/>
        </w:rPr>
        <w:t xml:space="preserve">There are </w:t>
      </w:r>
      <w:r>
        <w:rPr>
          <w:lang w:val="en-US"/>
        </w:rPr>
        <w:t>two</w:t>
      </w:r>
      <w:r w:rsidRPr="00DD6A2F">
        <w:rPr>
          <w:lang w:val="en-US"/>
        </w:rPr>
        <w:t xml:space="preserve"> options to classify the environmental hazard in class 9 for substances and mixtures in </w:t>
      </w:r>
      <w:r>
        <w:rPr>
          <w:lang w:val="en-US"/>
        </w:rPr>
        <w:t xml:space="preserve">packing group </w:t>
      </w:r>
      <w:r w:rsidRPr="00DD6A2F">
        <w:rPr>
          <w:lang w:val="en-US"/>
        </w:rPr>
        <w:t>III:</w:t>
      </w:r>
    </w:p>
    <w:p w14:paraId="2F3C7558" w14:textId="77777777" w:rsidR="00E12084" w:rsidRPr="00E12084" w:rsidRDefault="00E12084" w:rsidP="00E12084">
      <w:pPr>
        <w:pStyle w:val="SingleTxtG"/>
        <w:ind w:left="1701"/>
        <w:rPr>
          <w:lang w:val="en-US"/>
        </w:rPr>
      </w:pPr>
      <w:r>
        <w:rPr>
          <w:lang w:val="en-US"/>
        </w:rPr>
        <w:t>(a)</w:t>
      </w:r>
      <w:r>
        <w:rPr>
          <w:lang w:val="en-US"/>
        </w:rPr>
        <w:tab/>
      </w:r>
      <w:r w:rsidRPr="00DD6A2F">
        <w:rPr>
          <w:lang w:val="en-US"/>
        </w:rPr>
        <w:t>UN</w:t>
      </w:r>
      <w:r>
        <w:rPr>
          <w:lang w:val="en-US"/>
        </w:rPr>
        <w:t> </w:t>
      </w:r>
      <w:r w:rsidRPr="00DD6A2F">
        <w:rPr>
          <w:lang w:val="en-US"/>
        </w:rPr>
        <w:t>3077 ENVIRONMENTALLY HAZARDOUS SUBSTANCE, SOLID, N.O.S. or</w:t>
      </w:r>
    </w:p>
    <w:p w14:paraId="3D6E7AEC" w14:textId="77777777" w:rsidR="00E12084" w:rsidRPr="00E12084" w:rsidRDefault="00E12084" w:rsidP="00E12084">
      <w:pPr>
        <w:pStyle w:val="SingleTxtG"/>
        <w:ind w:left="1701"/>
        <w:rPr>
          <w:lang w:val="en-US"/>
        </w:rPr>
      </w:pPr>
      <w:r>
        <w:rPr>
          <w:lang w:val="en-US"/>
        </w:rPr>
        <w:t>(b)</w:t>
      </w:r>
      <w:r>
        <w:rPr>
          <w:lang w:val="en-US"/>
        </w:rPr>
        <w:tab/>
      </w:r>
      <w:r w:rsidRPr="00DD6A2F">
        <w:rPr>
          <w:lang w:val="en-US"/>
        </w:rPr>
        <w:t>UN</w:t>
      </w:r>
      <w:r>
        <w:rPr>
          <w:lang w:val="en-US"/>
        </w:rPr>
        <w:t> </w:t>
      </w:r>
      <w:r w:rsidRPr="00DD6A2F">
        <w:rPr>
          <w:lang w:val="en-US"/>
        </w:rPr>
        <w:t>3082 ENVIRONMENTALLY HAZARDOUS SUBSTANCE, LIQUID, N.O.S.</w:t>
      </w:r>
    </w:p>
    <w:p w14:paraId="526E944A" w14:textId="77777777" w:rsidR="00E12084" w:rsidRPr="00E12084" w:rsidRDefault="00E12084" w:rsidP="00E12084">
      <w:pPr>
        <w:pStyle w:val="HChG"/>
        <w:rPr>
          <w:lang w:val="en-US"/>
        </w:rPr>
      </w:pPr>
      <w:r w:rsidRPr="00E12084">
        <w:rPr>
          <w:lang w:val="en-US"/>
        </w:rPr>
        <w:tab/>
        <w:t>II.</w:t>
      </w:r>
      <w:r w:rsidRPr="00E12084">
        <w:rPr>
          <w:lang w:val="en-US"/>
        </w:rPr>
        <w:tab/>
        <w:t>Criteria basics</w:t>
      </w:r>
    </w:p>
    <w:p w14:paraId="773BAB94" w14:textId="77777777" w:rsidR="00E12084" w:rsidRPr="00E12084" w:rsidRDefault="00E12084" w:rsidP="00E12084">
      <w:pPr>
        <w:pStyle w:val="SingleTxtG"/>
        <w:rPr>
          <w:lang w:val="en-US"/>
        </w:rPr>
      </w:pPr>
      <w:r>
        <w:rPr>
          <w:lang w:val="en-US"/>
        </w:rPr>
        <w:t>3.</w:t>
      </w:r>
      <w:r>
        <w:rPr>
          <w:lang w:val="en-US"/>
        </w:rPr>
        <w:tab/>
      </w:r>
      <w:r w:rsidRPr="00DD6A2F">
        <w:rPr>
          <w:lang w:val="en-US"/>
        </w:rPr>
        <w:t xml:space="preserve">The basic elements for classification of environmentally hazardous substances are: </w:t>
      </w:r>
    </w:p>
    <w:p w14:paraId="47323EA8" w14:textId="77777777" w:rsidR="00E12084" w:rsidRPr="00E12084" w:rsidRDefault="00E12084" w:rsidP="00E12084">
      <w:pPr>
        <w:pStyle w:val="SingleTxtG"/>
        <w:ind w:left="1701"/>
        <w:rPr>
          <w:lang w:val="en-US"/>
        </w:rPr>
      </w:pPr>
      <w:r w:rsidRPr="00E12084">
        <w:rPr>
          <w:lang w:val="en-US"/>
        </w:rPr>
        <w:t>(a)</w:t>
      </w:r>
      <w:r w:rsidRPr="00E12084">
        <w:rPr>
          <w:lang w:val="en-US"/>
        </w:rPr>
        <w:tab/>
        <w:t>Acute aquatic toxicity;</w:t>
      </w:r>
    </w:p>
    <w:p w14:paraId="6D9A9077" w14:textId="77777777" w:rsidR="00E12084" w:rsidRPr="00E12084" w:rsidRDefault="00E12084" w:rsidP="00E12084">
      <w:pPr>
        <w:pStyle w:val="SingleTxtG"/>
        <w:ind w:left="1701"/>
        <w:rPr>
          <w:lang w:val="en-US"/>
        </w:rPr>
      </w:pPr>
      <w:r w:rsidRPr="00E12084">
        <w:rPr>
          <w:lang w:val="en-US"/>
        </w:rPr>
        <w:t>(b)</w:t>
      </w:r>
      <w:r w:rsidRPr="00E12084">
        <w:rPr>
          <w:lang w:val="en-US"/>
        </w:rPr>
        <w:tab/>
        <w:t>Chronic aquatic toxicity;</w:t>
      </w:r>
    </w:p>
    <w:p w14:paraId="5DA51279" w14:textId="77777777" w:rsidR="00E12084" w:rsidRPr="00E12084" w:rsidRDefault="00E12084" w:rsidP="00E12084">
      <w:pPr>
        <w:pStyle w:val="SingleTxtG"/>
        <w:ind w:left="1701"/>
        <w:rPr>
          <w:lang w:val="en-US"/>
        </w:rPr>
      </w:pPr>
      <w:r w:rsidRPr="00E12084">
        <w:rPr>
          <w:lang w:val="en-US"/>
        </w:rPr>
        <w:t>(c)</w:t>
      </w:r>
      <w:r w:rsidRPr="00E12084">
        <w:rPr>
          <w:lang w:val="en-US"/>
        </w:rPr>
        <w:tab/>
        <w:t>Potential for or actual bioaccumulation;</w:t>
      </w:r>
    </w:p>
    <w:p w14:paraId="20C2A5DE" w14:textId="77777777" w:rsidR="00E12084" w:rsidRPr="00E12084" w:rsidRDefault="00E12084" w:rsidP="00E12084">
      <w:pPr>
        <w:pStyle w:val="SingleTxtG"/>
        <w:ind w:left="1701"/>
        <w:rPr>
          <w:lang w:val="en-US"/>
        </w:rPr>
      </w:pPr>
      <w:r w:rsidRPr="00E12084">
        <w:rPr>
          <w:lang w:val="en-US"/>
        </w:rPr>
        <w:t>(d)</w:t>
      </w:r>
      <w:r w:rsidRPr="00E12084">
        <w:rPr>
          <w:lang w:val="en-US"/>
        </w:rPr>
        <w:tab/>
        <w:t>Degradation for organic chemicals.</w:t>
      </w:r>
    </w:p>
    <w:p w14:paraId="6661FD6D" w14:textId="77777777" w:rsidR="00E12084" w:rsidRPr="00E12084" w:rsidRDefault="00E12084" w:rsidP="00E12084">
      <w:pPr>
        <w:pStyle w:val="SingleTxtG"/>
        <w:rPr>
          <w:lang w:val="en-US"/>
        </w:rPr>
      </w:pPr>
      <w:r>
        <w:rPr>
          <w:lang w:val="en-US"/>
        </w:rPr>
        <w:t>4.</w:t>
      </w:r>
      <w:r>
        <w:rPr>
          <w:lang w:val="en-US"/>
        </w:rPr>
        <w:tab/>
      </w:r>
      <w:r w:rsidRPr="00DD6A2F">
        <w:rPr>
          <w:lang w:val="en-US"/>
        </w:rPr>
        <w:t>The categories implemented for transport are Acute Category 1, Chronic Category 1 and 2. If one of these categories apply and the substance/mixture has not been assigned to hazard class</w:t>
      </w:r>
      <w:r>
        <w:rPr>
          <w:lang w:val="en-US"/>
        </w:rPr>
        <w:t>es</w:t>
      </w:r>
      <w:r w:rsidRPr="00DD6A2F">
        <w:rPr>
          <w:lang w:val="en-US"/>
        </w:rPr>
        <w:t xml:space="preserve"> 1 to 8, it is classified as UN</w:t>
      </w:r>
      <w:r>
        <w:rPr>
          <w:lang w:val="en-US"/>
        </w:rPr>
        <w:t> </w:t>
      </w:r>
      <w:r w:rsidRPr="00DD6A2F">
        <w:rPr>
          <w:lang w:val="en-US"/>
        </w:rPr>
        <w:t>3077/3082 environmentally hazardous in PG</w:t>
      </w:r>
      <w:r>
        <w:rPr>
          <w:lang w:val="en-US"/>
        </w:rPr>
        <w:t> </w:t>
      </w:r>
      <w:r w:rsidRPr="00DD6A2F">
        <w:rPr>
          <w:lang w:val="en-US"/>
        </w:rPr>
        <w:t>III.</w:t>
      </w:r>
    </w:p>
    <w:p w14:paraId="58443F40" w14:textId="77777777" w:rsidR="00E12084" w:rsidRPr="00E12084" w:rsidRDefault="00E12084" w:rsidP="00E12084">
      <w:pPr>
        <w:pStyle w:val="SingleTxtG"/>
        <w:rPr>
          <w:lang w:val="en-US"/>
        </w:rPr>
      </w:pPr>
      <w:r>
        <w:rPr>
          <w:lang w:val="en-US"/>
        </w:rPr>
        <w:t>5.</w:t>
      </w:r>
      <w:r>
        <w:rPr>
          <w:lang w:val="en-US"/>
        </w:rPr>
        <w:tab/>
      </w:r>
      <w:r w:rsidRPr="00DD6A2F">
        <w:rPr>
          <w:lang w:val="en-US"/>
        </w:rPr>
        <w:t>If it meets the criteria for class</w:t>
      </w:r>
      <w:r>
        <w:rPr>
          <w:lang w:val="en-US"/>
        </w:rPr>
        <w:t>es</w:t>
      </w:r>
      <w:r w:rsidRPr="00DD6A2F">
        <w:rPr>
          <w:lang w:val="en-US"/>
        </w:rPr>
        <w:t xml:space="preserve"> 1</w:t>
      </w:r>
      <w:r>
        <w:rPr>
          <w:lang w:val="en-US"/>
        </w:rPr>
        <w:t xml:space="preserve"> to </w:t>
      </w:r>
      <w:r w:rsidRPr="00DD6A2F">
        <w:rPr>
          <w:lang w:val="en-US"/>
        </w:rPr>
        <w:t xml:space="preserve">8 and thus another </w:t>
      </w:r>
      <w:r>
        <w:rPr>
          <w:lang w:val="en-US"/>
        </w:rPr>
        <w:t>packing</w:t>
      </w:r>
      <w:r w:rsidRPr="00DD6A2F">
        <w:rPr>
          <w:lang w:val="en-US"/>
        </w:rPr>
        <w:t xml:space="preserve"> applies based on these hazards, this </w:t>
      </w:r>
      <w:r>
        <w:rPr>
          <w:lang w:val="en-US"/>
        </w:rPr>
        <w:t>packing group</w:t>
      </w:r>
      <w:r w:rsidRPr="00DD6A2F">
        <w:rPr>
          <w:lang w:val="en-US"/>
        </w:rPr>
        <w:t xml:space="preserve"> takes precedence and the environmentally hazard is adding to the existing classification.</w:t>
      </w:r>
    </w:p>
    <w:p w14:paraId="405192F3" w14:textId="4D3B4F5E" w:rsidR="00E96C3C" w:rsidRDefault="00E12084" w:rsidP="00E12084">
      <w:pPr>
        <w:pStyle w:val="SingleTxtG"/>
        <w:rPr>
          <w:lang w:val="en-US"/>
        </w:rPr>
      </w:pPr>
      <w:r>
        <w:rPr>
          <w:lang w:val="en-US"/>
        </w:rPr>
        <w:t>6.</w:t>
      </w:r>
      <w:r>
        <w:rPr>
          <w:lang w:val="en-US"/>
        </w:rPr>
        <w:tab/>
      </w:r>
      <w:r w:rsidRPr="00DD6A2F">
        <w:rPr>
          <w:lang w:val="en-US"/>
        </w:rPr>
        <w:t>The criteria for acute and chronic categories for substance:</w:t>
      </w:r>
    </w:p>
    <w:p w14:paraId="36E661C8" w14:textId="633F997B" w:rsidR="00E12084" w:rsidRDefault="00E12084" w:rsidP="00E12084">
      <w:pPr>
        <w:pStyle w:val="SingleTxtG"/>
        <w:rPr>
          <w:lang w:val="en-US"/>
        </w:rPr>
      </w:pPr>
      <w:r>
        <w:rPr>
          <w:lang w:val="en-US"/>
        </w:rPr>
        <w:br w:type="page"/>
      </w:r>
    </w:p>
    <w:p w14:paraId="16FBEACB" w14:textId="77777777" w:rsidR="00E12084" w:rsidRPr="00E12084" w:rsidRDefault="00E12084" w:rsidP="00E12084">
      <w:pPr>
        <w:jc w:val="center"/>
        <w:rPr>
          <w:b/>
          <w:lang w:val="en-US" w:eastAsia="nl-NL"/>
        </w:rPr>
      </w:pPr>
      <w:r w:rsidRPr="00E12084">
        <w:rPr>
          <w:b/>
          <w:lang w:val="en-US" w:eastAsia="nl-NL"/>
        </w:rPr>
        <w:lastRenderedPageBreak/>
        <w:t>Table 2.2.9.1.10.3.2: Classification scheme for substances hazardous to the aquatic environment</w:t>
      </w:r>
    </w:p>
    <w:p w14:paraId="596B1C0D" w14:textId="77777777" w:rsidR="00E12084" w:rsidRPr="00E12084" w:rsidRDefault="00E12084" w:rsidP="00E1208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905"/>
        <w:gridCol w:w="2078"/>
        <w:gridCol w:w="2461"/>
        <w:gridCol w:w="3195"/>
      </w:tblGrid>
      <w:tr w:rsidR="00E12084" w:rsidRPr="00A826DD" w14:paraId="50052D2C" w14:textId="77777777" w:rsidTr="002321BE">
        <w:trPr>
          <w:tblHeader/>
        </w:trPr>
        <w:tc>
          <w:tcPr>
            <w:tcW w:w="9639" w:type="dxa"/>
            <w:gridSpan w:val="4"/>
          </w:tcPr>
          <w:p w14:paraId="7D20024D" w14:textId="77777777" w:rsidR="00E12084" w:rsidRPr="00A826DD" w:rsidRDefault="00E12084" w:rsidP="002321BE">
            <w:pPr>
              <w:spacing w:before="20" w:after="20"/>
              <w:jc w:val="center"/>
              <w:rPr>
                <w:b/>
              </w:rPr>
            </w:pPr>
            <w:r w:rsidRPr="00A826DD">
              <w:rPr>
                <w:b/>
                <w:bCs/>
              </w:rPr>
              <w:t xml:space="preserve">Classification </w:t>
            </w:r>
            <w:proofErr w:type="spellStart"/>
            <w:r w:rsidRPr="00A826DD">
              <w:rPr>
                <w:b/>
                <w:bCs/>
              </w:rPr>
              <w:t>categories</w:t>
            </w:r>
            <w:proofErr w:type="spellEnd"/>
          </w:p>
        </w:tc>
      </w:tr>
      <w:tr w:rsidR="00E12084" w:rsidRPr="001E17CD" w14:paraId="5C1D8A61" w14:textId="77777777" w:rsidTr="002321BE">
        <w:trPr>
          <w:tblHeader/>
        </w:trPr>
        <w:tc>
          <w:tcPr>
            <w:tcW w:w="1905" w:type="dxa"/>
            <w:vMerge w:val="restart"/>
            <w:vAlign w:val="center"/>
          </w:tcPr>
          <w:p w14:paraId="71A2CBB8" w14:textId="77777777" w:rsidR="00E12084" w:rsidRPr="00A826DD" w:rsidRDefault="00E12084" w:rsidP="002321BE">
            <w:pPr>
              <w:spacing w:before="20" w:after="20"/>
              <w:jc w:val="center"/>
            </w:pPr>
            <w:r w:rsidRPr="00A826DD">
              <w:rPr>
                <w:b/>
                <w:bCs/>
              </w:rPr>
              <w:t xml:space="preserve">Acute </w:t>
            </w:r>
            <w:proofErr w:type="spellStart"/>
            <w:r w:rsidRPr="00A826DD">
              <w:rPr>
                <w:b/>
                <w:bCs/>
              </w:rPr>
              <w:t>hazard</w:t>
            </w:r>
            <w:proofErr w:type="spellEnd"/>
            <w:r w:rsidRPr="00A826DD">
              <w:rPr>
                <w:b/>
                <w:bCs/>
              </w:rPr>
              <w:br/>
            </w:r>
            <w:r w:rsidRPr="00A826DD">
              <w:rPr>
                <w:bCs/>
              </w:rPr>
              <w:t>(</w:t>
            </w:r>
            <w:proofErr w:type="spellStart"/>
            <w:r w:rsidRPr="00A826DD">
              <w:rPr>
                <w:bCs/>
                <w:i/>
                <w:iCs/>
              </w:rPr>
              <w:t>see</w:t>
            </w:r>
            <w:proofErr w:type="spellEnd"/>
            <w:r w:rsidRPr="00A826DD">
              <w:rPr>
                <w:bCs/>
              </w:rPr>
              <w:t xml:space="preserve"> </w:t>
            </w:r>
            <w:r w:rsidRPr="00A826DD">
              <w:rPr>
                <w:bCs/>
                <w:i/>
                <w:iCs/>
              </w:rPr>
              <w:t>Note 1</w:t>
            </w:r>
            <w:r w:rsidRPr="00A826DD">
              <w:rPr>
                <w:bCs/>
              </w:rPr>
              <w:t>)</w:t>
            </w:r>
          </w:p>
        </w:tc>
        <w:tc>
          <w:tcPr>
            <w:tcW w:w="7734" w:type="dxa"/>
            <w:gridSpan w:val="3"/>
          </w:tcPr>
          <w:p w14:paraId="0D6E50C7" w14:textId="77777777" w:rsidR="00E12084" w:rsidRPr="00E12084" w:rsidRDefault="00E12084" w:rsidP="002321BE">
            <w:pPr>
              <w:spacing w:before="20" w:after="20"/>
              <w:jc w:val="center"/>
              <w:rPr>
                <w:b/>
                <w:lang w:val="en-US"/>
              </w:rPr>
            </w:pPr>
            <w:r w:rsidRPr="00E12084">
              <w:rPr>
                <w:b/>
                <w:lang w:val="en-US"/>
              </w:rPr>
              <w:t xml:space="preserve">Long-term hazard </w:t>
            </w:r>
            <w:r w:rsidRPr="00E12084">
              <w:rPr>
                <w:lang w:val="en-US"/>
              </w:rPr>
              <w:t>(</w:t>
            </w:r>
            <w:r w:rsidRPr="00E12084">
              <w:rPr>
                <w:i/>
                <w:iCs/>
                <w:lang w:val="en-US"/>
              </w:rPr>
              <w:t>see</w:t>
            </w:r>
            <w:r w:rsidRPr="00E12084">
              <w:rPr>
                <w:lang w:val="en-US"/>
              </w:rPr>
              <w:t xml:space="preserve"> </w:t>
            </w:r>
            <w:r w:rsidRPr="00E12084">
              <w:rPr>
                <w:i/>
                <w:iCs/>
                <w:lang w:val="en-US"/>
              </w:rPr>
              <w:t>Note 2</w:t>
            </w:r>
            <w:r w:rsidRPr="00E12084">
              <w:rPr>
                <w:lang w:val="en-US"/>
              </w:rPr>
              <w:t>)</w:t>
            </w:r>
          </w:p>
        </w:tc>
      </w:tr>
      <w:tr w:rsidR="00E12084" w:rsidRPr="001E17CD" w14:paraId="5F60D750" w14:textId="77777777" w:rsidTr="002321BE">
        <w:trPr>
          <w:tblHeader/>
        </w:trPr>
        <w:tc>
          <w:tcPr>
            <w:tcW w:w="1905" w:type="dxa"/>
            <w:vMerge/>
          </w:tcPr>
          <w:p w14:paraId="74528BE5" w14:textId="77777777" w:rsidR="00E12084" w:rsidRPr="00E12084" w:rsidRDefault="00E12084" w:rsidP="002321BE">
            <w:pPr>
              <w:spacing w:before="20" w:after="20"/>
              <w:rPr>
                <w:lang w:val="en-US"/>
              </w:rPr>
            </w:pPr>
          </w:p>
        </w:tc>
        <w:tc>
          <w:tcPr>
            <w:tcW w:w="4539" w:type="dxa"/>
            <w:gridSpan w:val="2"/>
          </w:tcPr>
          <w:p w14:paraId="1DCDB62C" w14:textId="77777777" w:rsidR="00E12084" w:rsidRPr="00E12084" w:rsidRDefault="00E12084" w:rsidP="002321BE">
            <w:pPr>
              <w:spacing w:before="20" w:after="20"/>
              <w:jc w:val="center"/>
              <w:rPr>
                <w:lang w:val="en-US"/>
              </w:rPr>
            </w:pPr>
            <w:r w:rsidRPr="00E12084">
              <w:rPr>
                <w:b/>
                <w:lang w:val="en-US"/>
              </w:rPr>
              <w:t xml:space="preserve">Adequate chronic toxicity data </w:t>
            </w:r>
            <w:r w:rsidRPr="00E12084">
              <w:rPr>
                <w:b/>
                <w:lang w:val="en-US"/>
              </w:rPr>
              <w:br/>
              <w:t>available</w:t>
            </w:r>
          </w:p>
        </w:tc>
        <w:tc>
          <w:tcPr>
            <w:tcW w:w="3195" w:type="dxa"/>
            <w:vMerge w:val="restart"/>
            <w:vAlign w:val="center"/>
          </w:tcPr>
          <w:p w14:paraId="77D271B3" w14:textId="77777777" w:rsidR="00E12084" w:rsidRPr="00E12084" w:rsidRDefault="00E12084" w:rsidP="002321BE">
            <w:pPr>
              <w:spacing w:before="20" w:after="20"/>
              <w:jc w:val="center"/>
              <w:rPr>
                <w:lang w:val="en-US"/>
              </w:rPr>
            </w:pPr>
            <w:r w:rsidRPr="00E12084">
              <w:rPr>
                <w:b/>
                <w:lang w:val="en-US"/>
              </w:rPr>
              <w:t xml:space="preserve">Adequate chronic toxicity data not available </w:t>
            </w:r>
            <w:r w:rsidRPr="00E12084">
              <w:rPr>
                <w:bCs/>
                <w:lang w:val="en-US"/>
              </w:rPr>
              <w:t>(</w:t>
            </w:r>
            <w:r w:rsidRPr="00E12084">
              <w:rPr>
                <w:bCs/>
                <w:i/>
                <w:iCs/>
                <w:lang w:val="en-US"/>
              </w:rPr>
              <w:t>see</w:t>
            </w:r>
            <w:r w:rsidRPr="00E12084">
              <w:rPr>
                <w:bCs/>
                <w:lang w:val="en-US"/>
              </w:rPr>
              <w:t xml:space="preserve"> </w:t>
            </w:r>
            <w:r w:rsidRPr="00E12084">
              <w:rPr>
                <w:bCs/>
                <w:i/>
                <w:iCs/>
                <w:lang w:val="en-US"/>
              </w:rPr>
              <w:t>Note 1</w:t>
            </w:r>
            <w:r w:rsidRPr="00E12084">
              <w:rPr>
                <w:bCs/>
                <w:lang w:val="en-US"/>
              </w:rPr>
              <w:t>)</w:t>
            </w:r>
          </w:p>
        </w:tc>
      </w:tr>
      <w:tr w:rsidR="00E12084" w:rsidRPr="001E17CD" w14:paraId="0A4AA5B5" w14:textId="77777777" w:rsidTr="002321BE">
        <w:trPr>
          <w:tblHeader/>
        </w:trPr>
        <w:tc>
          <w:tcPr>
            <w:tcW w:w="1905" w:type="dxa"/>
            <w:vMerge/>
          </w:tcPr>
          <w:p w14:paraId="2130F87F" w14:textId="77777777" w:rsidR="00E12084" w:rsidRPr="00E12084" w:rsidRDefault="00E12084" w:rsidP="002321BE">
            <w:pPr>
              <w:spacing w:before="20" w:after="20"/>
              <w:rPr>
                <w:lang w:val="en-US"/>
              </w:rPr>
            </w:pPr>
          </w:p>
        </w:tc>
        <w:tc>
          <w:tcPr>
            <w:tcW w:w="2078" w:type="dxa"/>
          </w:tcPr>
          <w:p w14:paraId="6EB9F135" w14:textId="77777777" w:rsidR="00E12084" w:rsidRPr="00A826DD" w:rsidRDefault="00E12084" w:rsidP="002321BE">
            <w:pPr>
              <w:spacing w:before="20" w:after="20"/>
              <w:jc w:val="center"/>
              <w:rPr>
                <w:b/>
              </w:rPr>
            </w:pPr>
            <w:r w:rsidRPr="00A826DD">
              <w:rPr>
                <w:b/>
              </w:rPr>
              <w:t>Non-</w:t>
            </w:r>
            <w:proofErr w:type="spellStart"/>
            <w:r w:rsidRPr="00A826DD">
              <w:rPr>
                <w:b/>
              </w:rPr>
              <w:t>rapidly</w:t>
            </w:r>
            <w:proofErr w:type="spellEnd"/>
            <w:r w:rsidRPr="00A826DD">
              <w:rPr>
                <w:b/>
              </w:rPr>
              <w:t xml:space="preserve"> </w:t>
            </w:r>
            <w:proofErr w:type="spellStart"/>
            <w:r w:rsidRPr="00A826DD">
              <w:rPr>
                <w:b/>
              </w:rPr>
              <w:t>degradable</w:t>
            </w:r>
            <w:proofErr w:type="spellEnd"/>
            <w:r w:rsidRPr="00A826DD">
              <w:rPr>
                <w:b/>
              </w:rPr>
              <w:t xml:space="preserve"> substances</w:t>
            </w:r>
            <w:r w:rsidRPr="00A826DD">
              <w:rPr>
                <w:b/>
              </w:rPr>
              <w:br/>
            </w:r>
            <w:r w:rsidRPr="00A826DD">
              <w:rPr>
                <w:bCs/>
              </w:rPr>
              <w:t>(</w:t>
            </w:r>
            <w:proofErr w:type="spellStart"/>
            <w:r w:rsidRPr="00A826DD">
              <w:rPr>
                <w:bCs/>
                <w:i/>
                <w:iCs/>
              </w:rPr>
              <w:t>see</w:t>
            </w:r>
            <w:proofErr w:type="spellEnd"/>
            <w:r w:rsidRPr="00A826DD">
              <w:rPr>
                <w:bCs/>
              </w:rPr>
              <w:t xml:space="preserve"> </w:t>
            </w:r>
            <w:r w:rsidRPr="00A826DD">
              <w:rPr>
                <w:bCs/>
                <w:i/>
                <w:iCs/>
              </w:rPr>
              <w:t>Note 3</w:t>
            </w:r>
            <w:r w:rsidRPr="00A826DD">
              <w:rPr>
                <w:bCs/>
              </w:rPr>
              <w:t>)</w:t>
            </w:r>
          </w:p>
        </w:tc>
        <w:tc>
          <w:tcPr>
            <w:tcW w:w="2461" w:type="dxa"/>
          </w:tcPr>
          <w:p w14:paraId="6E676C9F" w14:textId="77777777" w:rsidR="00E12084" w:rsidRPr="00E12084" w:rsidRDefault="00E12084" w:rsidP="002321BE">
            <w:pPr>
              <w:spacing w:before="20" w:after="20"/>
              <w:jc w:val="center"/>
              <w:rPr>
                <w:lang w:val="en-US"/>
              </w:rPr>
            </w:pPr>
            <w:r w:rsidRPr="00E12084">
              <w:rPr>
                <w:b/>
                <w:lang w:val="en-US"/>
              </w:rPr>
              <w:t xml:space="preserve">Rapidly </w:t>
            </w:r>
            <w:r w:rsidRPr="00E12084">
              <w:rPr>
                <w:b/>
                <w:lang w:val="en-US"/>
              </w:rPr>
              <w:br/>
              <w:t>degradable substances</w:t>
            </w:r>
            <w:r w:rsidRPr="00E12084">
              <w:rPr>
                <w:b/>
                <w:lang w:val="en-US"/>
              </w:rPr>
              <w:br/>
            </w:r>
            <w:r w:rsidRPr="00E12084">
              <w:rPr>
                <w:bCs/>
                <w:lang w:val="en-US"/>
              </w:rPr>
              <w:t>(</w:t>
            </w:r>
            <w:r w:rsidRPr="00E12084">
              <w:rPr>
                <w:bCs/>
                <w:i/>
                <w:iCs/>
                <w:lang w:val="en-US"/>
              </w:rPr>
              <w:t>see</w:t>
            </w:r>
            <w:r w:rsidRPr="00E12084">
              <w:rPr>
                <w:bCs/>
                <w:lang w:val="en-US"/>
              </w:rPr>
              <w:t xml:space="preserve"> </w:t>
            </w:r>
            <w:r w:rsidRPr="00E12084">
              <w:rPr>
                <w:bCs/>
                <w:i/>
                <w:iCs/>
                <w:lang w:val="en-US"/>
              </w:rPr>
              <w:t>Note 3</w:t>
            </w:r>
            <w:r w:rsidRPr="00E12084">
              <w:rPr>
                <w:bCs/>
                <w:lang w:val="en-US"/>
              </w:rPr>
              <w:t>)</w:t>
            </w:r>
          </w:p>
        </w:tc>
        <w:tc>
          <w:tcPr>
            <w:tcW w:w="3195" w:type="dxa"/>
            <w:vMerge/>
          </w:tcPr>
          <w:p w14:paraId="10BEFF09" w14:textId="77777777" w:rsidR="00E12084" w:rsidRPr="00E12084" w:rsidRDefault="00E12084" w:rsidP="002321BE">
            <w:pPr>
              <w:spacing w:before="20" w:after="20"/>
              <w:rPr>
                <w:lang w:val="en-US"/>
              </w:rPr>
            </w:pPr>
          </w:p>
        </w:tc>
      </w:tr>
      <w:tr w:rsidR="00E12084" w:rsidRPr="00A826DD" w14:paraId="39225168" w14:textId="77777777" w:rsidTr="002321BE">
        <w:trPr>
          <w:trHeight w:val="106"/>
        </w:trPr>
        <w:tc>
          <w:tcPr>
            <w:tcW w:w="1905" w:type="dxa"/>
            <w:tcBorders>
              <w:bottom w:val="single" w:sz="4" w:space="0" w:color="auto"/>
            </w:tcBorders>
          </w:tcPr>
          <w:p w14:paraId="6CC3D563" w14:textId="77777777" w:rsidR="00E12084" w:rsidRPr="00A826DD" w:rsidRDefault="00E12084" w:rsidP="002321BE">
            <w:pPr>
              <w:spacing w:before="20" w:after="20"/>
            </w:pPr>
            <w:proofErr w:type="spellStart"/>
            <w:r w:rsidRPr="00A826DD">
              <w:rPr>
                <w:b/>
              </w:rPr>
              <w:t>Category</w:t>
            </w:r>
            <w:proofErr w:type="spellEnd"/>
            <w:r w:rsidRPr="00A826DD">
              <w:rPr>
                <w:b/>
              </w:rPr>
              <w:t>: Acute 1</w:t>
            </w:r>
          </w:p>
        </w:tc>
        <w:tc>
          <w:tcPr>
            <w:tcW w:w="2078" w:type="dxa"/>
          </w:tcPr>
          <w:p w14:paraId="2FDE1F7E" w14:textId="77777777" w:rsidR="00E12084" w:rsidRPr="00A826DD" w:rsidRDefault="00E12084" w:rsidP="002321BE">
            <w:pPr>
              <w:spacing w:before="20" w:after="20"/>
            </w:pPr>
            <w:proofErr w:type="spellStart"/>
            <w:r w:rsidRPr="00A826DD">
              <w:rPr>
                <w:b/>
              </w:rPr>
              <w:t>Category</w:t>
            </w:r>
            <w:proofErr w:type="spellEnd"/>
            <w:r w:rsidRPr="00A826DD">
              <w:rPr>
                <w:b/>
              </w:rPr>
              <w:t xml:space="preserve">: </w:t>
            </w:r>
            <w:proofErr w:type="spellStart"/>
            <w:r w:rsidRPr="00A826DD">
              <w:rPr>
                <w:b/>
              </w:rPr>
              <w:t>Chronic</w:t>
            </w:r>
            <w:proofErr w:type="spellEnd"/>
            <w:r w:rsidRPr="00A826DD">
              <w:rPr>
                <w:b/>
              </w:rPr>
              <w:t xml:space="preserve"> 1</w:t>
            </w:r>
          </w:p>
        </w:tc>
        <w:tc>
          <w:tcPr>
            <w:tcW w:w="2461" w:type="dxa"/>
          </w:tcPr>
          <w:p w14:paraId="776AE73B" w14:textId="77777777" w:rsidR="00E12084" w:rsidRPr="00A826DD" w:rsidRDefault="00E12084" w:rsidP="002321BE">
            <w:pPr>
              <w:spacing w:before="20" w:after="20"/>
            </w:pPr>
            <w:proofErr w:type="spellStart"/>
            <w:r w:rsidRPr="00A826DD">
              <w:rPr>
                <w:b/>
              </w:rPr>
              <w:t>Category</w:t>
            </w:r>
            <w:proofErr w:type="spellEnd"/>
            <w:r w:rsidRPr="00A826DD">
              <w:rPr>
                <w:b/>
              </w:rPr>
              <w:t xml:space="preserve">: </w:t>
            </w:r>
            <w:proofErr w:type="spellStart"/>
            <w:r w:rsidRPr="00A826DD">
              <w:rPr>
                <w:b/>
              </w:rPr>
              <w:t>Chronic</w:t>
            </w:r>
            <w:proofErr w:type="spellEnd"/>
            <w:r w:rsidRPr="00A826DD">
              <w:rPr>
                <w:b/>
              </w:rPr>
              <w:t xml:space="preserve"> 1</w:t>
            </w:r>
          </w:p>
        </w:tc>
        <w:tc>
          <w:tcPr>
            <w:tcW w:w="3195" w:type="dxa"/>
          </w:tcPr>
          <w:p w14:paraId="5B35C70E" w14:textId="77777777" w:rsidR="00E12084" w:rsidRPr="00A826DD" w:rsidRDefault="00E12084" w:rsidP="002321BE">
            <w:pPr>
              <w:spacing w:before="20" w:after="20"/>
            </w:pPr>
            <w:proofErr w:type="spellStart"/>
            <w:r w:rsidRPr="00A826DD">
              <w:rPr>
                <w:b/>
              </w:rPr>
              <w:t>Category</w:t>
            </w:r>
            <w:proofErr w:type="spellEnd"/>
            <w:r w:rsidRPr="00A826DD">
              <w:rPr>
                <w:b/>
              </w:rPr>
              <w:t xml:space="preserve">: </w:t>
            </w:r>
            <w:proofErr w:type="spellStart"/>
            <w:r w:rsidRPr="00A826DD">
              <w:rPr>
                <w:b/>
              </w:rPr>
              <w:t>Chronic</w:t>
            </w:r>
            <w:proofErr w:type="spellEnd"/>
            <w:r w:rsidRPr="00A826DD">
              <w:rPr>
                <w:b/>
              </w:rPr>
              <w:t xml:space="preserve"> 1</w:t>
            </w:r>
          </w:p>
        </w:tc>
      </w:tr>
      <w:tr w:rsidR="00E12084" w:rsidRPr="001E17CD" w14:paraId="21C1B2FB" w14:textId="77777777" w:rsidTr="002321BE">
        <w:tc>
          <w:tcPr>
            <w:tcW w:w="1905" w:type="dxa"/>
            <w:tcBorders>
              <w:bottom w:val="nil"/>
            </w:tcBorders>
            <w:vAlign w:val="center"/>
          </w:tcPr>
          <w:p w14:paraId="7499DD24" w14:textId="77777777" w:rsidR="00E12084" w:rsidRPr="00A826DD" w:rsidRDefault="00E12084" w:rsidP="002321BE">
            <w:pPr>
              <w:spacing w:before="20" w:after="20"/>
            </w:pPr>
            <w:r w:rsidRPr="00A826DD">
              <w:t xml:space="preserve">L(E)C₅₀ </w:t>
            </w:r>
            <w:r w:rsidRPr="00A826DD">
              <w:sym w:font="Symbol" w:char="F0A3"/>
            </w:r>
            <w:r w:rsidRPr="00A826DD">
              <w:t xml:space="preserve"> 1.00</w:t>
            </w:r>
          </w:p>
        </w:tc>
        <w:tc>
          <w:tcPr>
            <w:tcW w:w="2078" w:type="dxa"/>
            <w:vAlign w:val="center"/>
          </w:tcPr>
          <w:p w14:paraId="4DC5B087" w14:textId="77777777" w:rsidR="00E12084" w:rsidRPr="00A826DD" w:rsidRDefault="00E12084" w:rsidP="002321BE">
            <w:pPr>
              <w:spacing w:before="20" w:after="20"/>
            </w:pPr>
            <w:r w:rsidRPr="00A826DD">
              <w:t xml:space="preserve">NOEC or </w:t>
            </w:r>
            <w:proofErr w:type="spellStart"/>
            <w:r w:rsidRPr="00A826DD">
              <w:t>EC</w:t>
            </w:r>
            <w:r w:rsidRPr="00A826DD">
              <w:rPr>
                <w:vertAlign w:val="subscript"/>
              </w:rPr>
              <w:t>x</w:t>
            </w:r>
            <w:proofErr w:type="spellEnd"/>
            <w:r w:rsidRPr="00A826DD">
              <w:t xml:space="preserve"> </w:t>
            </w:r>
            <w:r w:rsidRPr="00A826DD">
              <w:sym w:font="Symbol" w:char="F0A3"/>
            </w:r>
            <w:r w:rsidRPr="00A826DD">
              <w:t xml:space="preserve"> 0.1</w:t>
            </w:r>
          </w:p>
        </w:tc>
        <w:tc>
          <w:tcPr>
            <w:tcW w:w="2461" w:type="dxa"/>
            <w:vAlign w:val="center"/>
          </w:tcPr>
          <w:p w14:paraId="34120E06" w14:textId="77777777" w:rsidR="00E12084" w:rsidRPr="00A826DD" w:rsidRDefault="00E12084" w:rsidP="002321BE">
            <w:pPr>
              <w:spacing w:before="20" w:after="20"/>
            </w:pPr>
            <w:r w:rsidRPr="00A826DD">
              <w:t xml:space="preserve">NOEC or </w:t>
            </w:r>
            <w:proofErr w:type="spellStart"/>
            <w:r w:rsidRPr="00A826DD">
              <w:t>EC</w:t>
            </w:r>
            <w:r w:rsidRPr="00A826DD">
              <w:rPr>
                <w:vertAlign w:val="subscript"/>
              </w:rPr>
              <w:t>x</w:t>
            </w:r>
            <w:proofErr w:type="spellEnd"/>
            <w:r w:rsidRPr="00A826DD">
              <w:t xml:space="preserve"> </w:t>
            </w:r>
            <w:r w:rsidRPr="00A826DD">
              <w:sym w:font="Symbol" w:char="F0A3"/>
            </w:r>
            <w:r w:rsidRPr="00A826DD">
              <w:t xml:space="preserve"> 0.01</w:t>
            </w:r>
          </w:p>
        </w:tc>
        <w:tc>
          <w:tcPr>
            <w:tcW w:w="3195" w:type="dxa"/>
            <w:vAlign w:val="center"/>
          </w:tcPr>
          <w:p w14:paraId="33B0D3FF" w14:textId="77777777" w:rsidR="00E12084" w:rsidRPr="00E12084" w:rsidRDefault="00E12084" w:rsidP="002321BE">
            <w:pPr>
              <w:spacing w:before="20" w:after="20"/>
              <w:rPr>
                <w:lang w:val="en-US"/>
              </w:rPr>
            </w:pPr>
            <w:r w:rsidRPr="00E12084">
              <w:rPr>
                <w:lang w:val="en-US"/>
              </w:rPr>
              <w:t xml:space="preserve">L(E)C₅₀ </w:t>
            </w:r>
            <w:r w:rsidRPr="00A826DD">
              <w:sym w:font="Symbol" w:char="F0A3"/>
            </w:r>
            <w:r w:rsidRPr="00E12084">
              <w:rPr>
                <w:lang w:val="en-US"/>
              </w:rPr>
              <w:t xml:space="preserve"> 1.00 and lack of rapid degradability and/or BCF </w:t>
            </w:r>
            <w:r w:rsidRPr="00A826DD">
              <w:sym w:font="Symbol" w:char="F0B3"/>
            </w:r>
            <w:r w:rsidRPr="00E12084">
              <w:rPr>
                <w:lang w:val="en-US"/>
              </w:rPr>
              <w:t xml:space="preserve"> 500 or, if absent log </w:t>
            </w:r>
            <w:proofErr w:type="spellStart"/>
            <w:r w:rsidRPr="00E12084">
              <w:rPr>
                <w:lang w:val="en-US"/>
              </w:rPr>
              <w:t>K</w:t>
            </w:r>
            <w:r w:rsidRPr="00E12084">
              <w:rPr>
                <w:vertAlign w:val="subscript"/>
                <w:lang w:val="en-US"/>
              </w:rPr>
              <w:t>ow</w:t>
            </w:r>
            <w:proofErr w:type="spellEnd"/>
            <w:r w:rsidRPr="00E12084">
              <w:rPr>
                <w:vertAlign w:val="subscript"/>
                <w:lang w:val="en-US"/>
              </w:rPr>
              <w:t xml:space="preserve"> </w:t>
            </w:r>
            <w:r w:rsidRPr="00A826DD">
              <w:sym w:font="Symbol" w:char="F0B3"/>
            </w:r>
            <w:r w:rsidRPr="00E12084">
              <w:rPr>
                <w:lang w:val="en-US"/>
              </w:rPr>
              <w:t xml:space="preserve"> 4</w:t>
            </w:r>
          </w:p>
        </w:tc>
      </w:tr>
      <w:tr w:rsidR="00E12084" w:rsidRPr="00A826DD" w14:paraId="1764BA92" w14:textId="77777777" w:rsidTr="002321BE">
        <w:tc>
          <w:tcPr>
            <w:tcW w:w="1905" w:type="dxa"/>
            <w:tcBorders>
              <w:top w:val="nil"/>
              <w:bottom w:val="nil"/>
            </w:tcBorders>
          </w:tcPr>
          <w:p w14:paraId="1EFC1CC1" w14:textId="77777777" w:rsidR="00E12084" w:rsidRPr="00E12084" w:rsidRDefault="00E12084" w:rsidP="002321BE">
            <w:pPr>
              <w:keepNext/>
              <w:keepLines/>
              <w:spacing w:before="20" w:after="20"/>
              <w:rPr>
                <w:lang w:val="en-US"/>
              </w:rPr>
            </w:pPr>
          </w:p>
        </w:tc>
        <w:tc>
          <w:tcPr>
            <w:tcW w:w="2078" w:type="dxa"/>
          </w:tcPr>
          <w:p w14:paraId="48E7DC39" w14:textId="77777777" w:rsidR="00E12084" w:rsidRPr="00A826DD" w:rsidRDefault="00E12084" w:rsidP="002321BE">
            <w:pPr>
              <w:keepNext/>
              <w:keepLines/>
              <w:spacing w:before="20" w:after="20"/>
            </w:pPr>
            <w:proofErr w:type="spellStart"/>
            <w:r w:rsidRPr="00A826DD">
              <w:rPr>
                <w:b/>
              </w:rPr>
              <w:t>Category</w:t>
            </w:r>
            <w:proofErr w:type="spellEnd"/>
            <w:r w:rsidRPr="00A826DD">
              <w:rPr>
                <w:b/>
              </w:rPr>
              <w:t xml:space="preserve">: </w:t>
            </w:r>
            <w:proofErr w:type="spellStart"/>
            <w:r w:rsidRPr="00A826DD">
              <w:rPr>
                <w:b/>
              </w:rPr>
              <w:t>Chronic</w:t>
            </w:r>
            <w:proofErr w:type="spellEnd"/>
            <w:r w:rsidRPr="00A826DD">
              <w:rPr>
                <w:b/>
              </w:rPr>
              <w:t xml:space="preserve"> 2</w:t>
            </w:r>
          </w:p>
        </w:tc>
        <w:tc>
          <w:tcPr>
            <w:tcW w:w="2461" w:type="dxa"/>
          </w:tcPr>
          <w:p w14:paraId="01F854D2" w14:textId="77777777" w:rsidR="00E12084" w:rsidRPr="00A826DD" w:rsidRDefault="00E12084" w:rsidP="002321BE">
            <w:pPr>
              <w:keepNext/>
              <w:keepLines/>
              <w:spacing w:before="20" w:after="20"/>
            </w:pPr>
            <w:proofErr w:type="spellStart"/>
            <w:r w:rsidRPr="00A826DD">
              <w:rPr>
                <w:b/>
              </w:rPr>
              <w:t>Category</w:t>
            </w:r>
            <w:proofErr w:type="spellEnd"/>
            <w:r w:rsidRPr="00A826DD">
              <w:rPr>
                <w:b/>
              </w:rPr>
              <w:t xml:space="preserve">: </w:t>
            </w:r>
            <w:proofErr w:type="spellStart"/>
            <w:r w:rsidRPr="00A826DD">
              <w:rPr>
                <w:b/>
              </w:rPr>
              <w:t>Chronic</w:t>
            </w:r>
            <w:proofErr w:type="spellEnd"/>
            <w:r w:rsidRPr="00A826DD">
              <w:rPr>
                <w:b/>
              </w:rPr>
              <w:t xml:space="preserve"> 2</w:t>
            </w:r>
          </w:p>
        </w:tc>
        <w:tc>
          <w:tcPr>
            <w:tcW w:w="3195" w:type="dxa"/>
          </w:tcPr>
          <w:p w14:paraId="2EDAB529" w14:textId="77777777" w:rsidR="00E12084" w:rsidRPr="00A826DD" w:rsidRDefault="00E12084" w:rsidP="002321BE">
            <w:pPr>
              <w:keepNext/>
              <w:keepLines/>
              <w:spacing w:before="20" w:after="20"/>
            </w:pPr>
            <w:proofErr w:type="spellStart"/>
            <w:r w:rsidRPr="00A826DD">
              <w:rPr>
                <w:b/>
              </w:rPr>
              <w:t>Category</w:t>
            </w:r>
            <w:proofErr w:type="spellEnd"/>
            <w:r w:rsidRPr="00A826DD">
              <w:rPr>
                <w:b/>
              </w:rPr>
              <w:t xml:space="preserve">: </w:t>
            </w:r>
            <w:proofErr w:type="spellStart"/>
            <w:r w:rsidRPr="00A826DD">
              <w:rPr>
                <w:b/>
              </w:rPr>
              <w:t>Chronic</w:t>
            </w:r>
            <w:proofErr w:type="spellEnd"/>
            <w:r w:rsidRPr="00A826DD">
              <w:rPr>
                <w:b/>
              </w:rPr>
              <w:t xml:space="preserve"> 2</w:t>
            </w:r>
          </w:p>
        </w:tc>
      </w:tr>
      <w:tr w:rsidR="00E12084" w:rsidRPr="001E17CD" w14:paraId="7F89C3C9" w14:textId="77777777" w:rsidTr="002321BE">
        <w:tc>
          <w:tcPr>
            <w:tcW w:w="1905" w:type="dxa"/>
            <w:tcBorders>
              <w:top w:val="nil"/>
            </w:tcBorders>
            <w:vAlign w:val="center"/>
          </w:tcPr>
          <w:p w14:paraId="0E5620E6" w14:textId="77777777" w:rsidR="00E12084" w:rsidRPr="00A826DD" w:rsidRDefault="00E12084" w:rsidP="002321BE">
            <w:pPr>
              <w:spacing w:before="20" w:after="20"/>
              <w:ind w:right="-49"/>
            </w:pPr>
          </w:p>
        </w:tc>
        <w:tc>
          <w:tcPr>
            <w:tcW w:w="2078" w:type="dxa"/>
            <w:vAlign w:val="center"/>
          </w:tcPr>
          <w:p w14:paraId="1938D154" w14:textId="77777777" w:rsidR="00E12084" w:rsidRPr="00A826DD" w:rsidRDefault="00E12084" w:rsidP="002321BE">
            <w:pPr>
              <w:spacing w:before="20" w:after="20"/>
            </w:pPr>
            <w:r w:rsidRPr="00A826DD">
              <w:t xml:space="preserve">0.1 &lt; NOEC or </w:t>
            </w:r>
            <w:proofErr w:type="spellStart"/>
            <w:r w:rsidRPr="00A826DD">
              <w:t>EC</w:t>
            </w:r>
            <w:r w:rsidRPr="00A826DD">
              <w:rPr>
                <w:vertAlign w:val="subscript"/>
              </w:rPr>
              <w:t>x</w:t>
            </w:r>
            <w:proofErr w:type="spellEnd"/>
            <w:r w:rsidRPr="00A826DD">
              <w:t xml:space="preserve"> </w:t>
            </w:r>
            <w:r w:rsidRPr="00A826DD">
              <w:sym w:font="Symbol" w:char="F0A3"/>
            </w:r>
            <w:r w:rsidRPr="00A826DD">
              <w:t xml:space="preserve"> 1</w:t>
            </w:r>
          </w:p>
        </w:tc>
        <w:tc>
          <w:tcPr>
            <w:tcW w:w="2461" w:type="dxa"/>
            <w:vAlign w:val="center"/>
          </w:tcPr>
          <w:p w14:paraId="33C338B7" w14:textId="77777777" w:rsidR="00E12084" w:rsidRPr="00A826DD" w:rsidRDefault="00E12084" w:rsidP="002321BE">
            <w:pPr>
              <w:spacing w:before="20" w:after="20"/>
            </w:pPr>
            <w:r w:rsidRPr="00A826DD">
              <w:t xml:space="preserve">0.01 &lt; NOEC or </w:t>
            </w:r>
            <w:proofErr w:type="spellStart"/>
            <w:r w:rsidRPr="00A826DD">
              <w:t>EC</w:t>
            </w:r>
            <w:r w:rsidRPr="00A826DD">
              <w:rPr>
                <w:vertAlign w:val="subscript"/>
              </w:rPr>
              <w:t>x</w:t>
            </w:r>
            <w:proofErr w:type="spellEnd"/>
            <w:r w:rsidRPr="00A826DD">
              <w:t xml:space="preserve"> </w:t>
            </w:r>
            <w:r w:rsidRPr="00A826DD">
              <w:sym w:font="Symbol" w:char="F0A3"/>
            </w:r>
            <w:r w:rsidRPr="00A826DD">
              <w:t xml:space="preserve"> 0.1</w:t>
            </w:r>
          </w:p>
        </w:tc>
        <w:tc>
          <w:tcPr>
            <w:tcW w:w="3195" w:type="dxa"/>
            <w:vAlign w:val="center"/>
          </w:tcPr>
          <w:p w14:paraId="63639CF8" w14:textId="77777777" w:rsidR="00E12084" w:rsidRPr="00E12084" w:rsidRDefault="00E12084" w:rsidP="002321BE">
            <w:pPr>
              <w:spacing w:before="20" w:after="20"/>
              <w:rPr>
                <w:lang w:val="en-US"/>
              </w:rPr>
            </w:pPr>
            <w:r w:rsidRPr="00E12084">
              <w:rPr>
                <w:lang w:val="en-US"/>
              </w:rPr>
              <w:t xml:space="preserve">1.00 &lt; L(E)C₅₀ </w:t>
            </w:r>
            <w:r w:rsidRPr="00A826DD">
              <w:sym w:font="Symbol" w:char="F0A3"/>
            </w:r>
            <w:r w:rsidRPr="00E12084">
              <w:rPr>
                <w:lang w:val="en-US"/>
              </w:rPr>
              <w:t xml:space="preserve"> 10.0 and lack of rapid degradability and/or </w:t>
            </w:r>
            <w:r w:rsidRPr="00E12084">
              <w:rPr>
                <w:lang w:val="en-US"/>
              </w:rPr>
              <w:br/>
              <w:t xml:space="preserve">BCF </w:t>
            </w:r>
            <w:r w:rsidRPr="00A826DD">
              <w:sym w:font="Symbol" w:char="F0B3"/>
            </w:r>
            <w:r w:rsidRPr="00E12084">
              <w:rPr>
                <w:lang w:val="en-US"/>
              </w:rPr>
              <w:t xml:space="preserve"> 500 or, if absent log </w:t>
            </w:r>
            <w:proofErr w:type="spellStart"/>
            <w:r w:rsidRPr="00E12084">
              <w:rPr>
                <w:lang w:val="en-US"/>
              </w:rPr>
              <w:t>K</w:t>
            </w:r>
            <w:r w:rsidRPr="00E12084">
              <w:rPr>
                <w:vertAlign w:val="subscript"/>
                <w:lang w:val="en-US"/>
              </w:rPr>
              <w:t>ow</w:t>
            </w:r>
            <w:proofErr w:type="spellEnd"/>
            <w:r w:rsidRPr="00E12084">
              <w:rPr>
                <w:vertAlign w:val="subscript"/>
                <w:lang w:val="en-US"/>
              </w:rPr>
              <w:t xml:space="preserve"> </w:t>
            </w:r>
            <w:r w:rsidRPr="00A826DD">
              <w:sym w:font="Symbol" w:char="F0B3"/>
            </w:r>
            <w:r w:rsidRPr="00E12084">
              <w:rPr>
                <w:lang w:val="en-US"/>
              </w:rPr>
              <w:t xml:space="preserve"> 4</w:t>
            </w:r>
          </w:p>
        </w:tc>
      </w:tr>
    </w:tbl>
    <w:p w14:paraId="6328F339" w14:textId="77777777" w:rsidR="00E12084" w:rsidRPr="00E12084" w:rsidRDefault="00E12084" w:rsidP="00E12084">
      <w:pPr>
        <w:rPr>
          <w:b/>
          <w:bCs/>
          <w:i/>
          <w:lang w:val="en-US"/>
        </w:rPr>
      </w:pPr>
    </w:p>
    <w:p w14:paraId="3507BFA1" w14:textId="77777777" w:rsidR="00E12084" w:rsidRPr="00E12084" w:rsidRDefault="00E12084" w:rsidP="00E12084">
      <w:pPr>
        <w:pStyle w:val="HChG"/>
        <w:rPr>
          <w:lang w:val="en-US"/>
        </w:rPr>
      </w:pPr>
      <w:r>
        <w:rPr>
          <w:color w:val="000000" w:themeColor="text1"/>
          <w:lang w:val="en-US"/>
        </w:rPr>
        <w:tab/>
        <w:t>III.</w:t>
      </w:r>
      <w:r>
        <w:rPr>
          <w:color w:val="000000" w:themeColor="text1"/>
          <w:lang w:val="en-US"/>
        </w:rPr>
        <w:tab/>
      </w:r>
      <w:r w:rsidRPr="00E12084">
        <w:rPr>
          <w:lang w:val="en-US"/>
        </w:rPr>
        <w:t>Mixture classification</w:t>
      </w:r>
    </w:p>
    <w:p w14:paraId="054F48E0" w14:textId="77777777" w:rsidR="00E12084" w:rsidRPr="00E12084" w:rsidRDefault="00E12084" w:rsidP="00E12084">
      <w:pPr>
        <w:pStyle w:val="SingleTxtG"/>
        <w:rPr>
          <w:lang w:val="en-US"/>
        </w:rPr>
      </w:pPr>
      <w:r>
        <w:rPr>
          <w:lang w:val="en-US"/>
        </w:rPr>
        <w:t>7.</w:t>
      </w:r>
      <w:r>
        <w:rPr>
          <w:lang w:val="en-US"/>
        </w:rPr>
        <w:tab/>
      </w:r>
      <w:r w:rsidRPr="00DD6A2F">
        <w:rPr>
          <w:lang w:val="en-US"/>
        </w:rPr>
        <w:t>Mixture classification can be based on test results, bridging principles or summation method.</w:t>
      </w:r>
    </w:p>
    <w:p w14:paraId="4DAB747E" w14:textId="77777777" w:rsidR="00E12084" w:rsidRPr="00E12084" w:rsidRDefault="00E12084" w:rsidP="00E12084">
      <w:pPr>
        <w:pStyle w:val="SingleTxtG"/>
        <w:rPr>
          <w:lang w:val="en-US"/>
        </w:rPr>
      </w:pPr>
      <w:r>
        <w:rPr>
          <w:lang w:val="en-US"/>
        </w:rPr>
        <w:t>8.</w:t>
      </w:r>
      <w:r>
        <w:rPr>
          <w:lang w:val="en-US"/>
        </w:rPr>
        <w:tab/>
      </w:r>
      <w:r w:rsidRPr="00DD6A2F">
        <w:rPr>
          <w:lang w:val="en-US"/>
        </w:rPr>
        <w:t>Mixture can only be tested on the aquatic toxicity data for fish, crustacea and algae/plants, degradability and bioaccumulation data are not possible for mixtures (or difficult to interpret the results) and therefore are only suitable for substances.</w:t>
      </w:r>
    </w:p>
    <w:p w14:paraId="45A0EBAD" w14:textId="77777777" w:rsidR="00E12084" w:rsidRPr="00E12084" w:rsidRDefault="00E12084" w:rsidP="00E12084">
      <w:pPr>
        <w:pStyle w:val="SingleTxtG"/>
        <w:rPr>
          <w:lang w:val="en-US" w:eastAsia="nl-NL"/>
        </w:rPr>
      </w:pPr>
      <w:r>
        <w:rPr>
          <w:lang w:val="en-US"/>
        </w:rPr>
        <w:t>9.</w:t>
      </w:r>
      <w:r>
        <w:rPr>
          <w:lang w:val="en-US"/>
        </w:rPr>
        <w:tab/>
      </w:r>
      <w:r w:rsidRPr="00DD6A2F">
        <w:rPr>
          <w:lang w:val="en-US"/>
        </w:rPr>
        <w:t xml:space="preserve">The summation method is used to determine the classification for mixtures (from the </w:t>
      </w:r>
      <w:r>
        <w:rPr>
          <w:lang w:val="en-US"/>
        </w:rPr>
        <w:t>twenty-third</w:t>
      </w:r>
      <w:r w:rsidRPr="00DD6A2F">
        <w:rPr>
          <w:lang w:val="en-US"/>
        </w:rPr>
        <w:t xml:space="preserve"> revi</w:t>
      </w:r>
      <w:r>
        <w:rPr>
          <w:lang w:val="en-US"/>
        </w:rPr>
        <w:t>sed edition</w:t>
      </w:r>
      <w:r w:rsidRPr="00DD6A2F">
        <w:rPr>
          <w:lang w:val="en-US"/>
        </w:rPr>
        <w:t xml:space="preserve"> of the </w:t>
      </w:r>
      <w:r w:rsidRPr="00A718AA">
        <w:rPr>
          <w:i/>
          <w:iCs/>
          <w:lang w:val="en-US"/>
        </w:rPr>
        <w:t>Model Regulations</w:t>
      </w:r>
      <w:r w:rsidRPr="00DD6A2F">
        <w:rPr>
          <w:lang w:val="en-US"/>
        </w:rPr>
        <w:t>):</w:t>
      </w:r>
    </w:p>
    <w:p w14:paraId="497E26E3" w14:textId="77777777" w:rsidR="00E12084" w:rsidRPr="00E12084" w:rsidRDefault="00E12084" w:rsidP="00E12084">
      <w:pPr>
        <w:jc w:val="center"/>
        <w:rPr>
          <w:b/>
          <w:bCs/>
          <w:lang w:val="en-US" w:eastAsia="nl-NL"/>
        </w:rPr>
      </w:pPr>
      <w:r w:rsidRPr="00E12084">
        <w:rPr>
          <w:b/>
          <w:bCs/>
          <w:lang w:val="en-US" w:eastAsia="nl-NL"/>
        </w:rPr>
        <w:t>Table 2.2.9.1.10.4.6.2.2: Classification of a mixture for acute hazards based on summation of the concentrations of classified ingredients</w:t>
      </w:r>
    </w:p>
    <w:p w14:paraId="07A6A08B" w14:textId="77777777" w:rsidR="00E12084" w:rsidRPr="00E12084" w:rsidRDefault="00E12084" w:rsidP="00E12084">
      <w:pPr>
        <w:jc w:val="center"/>
        <w:rPr>
          <w:b/>
          <w:bCs/>
          <w:lang w:val="en-US" w:eastAsia="nl-NL"/>
        </w:rPr>
      </w:pPr>
    </w:p>
    <w:tbl>
      <w:tblPr>
        <w:tblW w:w="779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140"/>
        <w:gridCol w:w="3655"/>
      </w:tblGrid>
      <w:tr w:rsidR="00E12084" w:rsidRPr="00A826DD" w14:paraId="5988594A" w14:textId="77777777" w:rsidTr="002321BE">
        <w:trPr>
          <w:cantSplit/>
          <w:jc w:val="center"/>
        </w:trPr>
        <w:tc>
          <w:tcPr>
            <w:tcW w:w="4140" w:type="dxa"/>
          </w:tcPr>
          <w:p w14:paraId="1E69B250" w14:textId="77777777" w:rsidR="00E12084" w:rsidRPr="00E12084" w:rsidRDefault="00E12084" w:rsidP="002321BE">
            <w:pPr>
              <w:ind w:right="-14"/>
              <w:jc w:val="center"/>
              <w:rPr>
                <w:lang w:val="en-US"/>
              </w:rPr>
            </w:pPr>
            <w:r w:rsidRPr="00E12084">
              <w:rPr>
                <w:lang w:val="en-US"/>
              </w:rPr>
              <w:t>Sum of the concentrations (in %) of ingredients classified as:</w:t>
            </w:r>
          </w:p>
        </w:tc>
        <w:tc>
          <w:tcPr>
            <w:tcW w:w="3655" w:type="dxa"/>
          </w:tcPr>
          <w:p w14:paraId="57EA7B48" w14:textId="77777777" w:rsidR="00E12084" w:rsidRPr="00A826DD" w:rsidRDefault="00E12084" w:rsidP="002321BE">
            <w:pPr>
              <w:tabs>
                <w:tab w:val="left" w:pos="1980"/>
              </w:tabs>
              <w:ind w:left="1980" w:hanging="1980"/>
              <w:jc w:val="center"/>
            </w:pPr>
            <w:r w:rsidRPr="00A826DD">
              <w:t xml:space="preserve">Mixture </w:t>
            </w:r>
            <w:proofErr w:type="spellStart"/>
            <w:r w:rsidRPr="00A826DD">
              <w:t>classified</w:t>
            </w:r>
            <w:proofErr w:type="spellEnd"/>
            <w:r w:rsidRPr="00A826DD">
              <w:t xml:space="preserve"> as:</w:t>
            </w:r>
          </w:p>
        </w:tc>
      </w:tr>
      <w:tr w:rsidR="00E12084" w:rsidRPr="00A826DD" w14:paraId="07E5639E" w14:textId="77777777" w:rsidTr="002321BE">
        <w:trPr>
          <w:cantSplit/>
          <w:jc w:val="center"/>
        </w:trPr>
        <w:tc>
          <w:tcPr>
            <w:tcW w:w="4140" w:type="dxa"/>
          </w:tcPr>
          <w:p w14:paraId="5ED64772" w14:textId="77777777" w:rsidR="00E12084" w:rsidRPr="00A826DD" w:rsidRDefault="00E12084" w:rsidP="002321BE">
            <w:pPr>
              <w:ind w:left="2" w:hanging="2"/>
              <w:jc w:val="center"/>
              <w:rPr>
                <w:lang w:eastAsia="nl-NL"/>
              </w:rPr>
            </w:pPr>
            <w:r w:rsidRPr="00A826DD">
              <w:rPr>
                <w:lang w:eastAsia="nl-NL"/>
              </w:rPr>
              <w:t xml:space="preserve">Acute 1 </w:t>
            </w:r>
            <w:r w:rsidRPr="00A826DD">
              <w:rPr>
                <w:lang w:eastAsia="nl-NL"/>
              </w:rPr>
              <w:sym w:font="Symbol" w:char="F0B4"/>
            </w:r>
            <w:r w:rsidRPr="00A826DD">
              <w:rPr>
                <w:lang w:eastAsia="nl-NL"/>
              </w:rPr>
              <w:t xml:space="preserve"> M </w:t>
            </w:r>
            <w:r w:rsidRPr="00A826DD">
              <w:rPr>
                <w:b/>
                <w:bCs/>
                <w:vertAlign w:val="superscript"/>
                <w:lang w:eastAsia="nl-NL"/>
              </w:rPr>
              <w:t>a</w:t>
            </w:r>
            <w:r w:rsidRPr="00A826DD">
              <w:rPr>
                <w:lang w:eastAsia="nl-NL"/>
              </w:rPr>
              <w:t xml:space="preserve"> </w:t>
            </w:r>
            <w:r w:rsidRPr="00A826DD">
              <w:rPr>
                <w:lang w:eastAsia="nl-NL"/>
              </w:rPr>
              <w:sym w:font="Symbol" w:char="F0B3"/>
            </w:r>
            <w:r w:rsidRPr="00A826DD">
              <w:rPr>
                <w:lang w:eastAsia="nl-NL"/>
              </w:rPr>
              <w:t xml:space="preserve"> 25 %</w:t>
            </w:r>
          </w:p>
        </w:tc>
        <w:tc>
          <w:tcPr>
            <w:tcW w:w="3655" w:type="dxa"/>
          </w:tcPr>
          <w:p w14:paraId="5D7FB8E7" w14:textId="77777777" w:rsidR="00E12084" w:rsidRPr="00A826DD" w:rsidRDefault="00E12084" w:rsidP="002321BE">
            <w:pPr>
              <w:tabs>
                <w:tab w:val="left" w:pos="1980"/>
              </w:tabs>
              <w:ind w:left="1980" w:hanging="1980"/>
              <w:jc w:val="center"/>
            </w:pPr>
            <w:r w:rsidRPr="00A826DD">
              <w:t>Acute 1</w:t>
            </w:r>
          </w:p>
        </w:tc>
      </w:tr>
    </w:tbl>
    <w:p w14:paraId="062B54E2" w14:textId="77777777" w:rsidR="00E12084" w:rsidRPr="00E12084" w:rsidRDefault="00E12084" w:rsidP="00E12084">
      <w:pPr>
        <w:tabs>
          <w:tab w:val="left" w:pos="1418"/>
          <w:tab w:val="left" w:pos="1980"/>
        </w:tabs>
        <w:ind w:left="1979" w:hanging="986"/>
        <w:rPr>
          <w:lang w:val="en-US" w:eastAsia="nl-NL"/>
        </w:rPr>
      </w:pPr>
      <w:r w:rsidRPr="00E12084">
        <w:rPr>
          <w:b/>
          <w:vertAlign w:val="superscript"/>
          <w:lang w:val="en-US" w:eastAsia="nl-NL"/>
        </w:rPr>
        <w:t>a</w:t>
      </w:r>
      <w:r w:rsidRPr="00E12084">
        <w:rPr>
          <w:b/>
          <w:bCs/>
          <w:lang w:val="en-US" w:eastAsia="nl-NL"/>
        </w:rPr>
        <w:t xml:space="preserve">  </w:t>
      </w:r>
      <w:r w:rsidRPr="00E12084">
        <w:rPr>
          <w:i/>
          <w:lang w:val="en-US" w:eastAsia="nl-NL"/>
        </w:rPr>
        <w:t>For explanation of the M factor, see 2.2.9.1.10.4.6.4.</w:t>
      </w:r>
    </w:p>
    <w:p w14:paraId="47640338" w14:textId="77777777" w:rsidR="00E12084" w:rsidRPr="00E12084" w:rsidRDefault="00E12084" w:rsidP="00E12084">
      <w:pPr>
        <w:spacing w:after="200"/>
        <w:ind w:left="1701" w:hanging="1701"/>
        <w:rPr>
          <w:lang w:val="en-US"/>
        </w:rPr>
      </w:pPr>
    </w:p>
    <w:p w14:paraId="62DC601F" w14:textId="77777777" w:rsidR="00E12084" w:rsidRPr="00E12084" w:rsidRDefault="00E12084" w:rsidP="00E12084">
      <w:pPr>
        <w:keepNext/>
        <w:keepLines/>
        <w:jc w:val="center"/>
        <w:rPr>
          <w:b/>
          <w:bCs/>
          <w:lang w:val="en-US"/>
        </w:rPr>
      </w:pPr>
      <w:r w:rsidRPr="00E12084">
        <w:rPr>
          <w:b/>
          <w:bCs/>
          <w:lang w:val="en-US"/>
        </w:rPr>
        <w:t>Table 2.2.9.1.10.4.6.3.3: Classification of a mixture for long-term hazards based on summation of the concentrations of classified ingredients</w:t>
      </w:r>
    </w:p>
    <w:p w14:paraId="3B606ADD" w14:textId="77777777" w:rsidR="00E12084" w:rsidRPr="00E12084" w:rsidRDefault="00E12084" w:rsidP="00E12084">
      <w:pPr>
        <w:pStyle w:val="SingleTxtG"/>
        <w:keepNext/>
        <w:keepLines/>
        <w:rPr>
          <w:b/>
          <w:bCs/>
          <w:lang w:val="en-US"/>
        </w:rPr>
      </w:pPr>
    </w:p>
    <w:tbl>
      <w:tblPr>
        <w:tblW w:w="737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3421"/>
        <w:gridCol w:w="1007"/>
        <w:gridCol w:w="2943"/>
      </w:tblGrid>
      <w:tr w:rsidR="00E12084" w:rsidRPr="00A826DD" w14:paraId="69969717" w14:textId="77777777" w:rsidTr="002321BE">
        <w:trPr>
          <w:jc w:val="center"/>
        </w:trPr>
        <w:tc>
          <w:tcPr>
            <w:tcW w:w="4428" w:type="dxa"/>
            <w:gridSpan w:val="2"/>
          </w:tcPr>
          <w:p w14:paraId="7CF085CF" w14:textId="77777777" w:rsidR="00E12084" w:rsidRPr="00E12084" w:rsidRDefault="00E12084" w:rsidP="002321BE">
            <w:pPr>
              <w:spacing w:before="40" w:after="40"/>
              <w:jc w:val="center"/>
              <w:rPr>
                <w:lang w:val="en-US"/>
              </w:rPr>
            </w:pPr>
            <w:r w:rsidRPr="00E12084">
              <w:rPr>
                <w:lang w:val="en-US"/>
              </w:rPr>
              <w:t>Sum of the concentrations (in %) of ingredients classified as:</w:t>
            </w:r>
          </w:p>
        </w:tc>
        <w:tc>
          <w:tcPr>
            <w:tcW w:w="2943" w:type="dxa"/>
          </w:tcPr>
          <w:p w14:paraId="324A5B20" w14:textId="77777777" w:rsidR="00E12084" w:rsidRPr="00A826DD" w:rsidRDefault="00E12084" w:rsidP="002321BE">
            <w:pPr>
              <w:tabs>
                <w:tab w:val="left" w:pos="1980"/>
              </w:tabs>
              <w:spacing w:before="40" w:after="40"/>
              <w:ind w:left="1980" w:hanging="1980"/>
              <w:jc w:val="center"/>
            </w:pPr>
            <w:r w:rsidRPr="00A826DD">
              <w:t xml:space="preserve">Mixture </w:t>
            </w:r>
            <w:proofErr w:type="spellStart"/>
            <w:r w:rsidRPr="00A826DD">
              <w:t>classified</w:t>
            </w:r>
            <w:proofErr w:type="spellEnd"/>
            <w:r w:rsidRPr="00A826DD">
              <w:t xml:space="preserve"> as:</w:t>
            </w:r>
          </w:p>
        </w:tc>
      </w:tr>
      <w:tr w:rsidR="00E12084" w:rsidRPr="00A826DD" w14:paraId="430FBC34" w14:textId="77777777" w:rsidTr="002321BE">
        <w:trPr>
          <w:jc w:val="center"/>
        </w:trPr>
        <w:tc>
          <w:tcPr>
            <w:tcW w:w="3421" w:type="dxa"/>
            <w:tcBorders>
              <w:right w:val="nil"/>
            </w:tcBorders>
          </w:tcPr>
          <w:p w14:paraId="512F3D99" w14:textId="77777777" w:rsidR="00E12084" w:rsidRPr="00A826DD" w:rsidRDefault="00E12084" w:rsidP="002321BE">
            <w:pPr>
              <w:keepNext/>
              <w:keepLines/>
              <w:spacing w:before="40" w:after="40"/>
              <w:rPr>
                <w:rFonts w:eastAsia="SimSun"/>
              </w:rPr>
            </w:pPr>
            <w:proofErr w:type="spellStart"/>
            <w:r w:rsidRPr="00A826DD">
              <w:rPr>
                <w:rFonts w:eastAsia="SimSun"/>
              </w:rPr>
              <w:t>Chronic</w:t>
            </w:r>
            <w:proofErr w:type="spellEnd"/>
            <w:r w:rsidRPr="00A826DD">
              <w:rPr>
                <w:rFonts w:eastAsia="SimSun"/>
              </w:rPr>
              <w:t xml:space="preserve"> 1 </w:t>
            </w:r>
            <w:r w:rsidRPr="00A826DD">
              <w:rPr>
                <w:rFonts w:eastAsia="SimSun"/>
              </w:rPr>
              <w:sym w:font="Symbol" w:char="F0B4"/>
            </w:r>
            <w:r w:rsidRPr="00A826DD">
              <w:rPr>
                <w:rFonts w:eastAsia="SimSun"/>
              </w:rPr>
              <w:t xml:space="preserve"> M </w:t>
            </w:r>
            <w:r w:rsidRPr="00A826DD">
              <w:rPr>
                <w:rFonts w:eastAsia="SimSun"/>
                <w:b/>
                <w:bCs/>
                <w:vertAlign w:val="superscript"/>
              </w:rPr>
              <w:t>a</w:t>
            </w:r>
            <w:r w:rsidRPr="00A826DD">
              <w:rPr>
                <w:rFonts w:eastAsia="SimSun"/>
                <w:vertAlign w:val="superscript"/>
              </w:rPr>
              <w:t xml:space="preserve"> </w:t>
            </w:r>
          </w:p>
        </w:tc>
        <w:tc>
          <w:tcPr>
            <w:tcW w:w="1007" w:type="dxa"/>
            <w:tcBorders>
              <w:left w:val="nil"/>
            </w:tcBorders>
          </w:tcPr>
          <w:p w14:paraId="1C5AF42C" w14:textId="77777777" w:rsidR="00E12084" w:rsidRPr="00A826DD" w:rsidRDefault="00E12084" w:rsidP="002321BE">
            <w:pPr>
              <w:keepNext/>
              <w:keepLines/>
              <w:spacing w:before="40" w:after="40"/>
              <w:rPr>
                <w:rFonts w:eastAsia="SimSun"/>
              </w:rPr>
            </w:pPr>
            <w:r w:rsidRPr="00A826DD">
              <w:rPr>
                <w:rFonts w:eastAsia="SimSun"/>
              </w:rPr>
              <w:sym w:font="Symbol" w:char="F0B3"/>
            </w:r>
            <w:r w:rsidRPr="00A826DD">
              <w:rPr>
                <w:rFonts w:eastAsia="SimSun"/>
              </w:rPr>
              <w:t> 25 %</w:t>
            </w:r>
          </w:p>
        </w:tc>
        <w:tc>
          <w:tcPr>
            <w:tcW w:w="2943" w:type="dxa"/>
          </w:tcPr>
          <w:p w14:paraId="6855EA70" w14:textId="77777777" w:rsidR="00E12084" w:rsidRPr="00A826DD" w:rsidRDefault="00E12084" w:rsidP="002321BE">
            <w:pPr>
              <w:keepNext/>
              <w:keepLines/>
              <w:spacing w:before="40" w:after="40"/>
              <w:jc w:val="center"/>
              <w:rPr>
                <w:rFonts w:eastAsia="SimSun"/>
              </w:rPr>
            </w:pPr>
            <w:proofErr w:type="spellStart"/>
            <w:r w:rsidRPr="00A826DD">
              <w:rPr>
                <w:rFonts w:eastAsia="SimSun"/>
              </w:rPr>
              <w:t>Chronic</w:t>
            </w:r>
            <w:proofErr w:type="spellEnd"/>
            <w:r w:rsidRPr="00A826DD">
              <w:rPr>
                <w:rFonts w:eastAsia="SimSun"/>
              </w:rPr>
              <w:t xml:space="preserve"> 1</w:t>
            </w:r>
          </w:p>
        </w:tc>
      </w:tr>
      <w:tr w:rsidR="00E12084" w:rsidRPr="00A826DD" w14:paraId="5635CA84" w14:textId="77777777" w:rsidTr="002321BE">
        <w:trPr>
          <w:jc w:val="center"/>
        </w:trPr>
        <w:tc>
          <w:tcPr>
            <w:tcW w:w="3421" w:type="dxa"/>
            <w:tcBorders>
              <w:right w:val="nil"/>
            </w:tcBorders>
          </w:tcPr>
          <w:p w14:paraId="4DB3F7D9" w14:textId="77777777" w:rsidR="00E12084" w:rsidRPr="00A826DD" w:rsidRDefault="00E12084" w:rsidP="002321BE">
            <w:pPr>
              <w:spacing w:before="40" w:after="40"/>
              <w:rPr>
                <w:rFonts w:eastAsia="SimSun"/>
              </w:rPr>
            </w:pPr>
            <w:r w:rsidRPr="00A826DD">
              <w:rPr>
                <w:rFonts w:eastAsia="SimSun"/>
              </w:rPr>
              <w:t xml:space="preserve">(M </w:t>
            </w:r>
            <w:r w:rsidRPr="00A826DD">
              <w:rPr>
                <w:rFonts w:eastAsia="SimSun"/>
              </w:rPr>
              <w:sym w:font="Symbol" w:char="F0B4"/>
            </w:r>
            <w:r w:rsidRPr="00A826DD">
              <w:rPr>
                <w:rFonts w:eastAsia="SimSun"/>
              </w:rPr>
              <w:t xml:space="preserve"> 10 </w:t>
            </w:r>
            <w:r w:rsidRPr="00A826DD">
              <w:rPr>
                <w:rFonts w:eastAsia="SimSun"/>
              </w:rPr>
              <w:sym w:font="Symbol" w:char="F0B4"/>
            </w:r>
            <w:r w:rsidRPr="00A826DD">
              <w:rPr>
                <w:rFonts w:eastAsia="SimSun"/>
              </w:rPr>
              <w:t xml:space="preserve"> </w:t>
            </w:r>
            <w:proofErr w:type="spellStart"/>
            <w:r w:rsidRPr="00A826DD">
              <w:t>Chronic</w:t>
            </w:r>
            <w:proofErr w:type="spellEnd"/>
            <w:r w:rsidRPr="00A826DD">
              <w:t xml:space="preserve"> </w:t>
            </w:r>
            <w:r w:rsidRPr="00A826DD">
              <w:rPr>
                <w:rFonts w:eastAsia="SimSun"/>
              </w:rPr>
              <w:t xml:space="preserve">1) + </w:t>
            </w:r>
            <w:proofErr w:type="spellStart"/>
            <w:r w:rsidRPr="00A826DD">
              <w:rPr>
                <w:rFonts w:eastAsia="SimSun"/>
              </w:rPr>
              <w:t>Chronic</w:t>
            </w:r>
            <w:proofErr w:type="spellEnd"/>
            <w:r w:rsidRPr="00A826DD">
              <w:rPr>
                <w:rFonts w:eastAsia="SimSun"/>
              </w:rPr>
              <w:t xml:space="preserve"> 2 </w:t>
            </w:r>
          </w:p>
        </w:tc>
        <w:tc>
          <w:tcPr>
            <w:tcW w:w="1007" w:type="dxa"/>
            <w:tcBorders>
              <w:left w:val="nil"/>
            </w:tcBorders>
          </w:tcPr>
          <w:p w14:paraId="0C381B53" w14:textId="77777777" w:rsidR="00E12084" w:rsidRPr="00A826DD" w:rsidRDefault="00E12084" w:rsidP="002321BE">
            <w:pPr>
              <w:spacing w:before="40" w:after="40"/>
              <w:rPr>
                <w:rFonts w:eastAsia="SimSun"/>
              </w:rPr>
            </w:pPr>
            <w:r w:rsidRPr="00A826DD">
              <w:rPr>
                <w:rFonts w:eastAsia="SimSun"/>
              </w:rPr>
              <w:sym w:font="Symbol" w:char="F0B3"/>
            </w:r>
            <w:r w:rsidRPr="00A826DD">
              <w:rPr>
                <w:rFonts w:eastAsia="SimSun"/>
              </w:rPr>
              <w:t> 25 %</w:t>
            </w:r>
          </w:p>
        </w:tc>
        <w:tc>
          <w:tcPr>
            <w:tcW w:w="2943" w:type="dxa"/>
          </w:tcPr>
          <w:p w14:paraId="5F7CEA4F" w14:textId="77777777" w:rsidR="00E12084" w:rsidRPr="00A826DD" w:rsidRDefault="00E12084" w:rsidP="002321BE">
            <w:pPr>
              <w:spacing w:before="40" w:after="40"/>
              <w:jc w:val="center"/>
              <w:rPr>
                <w:rFonts w:eastAsia="SimSun"/>
              </w:rPr>
            </w:pPr>
            <w:proofErr w:type="spellStart"/>
            <w:r w:rsidRPr="00A826DD">
              <w:rPr>
                <w:rFonts w:eastAsia="SimSun"/>
              </w:rPr>
              <w:t>Chronic</w:t>
            </w:r>
            <w:proofErr w:type="spellEnd"/>
            <w:r w:rsidRPr="00A826DD">
              <w:rPr>
                <w:rFonts w:eastAsia="SimSun"/>
              </w:rPr>
              <w:t xml:space="preserve"> 2</w:t>
            </w:r>
          </w:p>
        </w:tc>
      </w:tr>
    </w:tbl>
    <w:p w14:paraId="68A7006B" w14:textId="77777777" w:rsidR="00E12084" w:rsidRPr="00E12084" w:rsidRDefault="00E12084" w:rsidP="00E12084">
      <w:pPr>
        <w:ind w:left="1134" w:hanging="1134"/>
        <w:rPr>
          <w:lang w:val="en-US"/>
        </w:rPr>
      </w:pPr>
      <w:r w:rsidRPr="00E12084">
        <w:rPr>
          <w:b/>
          <w:iCs/>
          <w:vertAlign w:val="superscript"/>
          <w:lang w:val="en-US"/>
        </w:rPr>
        <w:tab/>
        <w:t>a</w:t>
      </w:r>
      <w:r w:rsidRPr="00E12084">
        <w:rPr>
          <w:rFonts w:eastAsia="SimSun"/>
          <w:lang w:val="en-US"/>
        </w:rPr>
        <w:t xml:space="preserve">  </w:t>
      </w:r>
      <w:r w:rsidRPr="00E12084">
        <w:rPr>
          <w:rFonts w:eastAsia="SimSun"/>
          <w:i/>
          <w:lang w:val="en-US"/>
        </w:rPr>
        <w:t>For explanation of the M factor, see 2.2.9.1.10.4.6.4.</w:t>
      </w:r>
    </w:p>
    <w:p w14:paraId="69C7FA3C" w14:textId="77777777" w:rsidR="00E12084" w:rsidRPr="00E12084" w:rsidRDefault="00E12084" w:rsidP="00E12084">
      <w:pPr>
        <w:ind w:left="1701" w:hanging="1701"/>
        <w:rPr>
          <w:lang w:val="en-US" w:eastAsia="nl-NL"/>
        </w:rPr>
      </w:pPr>
    </w:p>
    <w:p w14:paraId="37D7C92E" w14:textId="77777777" w:rsidR="00E12084" w:rsidRPr="00E12084" w:rsidRDefault="00E12084" w:rsidP="00E12084">
      <w:pPr>
        <w:pStyle w:val="SingleTxtG"/>
        <w:rPr>
          <w:lang w:val="en-US"/>
        </w:rPr>
      </w:pPr>
      <w:r>
        <w:rPr>
          <w:lang w:val="en-US"/>
        </w:rPr>
        <w:t>10.</w:t>
      </w:r>
      <w:r>
        <w:rPr>
          <w:lang w:val="en-US"/>
        </w:rPr>
        <w:tab/>
      </w:r>
      <w:r w:rsidRPr="00DD6A2F">
        <w:rPr>
          <w:lang w:val="en-US"/>
        </w:rPr>
        <w:t>The M-factor (Multiplication factor) is used for substances that are highly toxic to the environment and are based on harmonized classification or the self-classification of substances (based on manufacturer/supplier ecotoxicity information). The purpose of applying the M-factor is to give an increased weight to highly toxic substances when classifying a mixture.</w:t>
      </w:r>
    </w:p>
    <w:p w14:paraId="6C4DCD70" w14:textId="77777777" w:rsidR="00E12084" w:rsidRDefault="00E12084" w:rsidP="00E12084">
      <w:pPr>
        <w:pStyle w:val="SingleTxtG"/>
        <w:rPr>
          <w:lang w:val="en-US"/>
        </w:rPr>
      </w:pPr>
      <w:r>
        <w:rPr>
          <w:lang w:val="en-US"/>
        </w:rPr>
        <w:t>11.</w:t>
      </w:r>
      <w:r>
        <w:rPr>
          <w:lang w:val="en-US"/>
        </w:rPr>
        <w:tab/>
      </w:r>
      <w:r w:rsidRPr="00DD6A2F">
        <w:rPr>
          <w:lang w:val="en-US"/>
        </w:rPr>
        <w:t>The M-factor applies to acute and chronic category 1 and its eco-toxicity value:</w:t>
      </w:r>
    </w:p>
    <w:p w14:paraId="7FCF38D2" w14:textId="77777777" w:rsidR="00E12084" w:rsidRPr="00E12084" w:rsidRDefault="00E12084" w:rsidP="00E12084">
      <w:pPr>
        <w:keepNext/>
        <w:jc w:val="center"/>
        <w:rPr>
          <w:rFonts w:eastAsia="SimSun"/>
          <w:b/>
          <w:bCs/>
          <w:lang w:val="en-US"/>
        </w:rPr>
      </w:pPr>
      <w:r w:rsidRPr="00E12084">
        <w:rPr>
          <w:rFonts w:eastAsia="SimSun"/>
          <w:b/>
          <w:bCs/>
          <w:lang w:val="en-US"/>
        </w:rPr>
        <w:lastRenderedPageBreak/>
        <w:t>Table 2.2.9.1.10.4.6.4: Multiplying factors for highly toxic ingredients of mixtures</w:t>
      </w:r>
    </w:p>
    <w:p w14:paraId="4BC3C94C" w14:textId="77777777" w:rsidR="00E12084" w:rsidRPr="00E12084" w:rsidRDefault="00E12084" w:rsidP="00E12084">
      <w:pPr>
        <w:keepNext/>
        <w:jc w:val="center"/>
        <w:rPr>
          <w:rFonts w:eastAsia="SimSun"/>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310"/>
        <w:gridCol w:w="806"/>
        <w:gridCol w:w="2423"/>
        <w:gridCol w:w="1687"/>
        <w:gridCol w:w="1550"/>
      </w:tblGrid>
      <w:tr w:rsidR="00E12084" w:rsidRPr="00A826DD" w14:paraId="62AC4201" w14:textId="77777777" w:rsidTr="002321BE">
        <w:trPr>
          <w:jc w:val="center"/>
        </w:trPr>
        <w:tc>
          <w:tcPr>
            <w:tcW w:w="0" w:type="auto"/>
          </w:tcPr>
          <w:p w14:paraId="310E4FF0" w14:textId="77777777" w:rsidR="00E12084" w:rsidRPr="00A826DD" w:rsidRDefault="00E12084" w:rsidP="002321BE">
            <w:pPr>
              <w:keepNext/>
              <w:keepLines/>
              <w:jc w:val="center"/>
              <w:rPr>
                <w:rFonts w:eastAsia="SimSun"/>
                <w:b/>
                <w:bCs/>
              </w:rPr>
            </w:pPr>
            <w:r w:rsidRPr="00A826DD">
              <w:rPr>
                <w:rFonts w:eastAsia="SimSun"/>
                <w:b/>
                <w:bCs/>
              </w:rPr>
              <w:t xml:space="preserve">Acute </w:t>
            </w:r>
            <w:proofErr w:type="spellStart"/>
            <w:r w:rsidRPr="00A826DD">
              <w:rPr>
                <w:rFonts w:eastAsia="SimSun"/>
                <w:b/>
                <w:bCs/>
              </w:rPr>
              <w:t>toxicity</w:t>
            </w:r>
            <w:proofErr w:type="spellEnd"/>
          </w:p>
        </w:tc>
        <w:tc>
          <w:tcPr>
            <w:tcW w:w="0" w:type="auto"/>
          </w:tcPr>
          <w:p w14:paraId="0D1D702D" w14:textId="77777777" w:rsidR="00E12084" w:rsidRPr="00A826DD" w:rsidRDefault="00E12084" w:rsidP="002321BE">
            <w:pPr>
              <w:keepNext/>
              <w:keepLines/>
              <w:jc w:val="center"/>
              <w:rPr>
                <w:rFonts w:eastAsia="SimSun"/>
                <w:b/>
                <w:bCs/>
              </w:rPr>
            </w:pPr>
            <w:r w:rsidRPr="00A826DD">
              <w:rPr>
                <w:rFonts w:eastAsia="SimSun"/>
                <w:b/>
                <w:bCs/>
              </w:rPr>
              <w:t>M factor</w:t>
            </w:r>
          </w:p>
        </w:tc>
        <w:tc>
          <w:tcPr>
            <w:tcW w:w="0" w:type="auto"/>
          </w:tcPr>
          <w:p w14:paraId="3D65147D" w14:textId="77777777" w:rsidR="00E12084" w:rsidRPr="00A826DD" w:rsidRDefault="00E12084" w:rsidP="002321BE">
            <w:pPr>
              <w:keepNext/>
              <w:keepLines/>
              <w:jc w:val="center"/>
              <w:rPr>
                <w:rFonts w:eastAsia="SimSun"/>
                <w:b/>
                <w:bCs/>
              </w:rPr>
            </w:pPr>
            <w:proofErr w:type="spellStart"/>
            <w:r w:rsidRPr="00A826DD">
              <w:rPr>
                <w:b/>
                <w:bCs/>
              </w:rPr>
              <w:t>Chronic</w:t>
            </w:r>
            <w:proofErr w:type="spellEnd"/>
            <w:r w:rsidRPr="00A826DD">
              <w:rPr>
                <w:b/>
                <w:bCs/>
              </w:rPr>
              <w:t xml:space="preserve"> </w:t>
            </w:r>
            <w:proofErr w:type="spellStart"/>
            <w:r w:rsidRPr="00A826DD">
              <w:rPr>
                <w:b/>
                <w:bCs/>
              </w:rPr>
              <w:t>toxicity</w:t>
            </w:r>
            <w:proofErr w:type="spellEnd"/>
          </w:p>
        </w:tc>
        <w:tc>
          <w:tcPr>
            <w:tcW w:w="0" w:type="auto"/>
            <w:gridSpan w:val="2"/>
          </w:tcPr>
          <w:p w14:paraId="69CFC458" w14:textId="77777777" w:rsidR="00E12084" w:rsidRPr="00A826DD" w:rsidRDefault="00E12084" w:rsidP="002321BE">
            <w:pPr>
              <w:keepNext/>
              <w:keepLines/>
              <w:jc w:val="center"/>
              <w:rPr>
                <w:rFonts w:eastAsia="SimSun"/>
                <w:b/>
                <w:bCs/>
              </w:rPr>
            </w:pPr>
            <w:r w:rsidRPr="00A826DD">
              <w:rPr>
                <w:b/>
                <w:bCs/>
              </w:rPr>
              <w:t>M factor</w:t>
            </w:r>
          </w:p>
        </w:tc>
      </w:tr>
      <w:tr w:rsidR="00E12084" w:rsidRPr="00A826DD" w14:paraId="3DF24A43" w14:textId="77777777" w:rsidTr="002321BE">
        <w:trPr>
          <w:jc w:val="center"/>
        </w:trPr>
        <w:tc>
          <w:tcPr>
            <w:tcW w:w="0" w:type="auto"/>
          </w:tcPr>
          <w:p w14:paraId="056CF8A2" w14:textId="77777777" w:rsidR="00E12084" w:rsidRPr="00A826DD" w:rsidRDefault="00E12084" w:rsidP="002321BE">
            <w:pPr>
              <w:keepNext/>
              <w:keepLines/>
              <w:spacing w:before="40" w:after="40"/>
              <w:jc w:val="center"/>
            </w:pPr>
            <w:r w:rsidRPr="00A826DD">
              <w:rPr>
                <w:rFonts w:eastAsia="SimSun"/>
                <w:b/>
                <w:bCs/>
              </w:rPr>
              <w:t>L(E)C₅₀</w:t>
            </w:r>
            <w:r w:rsidRPr="00A826DD">
              <w:rPr>
                <w:rFonts w:eastAsia="SimSun"/>
                <w:b/>
                <w:bCs/>
                <w:vertAlign w:val="subscript"/>
              </w:rPr>
              <w:t xml:space="preserve"> </w:t>
            </w:r>
            <w:r w:rsidRPr="00A826DD">
              <w:rPr>
                <w:rFonts w:eastAsia="SimSun"/>
                <w:b/>
                <w:bCs/>
              </w:rPr>
              <w:t>value</w:t>
            </w:r>
          </w:p>
        </w:tc>
        <w:tc>
          <w:tcPr>
            <w:tcW w:w="0" w:type="auto"/>
            <w:vAlign w:val="center"/>
          </w:tcPr>
          <w:p w14:paraId="408B1147" w14:textId="77777777" w:rsidR="00E12084" w:rsidRPr="00A826DD" w:rsidRDefault="00E12084" w:rsidP="002321BE">
            <w:pPr>
              <w:keepNext/>
              <w:keepLines/>
              <w:jc w:val="center"/>
              <w:rPr>
                <w:rFonts w:eastAsia="SimSun"/>
              </w:rPr>
            </w:pPr>
          </w:p>
        </w:tc>
        <w:tc>
          <w:tcPr>
            <w:tcW w:w="0" w:type="auto"/>
          </w:tcPr>
          <w:p w14:paraId="3222B400" w14:textId="77777777" w:rsidR="00E12084" w:rsidRPr="00A826DD" w:rsidRDefault="00E12084" w:rsidP="002321BE">
            <w:pPr>
              <w:keepNext/>
              <w:keepLines/>
              <w:spacing w:before="40" w:after="40"/>
              <w:jc w:val="center"/>
            </w:pPr>
            <w:r w:rsidRPr="00A826DD">
              <w:rPr>
                <w:rFonts w:eastAsia="SimSun"/>
                <w:b/>
                <w:bCs/>
              </w:rPr>
              <w:t>NOEC value</w:t>
            </w:r>
          </w:p>
        </w:tc>
        <w:tc>
          <w:tcPr>
            <w:tcW w:w="0" w:type="auto"/>
            <w:vAlign w:val="center"/>
          </w:tcPr>
          <w:p w14:paraId="78602A5B" w14:textId="77777777" w:rsidR="00E12084" w:rsidRPr="00A826DD" w:rsidRDefault="00E12084" w:rsidP="002321BE">
            <w:pPr>
              <w:ind w:hanging="23"/>
              <w:jc w:val="center"/>
              <w:rPr>
                <w:rFonts w:eastAsia="SimSun"/>
              </w:rPr>
            </w:pPr>
            <w:r w:rsidRPr="00A826DD">
              <w:rPr>
                <w:rFonts w:eastAsia="SimSun"/>
                <w:b/>
                <w:bCs/>
              </w:rPr>
              <w:t xml:space="preserve">NRD </w:t>
            </w:r>
            <w:r w:rsidRPr="00A826DD">
              <w:rPr>
                <w:rFonts w:eastAsia="SimSun"/>
                <w:b/>
                <w:bCs/>
                <w:vertAlign w:val="superscript"/>
              </w:rPr>
              <w:t>a</w:t>
            </w:r>
            <w:r w:rsidRPr="00A826DD">
              <w:rPr>
                <w:rFonts w:eastAsia="SimSun"/>
                <w:b/>
                <w:bCs/>
              </w:rPr>
              <w:t xml:space="preserve"> </w:t>
            </w:r>
            <w:proofErr w:type="spellStart"/>
            <w:r w:rsidRPr="00A826DD">
              <w:rPr>
                <w:rFonts w:eastAsia="SimSun"/>
                <w:b/>
                <w:bCs/>
              </w:rPr>
              <w:t>ingredients</w:t>
            </w:r>
            <w:proofErr w:type="spellEnd"/>
          </w:p>
        </w:tc>
        <w:tc>
          <w:tcPr>
            <w:tcW w:w="0" w:type="auto"/>
            <w:vAlign w:val="center"/>
          </w:tcPr>
          <w:p w14:paraId="1C45D468" w14:textId="77777777" w:rsidR="00E12084" w:rsidRPr="00A826DD" w:rsidRDefault="00E12084" w:rsidP="002321BE">
            <w:pPr>
              <w:ind w:hanging="23"/>
              <w:jc w:val="center"/>
              <w:rPr>
                <w:rFonts w:eastAsia="SimSun"/>
                <w:b/>
                <w:bCs/>
              </w:rPr>
            </w:pPr>
            <w:r w:rsidRPr="00A826DD">
              <w:rPr>
                <w:rFonts w:eastAsia="SimSun"/>
                <w:b/>
                <w:bCs/>
              </w:rPr>
              <w:t xml:space="preserve">RD </w:t>
            </w:r>
            <w:r w:rsidRPr="00A826DD">
              <w:rPr>
                <w:rFonts w:eastAsia="SimSun"/>
                <w:b/>
                <w:bCs/>
                <w:vertAlign w:val="superscript"/>
              </w:rPr>
              <w:t>b</w:t>
            </w:r>
            <w:r w:rsidRPr="00A826DD">
              <w:rPr>
                <w:rFonts w:eastAsia="SimSun"/>
                <w:b/>
                <w:bCs/>
              </w:rPr>
              <w:t xml:space="preserve"> </w:t>
            </w:r>
            <w:proofErr w:type="spellStart"/>
            <w:r w:rsidRPr="00A826DD">
              <w:rPr>
                <w:rFonts w:eastAsia="SimSun"/>
                <w:b/>
                <w:bCs/>
              </w:rPr>
              <w:t>ingredients</w:t>
            </w:r>
            <w:proofErr w:type="spellEnd"/>
          </w:p>
        </w:tc>
      </w:tr>
      <w:tr w:rsidR="00E12084" w:rsidRPr="00A826DD" w14:paraId="174E2D84" w14:textId="77777777" w:rsidTr="002321BE">
        <w:trPr>
          <w:jc w:val="center"/>
        </w:trPr>
        <w:tc>
          <w:tcPr>
            <w:tcW w:w="0" w:type="auto"/>
          </w:tcPr>
          <w:p w14:paraId="1317B3D3" w14:textId="77777777" w:rsidR="00E12084" w:rsidRPr="00A826DD" w:rsidRDefault="00E12084" w:rsidP="002321BE">
            <w:pPr>
              <w:keepNext/>
              <w:keepLines/>
              <w:spacing w:before="40" w:after="40"/>
              <w:jc w:val="center"/>
            </w:pPr>
            <w:r w:rsidRPr="00A826DD">
              <w:t>0.1 &lt; L(E)C₅₀ ≤ 1</w:t>
            </w:r>
          </w:p>
        </w:tc>
        <w:tc>
          <w:tcPr>
            <w:tcW w:w="0" w:type="auto"/>
            <w:vAlign w:val="center"/>
          </w:tcPr>
          <w:p w14:paraId="0F5A6412" w14:textId="77777777" w:rsidR="00E12084" w:rsidRPr="00A826DD" w:rsidRDefault="00E12084" w:rsidP="002321BE">
            <w:pPr>
              <w:keepNext/>
              <w:keepLines/>
              <w:jc w:val="center"/>
              <w:rPr>
                <w:rFonts w:eastAsia="SimSun"/>
              </w:rPr>
            </w:pPr>
            <w:r w:rsidRPr="00A826DD">
              <w:rPr>
                <w:rFonts w:eastAsia="SimSun"/>
              </w:rPr>
              <w:t>1</w:t>
            </w:r>
          </w:p>
        </w:tc>
        <w:tc>
          <w:tcPr>
            <w:tcW w:w="0" w:type="auto"/>
            <w:vAlign w:val="center"/>
          </w:tcPr>
          <w:p w14:paraId="19BDC5C8" w14:textId="77777777" w:rsidR="00E12084" w:rsidRPr="00A826DD" w:rsidRDefault="00E12084" w:rsidP="002321BE">
            <w:pPr>
              <w:keepNext/>
              <w:keepLines/>
              <w:spacing w:before="40" w:after="40"/>
              <w:jc w:val="center"/>
            </w:pPr>
            <w:r w:rsidRPr="00A826DD">
              <w:t>0.01 &lt; NOEC ≤ 0.1</w:t>
            </w:r>
          </w:p>
        </w:tc>
        <w:tc>
          <w:tcPr>
            <w:tcW w:w="0" w:type="auto"/>
            <w:vAlign w:val="center"/>
          </w:tcPr>
          <w:p w14:paraId="205948D3" w14:textId="77777777" w:rsidR="00E12084" w:rsidRPr="00A826DD" w:rsidRDefault="00E12084" w:rsidP="002321BE">
            <w:pPr>
              <w:jc w:val="center"/>
              <w:rPr>
                <w:rFonts w:eastAsia="SimSun"/>
                <w:b/>
                <w:bCs/>
              </w:rPr>
            </w:pPr>
            <w:r w:rsidRPr="00A826DD">
              <w:rPr>
                <w:rFonts w:eastAsia="SimSun"/>
              </w:rPr>
              <w:t>1</w:t>
            </w:r>
          </w:p>
        </w:tc>
        <w:tc>
          <w:tcPr>
            <w:tcW w:w="0" w:type="auto"/>
            <w:vAlign w:val="center"/>
          </w:tcPr>
          <w:p w14:paraId="1C4B7EDA" w14:textId="77777777" w:rsidR="00E12084" w:rsidRPr="00A826DD" w:rsidRDefault="00E12084" w:rsidP="002321BE">
            <w:pPr>
              <w:jc w:val="center"/>
              <w:rPr>
                <w:rFonts w:eastAsia="SimSun"/>
                <w:b/>
                <w:bCs/>
              </w:rPr>
            </w:pPr>
            <w:r w:rsidRPr="00A826DD">
              <w:rPr>
                <w:rFonts w:eastAsia="SimSun"/>
              </w:rPr>
              <w:t>−</w:t>
            </w:r>
          </w:p>
        </w:tc>
      </w:tr>
      <w:tr w:rsidR="00E12084" w:rsidRPr="00A826DD" w14:paraId="492CEF45" w14:textId="77777777" w:rsidTr="002321BE">
        <w:trPr>
          <w:jc w:val="center"/>
        </w:trPr>
        <w:tc>
          <w:tcPr>
            <w:tcW w:w="0" w:type="auto"/>
          </w:tcPr>
          <w:p w14:paraId="2D34DCE6" w14:textId="77777777" w:rsidR="00E12084" w:rsidRPr="00A826DD" w:rsidRDefault="00E12084" w:rsidP="002321BE">
            <w:pPr>
              <w:keepNext/>
              <w:keepLines/>
              <w:spacing w:before="40" w:after="40"/>
              <w:jc w:val="center"/>
            </w:pPr>
            <w:r w:rsidRPr="00A826DD">
              <w:t xml:space="preserve">0.01 &lt; L(E)C₅₀ </w:t>
            </w:r>
            <w:r w:rsidRPr="00A826DD">
              <w:sym w:font="Symbol" w:char="F0A3"/>
            </w:r>
            <w:r w:rsidRPr="00A826DD">
              <w:t xml:space="preserve"> 0.1</w:t>
            </w:r>
          </w:p>
        </w:tc>
        <w:tc>
          <w:tcPr>
            <w:tcW w:w="0" w:type="auto"/>
            <w:vAlign w:val="center"/>
          </w:tcPr>
          <w:p w14:paraId="600B2304" w14:textId="77777777" w:rsidR="00E12084" w:rsidRPr="00A826DD" w:rsidRDefault="00E12084" w:rsidP="002321BE">
            <w:pPr>
              <w:keepNext/>
              <w:keepLines/>
              <w:jc w:val="center"/>
              <w:rPr>
                <w:rFonts w:eastAsia="SimSun"/>
              </w:rPr>
            </w:pPr>
            <w:r w:rsidRPr="00A826DD">
              <w:rPr>
                <w:rFonts w:eastAsia="SimSun"/>
              </w:rPr>
              <w:t>10</w:t>
            </w:r>
          </w:p>
        </w:tc>
        <w:tc>
          <w:tcPr>
            <w:tcW w:w="0" w:type="auto"/>
            <w:vAlign w:val="center"/>
          </w:tcPr>
          <w:p w14:paraId="264B4AE3" w14:textId="77777777" w:rsidR="00E12084" w:rsidRPr="00A826DD" w:rsidRDefault="00E12084" w:rsidP="002321BE">
            <w:pPr>
              <w:keepNext/>
              <w:keepLines/>
              <w:spacing w:before="40" w:after="40"/>
              <w:jc w:val="center"/>
            </w:pPr>
            <w:r w:rsidRPr="00A826DD">
              <w:t>0.001 &lt; NOEC ≤ 0.01</w:t>
            </w:r>
          </w:p>
        </w:tc>
        <w:tc>
          <w:tcPr>
            <w:tcW w:w="0" w:type="auto"/>
            <w:vAlign w:val="center"/>
          </w:tcPr>
          <w:p w14:paraId="3184B8AA" w14:textId="77777777" w:rsidR="00E12084" w:rsidRPr="00A826DD" w:rsidRDefault="00E12084" w:rsidP="002321BE">
            <w:pPr>
              <w:jc w:val="center"/>
              <w:rPr>
                <w:rFonts w:eastAsia="SimSun"/>
                <w:b/>
                <w:bCs/>
              </w:rPr>
            </w:pPr>
            <w:r w:rsidRPr="00A826DD">
              <w:rPr>
                <w:rFonts w:eastAsia="SimSun"/>
              </w:rPr>
              <w:t>10</w:t>
            </w:r>
          </w:p>
        </w:tc>
        <w:tc>
          <w:tcPr>
            <w:tcW w:w="0" w:type="auto"/>
            <w:vAlign w:val="center"/>
          </w:tcPr>
          <w:p w14:paraId="4BAD0F33" w14:textId="77777777" w:rsidR="00E12084" w:rsidRPr="00A826DD" w:rsidRDefault="00E12084" w:rsidP="002321BE">
            <w:pPr>
              <w:jc w:val="center"/>
              <w:rPr>
                <w:rFonts w:eastAsia="SimSun"/>
                <w:b/>
                <w:bCs/>
              </w:rPr>
            </w:pPr>
            <w:r w:rsidRPr="00A826DD">
              <w:rPr>
                <w:rFonts w:eastAsia="SimSun"/>
              </w:rPr>
              <w:t>1</w:t>
            </w:r>
          </w:p>
        </w:tc>
      </w:tr>
      <w:tr w:rsidR="00E12084" w:rsidRPr="00A826DD" w14:paraId="2CE3F61A" w14:textId="77777777" w:rsidTr="002321BE">
        <w:trPr>
          <w:jc w:val="center"/>
        </w:trPr>
        <w:tc>
          <w:tcPr>
            <w:tcW w:w="0" w:type="auto"/>
          </w:tcPr>
          <w:p w14:paraId="5BE3F871" w14:textId="77777777" w:rsidR="00E12084" w:rsidRPr="00A826DD" w:rsidRDefault="00E12084" w:rsidP="002321BE">
            <w:pPr>
              <w:keepNext/>
              <w:keepLines/>
              <w:spacing w:before="40" w:after="40"/>
              <w:jc w:val="center"/>
            </w:pPr>
            <w:r w:rsidRPr="00A826DD">
              <w:t xml:space="preserve">0.001 &lt; L(E)C₅₀ </w:t>
            </w:r>
            <w:r w:rsidRPr="00A826DD">
              <w:sym w:font="Symbol" w:char="F0A3"/>
            </w:r>
            <w:r w:rsidRPr="00A826DD">
              <w:t xml:space="preserve"> 0.01</w:t>
            </w:r>
          </w:p>
        </w:tc>
        <w:tc>
          <w:tcPr>
            <w:tcW w:w="0" w:type="auto"/>
            <w:vAlign w:val="center"/>
          </w:tcPr>
          <w:p w14:paraId="53BEE0BD" w14:textId="77777777" w:rsidR="00E12084" w:rsidRPr="00A826DD" w:rsidRDefault="00E12084" w:rsidP="002321BE">
            <w:pPr>
              <w:keepNext/>
              <w:keepLines/>
              <w:jc w:val="center"/>
              <w:rPr>
                <w:rFonts w:eastAsia="SimSun"/>
              </w:rPr>
            </w:pPr>
            <w:r w:rsidRPr="00A826DD">
              <w:rPr>
                <w:rFonts w:eastAsia="SimSun"/>
              </w:rPr>
              <w:t>100</w:t>
            </w:r>
          </w:p>
        </w:tc>
        <w:tc>
          <w:tcPr>
            <w:tcW w:w="0" w:type="auto"/>
            <w:vAlign w:val="center"/>
          </w:tcPr>
          <w:p w14:paraId="5CC09CC2" w14:textId="77777777" w:rsidR="00E12084" w:rsidRPr="00A826DD" w:rsidRDefault="00E12084" w:rsidP="002321BE">
            <w:pPr>
              <w:keepNext/>
              <w:keepLines/>
              <w:spacing w:before="40" w:after="40"/>
              <w:jc w:val="center"/>
            </w:pPr>
            <w:r w:rsidRPr="00A826DD">
              <w:t>0.0001 &lt; NOEC ≤ 0.001</w:t>
            </w:r>
          </w:p>
        </w:tc>
        <w:tc>
          <w:tcPr>
            <w:tcW w:w="0" w:type="auto"/>
            <w:vAlign w:val="center"/>
          </w:tcPr>
          <w:p w14:paraId="644AA01B" w14:textId="77777777" w:rsidR="00E12084" w:rsidRPr="00A826DD" w:rsidRDefault="00E12084" w:rsidP="002321BE">
            <w:pPr>
              <w:jc w:val="center"/>
              <w:rPr>
                <w:rFonts w:eastAsia="SimSun"/>
                <w:b/>
                <w:bCs/>
              </w:rPr>
            </w:pPr>
            <w:r w:rsidRPr="00A826DD">
              <w:rPr>
                <w:rFonts w:eastAsia="SimSun"/>
              </w:rPr>
              <w:t>100</w:t>
            </w:r>
          </w:p>
        </w:tc>
        <w:tc>
          <w:tcPr>
            <w:tcW w:w="0" w:type="auto"/>
            <w:vAlign w:val="center"/>
          </w:tcPr>
          <w:p w14:paraId="1DED1FA6" w14:textId="77777777" w:rsidR="00E12084" w:rsidRPr="00A826DD" w:rsidRDefault="00E12084" w:rsidP="002321BE">
            <w:pPr>
              <w:jc w:val="center"/>
              <w:rPr>
                <w:rFonts w:eastAsia="SimSun"/>
                <w:b/>
                <w:bCs/>
              </w:rPr>
            </w:pPr>
            <w:r w:rsidRPr="00A826DD">
              <w:rPr>
                <w:rFonts w:eastAsia="SimSun"/>
              </w:rPr>
              <w:t>10</w:t>
            </w:r>
          </w:p>
        </w:tc>
      </w:tr>
      <w:tr w:rsidR="00E12084" w:rsidRPr="00A826DD" w14:paraId="1C1CCE4C" w14:textId="77777777" w:rsidTr="002321BE">
        <w:trPr>
          <w:jc w:val="center"/>
        </w:trPr>
        <w:tc>
          <w:tcPr>
            <w:tcW w:w="0" w:type="auto"/>
          </w:tcPr>
          <w:p w14:paraId="40651245" w14:textId="77777777" w:rsidR="00E12084" w:rsidRPr="00A826DD" w:rsidRDefault="00E12084" w:rsidP="002321BE">
            <w:pPr>
              <w:keepNext/>
              <w:keepLines/>
              <w:spacing w:before="40" w:after="40"/>
              <w:jc w:val="center"/>
            </w:pPr>
            <w:r w:rsidRPr="00A826DD">
              <w:t xml:space="preserve">0.0001 &lt; L(E)C₅₀ </w:t>
            </w:r>
            <w:r w:rsidRPr="00A826DD">
              <w:sym w:font="Symbol" w:char="F0A3"/>
            </w:r>
            <w:r w:rsidRPr="00A826DD">
              <w:t xml:space="preserve"> 0.001</w:t>
            </w:r>
          </w:p>
        </w:tc>
        <w:tc>
          <w:tcPr>
            <w:tcW w:w="0" w:type="auto"/>
            <w:vAlign w:val="center"/>
          </w:tcPr>
          <w:p w14:paraId="007ABE35" w14:textId="77777777" w:rsidR="00E12084" w:rsidRPr="00A826DD" w:rsidRDefault="00E12084" w:rsidP="002321BE">
            <w:pPr>
              <w:jc w:val="center"/>
              <w:rPr>
                <w:rFonts w:eastAsia="SimSun"/>
              </w:rPr>
            </w:pPr>
            <w:r w:rsidRPr="00A826DD">
              <w:rPr>
                <w:rFonts w:eastAsia="SimSun"/>
              </w:rPr>
              <w:t>1 000</w:t>
            </w:r>
          </w:p>
        </w:tc>
        <w:tc>
          <w:tcPr>
            <w:tcW w:w="0" w:type="auto"/>
            <w:vAlign w:val="center"/>
          </w:tcPr>
          <w:p w14:paraId="7FDFA242" w14:textId="77777777" w:rsidR="00E12084" w:rsidRPr="00A826DD" w:rsidRDefault="00E12084" w:rsidP="002321BE">
            <w:pPr>
              <w:keepNext/>
              <w:keepLines/>
              <w:spacing w:before="40" w:after="40"/>
              <w:jc w:val="center"/>
            </w:pPr>
            <w:r w:rsidRPr="00A826DD">
              <w:t>0.00001 &lt; NOEC ≤ 0.0001</w:t>
            </w:r>
          </w:p>
        </w:tc>
        <w:tc>
          <w:tcPr>
            <w:tcW w:w="0" w:type="auto"/>
            <w:vAlign w:val="center"/>
          </w:tcPr>
          <w:p w14:paraId="4160C838" w14:textId="77777777" w:rsidR="00E12084" w:rsidRPr="00A826DD" w:rsidRDefault="00E12084" w:rsidP="002321BE">
            <w:pPr>
              <w:jc w:val="center"/>
              <w:rPr>
                <w:rFonts w:eastAsia="SimSun"/>
                <w:b/>
                <w:bCs/>
              </w:rPr>
            </w:pPr>
            <w:r w:rsidRPr="00A826DD">
              <w:rPr>
                <w:rFonts w:eastAsia="SimSun"/>
              </w:rPr>
              <w:t>1 000</w:t>
            </w:r>
          </w:p>
        </w:tc>
        <w:tc>
          <w:tcPr>
            <w:tcW w:w="0" w:type="auto"/>
            <w:vAlign w:val="center"/>
          </w:tcPr>
          <w:p w14:paraId="38EDF6AB" w14:textId="77777777" w:rsidR="00E12084" w:rsidRPr="00A826DD" w:rsidRDefault="00E12084" w:rsidP="002321BE">
            <w:pPr>
              <w:jc w:val="center"/>
              <w:rPr>
                <w:rFonts w:eastAsia="SimSun"/>
                <w:b/>
                <w:bCs/>
              </w:rPr>
            </w:pPr>
            <w:r w:rsidRPr="00A826DD">
              <w:rPr>
                <w:rFonts w:eastAsia="SimSun"/>
              </w:rPr>
              <w:t>100</w:t>
            </w:r>
          </w:p>
        </w:tc>
      </w:tr>
      <w:tr w:rsidR="00E12084" w:rsidRPr="00A826DD" w14:paraId="0F752B59" w14:textId="77777777" w:rsidTr="002321BE">
        <w:trPr>
          <w:jc w:val="center"/>
        </w:trPr>
        <w:tc>
          <w:tcPr>
            <w:tcW w:w="0" w:type="auto"/>
          </w:tcPr>
          <w:p w14:paraId="1822FABA" w14:textId="77777777" w:rsidR="00E12084" w:rsidRPr="00A826DD" w:rsidRDefault="00E12084" w:rsidP="002321BE">
            <w:pPr>
              <w:keepNext/>
              <w:keepLines/>
              <w:spacing w:before="40" w:after="40"/>
              <w:jc w:val="center"/>
            </w:pPr>
            <w:r w:rsidRPr="00A826DD">
              <w:t xml:space="preserve">0.00001 &lt; L(E)C₅₀ </w:t>
            </w:r>
            <w:r w:rsidRPr="00A826DD">
              <w:sym w:font="Symbol" w:char="F0A3"/>
            </w:r>
            <w:r w:rsidRPr="00A826DD">
              <w:t xml:space="preserve"> 0.0001</w:t>
            </w:r>
          </w:p>
        </w:tc>
        <w:tc>
          <w:tcPr>
            <w:tcW w:w="0" w:type="auto"/>
            <w:vAlign w:val="center"/>
          </w:tcPr>
          <w:p w14:paraId="10F95F21" w14:textId="77777777" w:rsidR="00E12084" w:rsidRPr="00A826DD" w:rsidRDefault="00E12084" w:rsidP="002321BE">
            <w:pPr>
              <w:jc w:val="center"/>
              <w:rPr>
                <w:rFonts w:eastAsia="SimSun"/>
              </w:rPr>
            </w:pPr>
            <w:r w:rsidRPr="00A826DD">
              <w:rPr>
                <w:rFonts w:eastAsia="SimSun"/>
              </w:rPr>
              <w:t>10 000</w:t>
            </w:r>
          </w:p>
        </w:tc>
        <w:tc>
          <w:tcPr>
            <w:tcW w:w="0" w:type="auto"/>
            <w:vAlign w:val="center"/>
          </w:tcPr>
          <w:p w14:paraId="49C3393F" w14:textId="77777777" w:rsidR="00E12084" w:rsidRPr="00A826DD" w:rsidRDefault="00E12084" w:rsidP="002321BE">
            <w:pPr>
              <w:keepNext/>
              <w:keepLines/>
              <w:spacing w:before="40" w:after="40"/>
              <w:jc w:val="center"/>
            </w:pPr>
            <w:r w:rsidRPr="00A826DD">
              <w:t>0.000001 &lt; NOEC ≤ 0.00001</w:t>
            </w:r>
          </w:p>
        </w:tc>
        <w:tc>
          <w:tcPr>
            <w:tcW w:w="0" w:type="auto"/>
            <w:vAlign w:val="center"/>
          </w:tcPr>
          <w:p w14:paraId="617811EE" w14:textId="77777777" w:rsidR="00E12084" w:rsidRPr="00A826DD" w:rsidRDefault="00E12084" w:rsidP="002321BE">
            <w:pPr>
              <w:jc w:val="center"/>
              <w:rPr>
                <w:rFonts w:eastAsia="SimSun"/>
                <w:b/>
                <w:bCs/>
              </w:rPr>
            </w:pPr>
            <w:r w:rsidRPr="00A826DD">
              <w:rPr>
                <w:rFonts w:eastAsia="SimSun"/>
              </w:rPr>
              <w:t>10 000</w:t>
            </w:r>
          </w:p>
        </w:tc>
        <w:tc>
          <w:tcPr>
            <w:tcW w:w="0" w:type="auto"/>
            <w:vAlign w:val="center"/>
          </w:tcPr>
          <w:p w14:paraId="5654D4D1" w14:textId="77777777" w:rsidR="00E12084" w:rsidRPr="00A826DD" w:rsidRDefault="00E12084" w:rsidP="002321BE">
            <w:pPr>
              <w:jc w:val="center"/>
              <w:rPr>
                <w:rFonts w:eastAsia="SimSun"/>
                <w:b/>
                <w:bCs/>
              </w:rPr>
            </w:pPr>
            <w:r w:rsidRPr="00A826DD">
              <w:rPr>
                <w:rFonts w:eastAsia="SimSun"/>
              </w:rPr>
              <w:t>1 000</w:t>
            </w:r>
          </w:p>
        </w:tc>
      </w:tr>
      <w:tr w:rsidR="00E12084" w:rsidRPr="00A826DD" w14:paraId="7CBDCE76" w14:textId="77777777" w:rsidTr="002321BE">
        <w:trPr>
          <w:jc w:val="center"/>
        </w:trPr>
        <w:tc>
          <w:tcPr>
            <w:tcW w:w="0" w:type="auto"/>
            <w:gridSpan w:val="2"/>
          </w:tcPr>
          <w:p w14:paraId="1D0CAB82" w14:textId="77777777" w:rsidR="00E12084" w:rsidRPr="00A826DD" w:rsidRDefault="00E12084" w:rsidP="002321BE">
            <w:pPr>
              <w:jc w:val="center"/>
              <w:rPr>
                <w:rFonts w:eastAsia="SimSun"/>
              </w:rPr>
            </w:pPr>
            <w:r w:rsidRPr="00A826DD">
              <w:rPr>
                <w:rFonts w:eastAsia="SimSun"/>
              </w:rPr>
              <w:t xml:space="preserve">(continue in factor 10 </w:t>
            </w:r>
            <w:proofErr w:type="spellStart"/>
            <w:r w:rsidRPr="00A826DD">
              <w:rPr>
                <w:rFonts w:eastAsia="SimSun"/>
              </w:rPr>
              <w:t>intervals</w:t>
            </w:r>
            <w:proofErr w:type="spellEnd"/>
            <w:r w:rsidRPr="00A826DD">
              <w:rPr>
                <w:rFonts w:eastAsia="SimSun"/>
              </w:rPr>
              <w:t>)</w:t>
            </w:r>
          </w:p>
        </w:tc>
        <w:tc>
          <w:tcPr>
            <w:tcW w:w="0" w:type="auto"/>
            <w:gridSpan w:val="3"/>
          </w:tcPr>
          <w:p w14:paraId="0A1C5A38" w14:textId="77777777" w:rsidR="00E12084" w:rsidRPr="00A826DD" w:rsidRDefault="00E12084" w:rsidP="002321BE">
            <w:pPr>
              <w:jc w:val="center"/>
              <w:rPr>
                <w:rFonts w:eastAsia="SimSun"/>
              </w:rPr>
            </w:pPr>
            <w:r w:rsidRPr="00A826DD">
              <w:rPr>
                <w:rFonts w:eastAsia="SimSun"/>
              </w:rPr>
              <w:t xml:space="preserve">(continue in factor 10 </w:t>
            </w:r>
            <w:proofErr w:type="spellStart"/>
            <w:r w:rsidRPr="00A826DD">
              <w:rPr>
                <w:rFonts w:eastAsia="SimSun"/>
              </w:rPr>
              <w:t>intervals</w:t>
            </w:r>
            <w:proofErr w:type="spellEnd"/>
            <w:r w:rsidRPr="00A826DD">
              <w:rPr>
                <w:rFonts w:eastAsia="SimSun"/>
              </w:rPr>
              <w:t>)</w:t>
            </w:r>
          </w:p>
        </w:tc>
      </w:tr>
    </w:tbl>
    <w:p w14:paraId="18A686F2" w14:textId="77777777" w:rsidR="00E12084" w:rsidRPr="00A826DD" w:rsidRDefault="00E12084" w:rsidP="00E12084">
      <w:pPr>
        <w:tabs>
          <w:tab w:val="left" w:pos="851"/>
          <w:tab w:val="left" w:pos="1980"/>
        </w:tabs>
        <w:ind w:left="1979" w:hanging="1412"/>
      </w:pPr>
      <w:r w:rsidRPr="00A826DD">
        <w:rPr>
          <w:rFonts w:eastAsia="SimSun"/>
          <w:b/>
          <w:vertAlign w:val="superscript"/>
        </w:rPr>
        <w:t>a</w:t>
      </w:r>
      <w:r w:rsidRPr="00A826DD">
        <w:rPr>
          <w:rFonts w:eastAsia="SimSun"/>
          <w:vertAlign w:val="superscript"/>
        </w:rPr>
        <w:t xml:space="preserve">  </w:t>
      </w:r>
      <w:r w:rsidRPr="00A826DD">
        <w:rPr>
          <w:rFonts w:eastAsia="SimSun"/>
          <w:i/>
        </w:rPr>
        <w:t>Non-</w:t>
      </w:r>
      <w:proofErr w:type="spellStart"/>
      <w:r w:rsidRPr="00A826DD">
        <w:rPr>
          <w:rFonts w:eastAsia="SimSun"/>
          <w:i/>
        </w:rPr>
        <w:t>rapidly</w:t>
      </w:r>
      <w:proofErr w:type="spellEnd"/>
      <w:r w:rsidRPr="00A826DD">
        <w:rPr>
          <w:rFonts w:eastAsia="SimSun"/>
          <w:i/>
        </w:rPr>
        <w:t xml:space="preserve"> </w:t>
      </w:r>
      <w:proofErr w:type="spellStart"/>
      <w:r w:rsidRPr="00A826DD">
        <w:rPr>
          <w:rFonts w:eastAsia="SimSun"/>
          <w:i/>
        </w:rPr>
        <w:t>degradable</w:t>
      </w:r>
      <w:proofErr w:type="spellEnd"/>
      <w:r w:rsidRPr="00A826DD">
        <w:rPr>
          <w:rFonts w:eastAsia="SimSun"/>
          <w:i/>
        </w:rPr>
        <w:t>.</w:t>
      </w:r>
    </w:p>
    <w:p w14:paraId="4793B1FA" w14:textId="77777777" w:rsidR="00E12084" w:rsidRPr="00A826DD" w:rsidRDefault="00E12084" w:rsidP="00E12084">
      <w:pPr>
        <w:tabs>
          <w:tab w:val="left" w:pos="851"/>
          <w:tab w:val="left" w:pos="1980"/>
        </w:tabs>
        <w:ind w:left="1979" w:hanging="1412"/>
        <w:rPr>
          <w:rFonts w:eastAsia="SimSun"/>
        </w:rPr>
      </w:pPr>
      <w:r w:rsidRPr="00A826DD">
        <w:rPr>
          <w:rFonts w:eastAsia="SimSun"/>
          <w:b/>
          <w:vertAlign w:val="superscript"/>
        </w:rPr>
        <w:t xml:space="preserve">b </w:t>
      </w:r>
      <w:r w:rsidRPr="00A826DD">
        <w:rPr>
          <w:rFonts w:eastAsia="SimSun"/>
          <w:vertAlign w:val="superscript"/>
        </w:rPr>
        <w:t xml:space="preserve"> </w:t>
      </w:r>
      <w:proofErr w:type="spellStart"/>
      <w:r w:rsidRPr="00A826DD">
        <w:rPr>
          <w:rFonts w:eastAsia="SimSun"/>
          <w:i/>
        </w:rPr>
        <w:t>Rapidly</w:t>
      </w:r>
      <w:proofErr w:type="spellEnd"/>
      <w:r w:rsidRPr="00A826DD">
        <w:rPr>
          <w:rFonts w:eastAsia="SimSun"/>
          <w:i/>
        </w:rPr>
        <w:t xml:space="preserve"> </w:t>
      </w:r>
      <w:proofErr w:type="spellStart"/>
      <w:r w:rsidRPr="00A826DD">
        <w:rPr>
          <w:rFonts w:eastAsia="SimSun"/>
          <w:i/>
        </w:rPr>
        <w:t>degradable</w:t>
      </w:r>
      <w:proofErr w:type="spellEnd"/>
      <w:r w:rsidRPr="00A826DD">
        <w:rPr>
          <w:rFonts w:eastAsia="SimSun"/>
          <w:i/>
        </w:rPr>
        <w:t>.</w:t>
      </w:r>
    </w:p>
    <w:p w14:paraId="081FA947" w14:textId="77777777" w:rsidR="00E12084" w:rsidRPr="00A826DD" w:rsidRDefault="00E12084" w:rsidP="00E12084">
      <w:pPr>
        <w:tabs>
          <w:tab w:val="left" w:pos="1418"/>
          <w:tab w:val="left" w:pos="1980"/>
        </w:tabs>
        <w:ind w:left="1979" w:hanging="1412"/>
      </w:pPr>
    </w:p>
    <w:p w14:paraId="41ADBA05" w14:textId="77777777" w:rsidR="00E12084" w:rsidRPr="009705C0" w:rsidRDefault="00E12084" w:rsidP="00E12084">
      <w:pPr>
        <w:pStyle w:val="SingleTxtG"/>
        <w:rPr>
          <w:lang w:val="en-US"/>
        </w:rPr>
      </w:pPr>
      <w:r w:rsidRPr="00113653">
        <w:rPr>
          <w:lang w:val="en-US"/>
        </w:rPr>
        <w:t>12.</w:t>
      </w:r>
      <w:r>
        <w:rPr>
          <w:b/>
          <w:bCs/>
          <w:lang w:val="en-US"/>
        </w:rPr>
        <w:tab/>
      </w:r>
      <w:r w:rsidRPr="009705C0">
        <w:rPr>
          <w:lang w:val="en-US"/>
        </w:rPr>
        <w:t xml:space="preserve">This means that a substance with a high M-factor leads to a class 9 </w:t>
      </w:r>
      <w:r>
        <w:rPr>
          <w:lang w:val="en-US"/>
        </w:rPr>
        <w:t>e</w:t>
      </w:r>
      <w:r w:rsidRPr="009705C0">
        <w:rPr>
          <w:lang w:val="en-US"/>
        </w:rPr>
        <w:t xml:space="preserve">nvironmentally </w:t>
      </w:r>
      <w:r>
        <w:rPr>
          <w:lang w:val="en-US"/>
        </w:rPr>
        <w:t>h</w:t>
      </w:r>
      <w:r w:rsidRPr="009705C0">
        <w:rPr>
          <w:lang w:val="en-US"/>
        </w:rPr>
        <w:t>azardous classification at very low concentrations of highly toxic substances in mixtures.</w:t>
      </w:r>
    </w:p>
    <w:p w14:paraId="40C6389E" w14:textId="77777777" w:rsidR="00E12084" w:rsidRPr="00E12084" w:rsidRDefault="00E12084" w:rsidP="00E12084">
      <w:pPr>
        <w:pStyle w:val="SingleTxtG"/>
        <w:rPr>
          <w:lang w:val="en-US"/>
        </w:rPr>
      </w:pPr>
      <w:r w:rsidRPr="00E12084">
        <w:rPr>
          <w:lang w:val="en-US"/>
        </w:rPr>
        <w:t>13.</w:t>
      </w:r>
      <w:r w:rsidRPr="00E12084">
        <w:rPr>
          <w:lang w:val="en-US"/>
        </w:rPr>
        <w:tab/>
        <w:t>In 2.2.9.1.10.5 of RID/ADR, there is a reference to the CLP regulation that if no test data is available for the mixture, the mixture shall be classified as environmentally hazardous if it has been assigned to the categories aquatic acute 1, aquatic chronic 1 or 2.</w:t>
      </w:r>
    </w:p>
    <w:p w14:paraId="0F76E755" w14:textId="77777777" w:rsidR="00E12084" w:rsidRPr="00E12084" w:rsidRDefault="00E12084" w:rsidP="00E12084">
      <w:pPr>
        <w:pStyle w:val="HChG"/>
        <w:rPr>
          <w:lang w:val="en-US"/>
        </w:rPr>
      </w:pPr>
      <w:r w:rsidRPr="00E12084">
        <w:rPr>
          <w:lang w:val="en-US"/>
        </w:rPr>
        <w:tab/>
        <w:t>IV.</w:t>
      </w:r>
      <w:r w:rsidRPr="00E12084">
        <w:rPr>
          <w:lang w:val="en-US"/>
        </w:rPr>
        <w:tab/>
        <w:t>Examples for the application of the above formula</w:t>
      </w:r>
    </w:p>
    <w:p w14:paraId="5F956ADD" w14:textId="77777777" w:rsidR="00E12084" w:rsidRPr="00E12084" w:rsidRDefault="00E12084" w:rsidP="00E12084">
      <w:pPr>
        <w:pStyle w:val="SingleTxtG"/>
        <w:rPr>
          <w:lang w:val="en-US"/>
        </w:rPr>
      </w:pPr>
      <w:r w:rsidRPr="00DD6A2F">
        <w:rPr>
          <w:b/>
          <w:bCs/>
          <w:lang w:val="en-US"/>
        </w:rPr>
        <w:t>Example 1:</w:t>
      </w:r>
      <w:r w:rsidRPr="00DD6A2F">
        <w:rPr>
          <w:lang w:val="en-US"/>
        </w:rPr>
        <w:t xml:space="preserve"> A liquid paint mixture contains one environmentally hazardous substance in a concentration of </w:t>
      </w:r>
      <w:r w:rsidRPr="00DD6A2F">
        <w:rPr>
          <w:b/>
          <w:bCs/>
          <w:lang w:val="en-US"/>
        </w:rPr>
        <w:t>0.03</w:t>
      </w:r>
      <w:r>
        <w:rPr>
          <w:b/>
          <w:bCs/>
          <w:lang w:val="en-US"/>
        </w:rPr>
        <w:t> </w:t>
      </w:r>
      <w:r w:rsidRPr="00DD6A2F">
        <w:rPr>
          <w:b/>
          <w:bCs/>
          <w:lang w:val="en-US"/>
        </w:rPr>
        <w:t>% assigned to Acute aquatic hazard category 1, M</w:t>
      </w:r>
      <w:r>
        <w:rPr>
          <w:b/>
          <w:bCs/>
          <w:lang w:val="en-US"/>
        </w:rPr>
        <w:t>-</w:t>
      </w:r>
      <w:r w:rsidRPr="00DD6A2F">
        <w:rPr>
          <w:b/>
          <w:bCs/>
          <w:lang w:val="en-US"/>
        </w:rPr>
        <w:t>factor is 100</w:t>
      </w:r>
    </w:p>
    <w:p w14:paraId="023188F7" w14:textId="77777777" w:rsidR="00E12084" w:rsidRPr="00DD6A2F" w:rsidRDefault="00E12084" w:rsidP="00E12084">
      <w:pPr>
        <w:pStyle w:val="SingleTxtG"/>
      </w:pPr>
      <w:r w:rsidRPr="00DD6A2F">
        <w:rPr>
          <w:lang w:val="en-US"/>
        </w:rPr>
        <w:t>Calculation for UN</w:t>
      </w:r>
      <w:r>
        <w:rPr>
          <w:lang w:val="en-US"/>
        </w:rPr>
        <w:t> </w:t>
      </w:r>
      <w:r w:rsidRPr="00DD6A2F">
        <w:rPr>
          <w:lang w:val="en-US"/>
        </w:rPr>
        <w:t>3082:</w:t>
      </w:r>
    </w:p>
    <w:tbl>
      <w:tblPr>
        <w:tblStyle w:val="Grilledutableau"/>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035"/>
        <w:gridCol w:w="1965"/>
        <w:gridCol w:w="3000"/>
      </w:tblGrid>
      <w:tr w:rsidR="00E12084" w:rsidRPr="00DB3D1F" w14:paraId="4AB4EE2E" w14:textId="77777777" w:rsidTr="002321BE">
        <w:trPr>
          <w:trHeight w:val="300"/>
        </w:trPr>
        <w:tc>
          <w:tcPr>
            <w:tcW w:w="4035" w:type="dxa"/>
            <w:tcMar>
              <w:left w:w="105" w:type="dxa"/>
              <w:right w:w="105" w:type="dxa"/>
            </w:tcMar>
          </w:tcPr>
          <w:p w14:paraId="416015B1" w14:textId="77777777" w:rsidR="00E12084" w:rsidRPr="00E12084" w:rsidRDefault="00E12084" w:rsidP="002321BE">
            <w:pPr>
              <w:spacing w:line="259" w:lineRule="auto"/>
              <w:jc w:val="both"/>
              <w:rPr>
                <w:rFonts w:asciiTheme="majorBidi" w:hAnsiTheme="majorBidi" w:cstheme="majorBidi"/>
                <w:lang w:val="en-US"/>
              </w:rPr>
            </w:pPr>
            <w:r w:rsidRPr="00DB3D1F">
              <w:rPr>
                <w:rFonts w:asciiTheme="majorBidi" w:hAnsiTheme="majorBidi" w:cstheme="majorBidi"/>
                <w:lang w:val="en-US"/>
              </w:rPr>
              <w:t>Sum of the concentration of ingredients classified as:</w:t>
            </w:r>
          </w:p>
        </w:tc>
        <w:tc>
          <w:tcPr>
            <w:tcW w:w="1965" w:type="dxa"/>
            <w:tcMar>
              <w:left w:w="105" w:type="dxa"/>
              <w:right w:w="105" w:type="dxa"/>
            </w:tcMar>
          </w:tcPr>
          <w:p w14:paraId="1E2CF65B" w14:textId="77777777" w:rsidR="00E12084" w:rsidRPr="00DB3D1F" w:rsidRDefault="00E12084" w:rsidP="002321BE">
            <w:pPr>
              <w:spacing w:line="259" w:lineRule="auto"/>
              <w:jc w:val="both"/>
              <w:rPr>
                <w:rFonts w:asciiTheme="majorBidi" w:hAnsiTheme="majorBidi" w:cstheme="majorBidi"/>
              </w:rPr>
            </w:pPr>
            <w:r w:rsidRPr="00DB3D1F">
              <w:rPr>
                <w:rFonts w:asciiTheme="majorBidi" w:hAnsiTheme="majorBidi" w:cstheme="majorBidi"/>
                <w:lang w:val="en-US"/>
              </w:rPr>
              <w:t>Mixture is classified as</w:t>
            </w:r>
          </w:p>
        </w:tc>
        <w:tc>
          <w:tcPr>
            <w:tcW w:w="3000" w:type="dxa"/>
            <w:tcMar>
              <w:left w:w="105" w:type="dxa"/>
              <w:right w:w="105" w:type="dxa"/>
            </w:tcMar>
          </w:tcPr>
          <w:p w14:paraId="3DF3BD60" w14:textId="77777777" w:rsidR="00E12084" w:rsidRPr="00DB3D1F" w:rsidRDefault="00E12084" w:rsidP="002321BE">
            <w:pPr>
              <w:spacing w:line="259" w:lineRule="auto"/>
              <w:jc w:val="both"/>
              <w:rPr>
                <w:rFonts w:asciiTheme="majorBidi" w:hAnsiTheme="majorBidi" w:cstheme="majorBidi"/>
              </w:rPr>
            </w:pPr>
            <w:r w:rsidRPr="00DB3D1F">
              <w:rPr>
                <w:rFonts w:asciiTheme="majorBidi" w:hAnsiTheme="majorBidi" w:cstheme="majorBidi"/>
                <w:lang w:val="en-US"/>
              </w:rPr>
              <w:t>Result</w:t>
            </w:r>
          </w:p>
        </w:tc>
      </w:tr>
      <w:tr w:rsidR="00E12084" w:rsidRPr="00DB3D1F" w14:paraId="0DCF8ACD" w14:textId="77777777" w:rsidTr="002321BE">
        <w:trPr>
          <w:trHeight w:val="300"/>
        </w:trPr>
        <w:tc>
          <w:tcPr>
            <w:tcW w:w="4035" w:type="dxa"/>
            <w:tcMar>
              <w:left w:w="105" w:type="dxa"/>
              <w:right w:w="105" w:type="dxa"/>
            </w:tcMar>
          </w:tcPr>
          <w:p w14:paraId="1A22408B" w14:textId="77777777" w:rsidR="00E12084" w:rsidRPr="00DB3D1F" w:rsidRDefault="00E12084" w:rsidP="002321BE">
            <w:pPr>
              <w:spacing w:line="259" w:lineRule="auto"/>
              <w:jc w:val="both"/>
              <w:rPr>
                <w:rFonts w:asciiTheme="majorBidi" w:hAnsiTheme="majorBidi" w:cstheme="majorBidi"/>
              </w:rPr>
            </w:pPr>
            <w:r w:rsidRPr="00DB3D1F">
              <w:rPr>
                <w:rFonts w:asciiTheme="majorBidi" w:hAnsiTheme="majorBidi" w:cstheme="majorBidi"/>
                <w:lang w:val="en-US"/>
              </w:rPr>
              <w:t>Acute 1 x M ≥ 25</w:t>
            </w:r>
            <w:r>
              <w:rPr>
                <w:rFonts w:asciiTheme="majorBidi" w:hAnsiTheme="majorBidi" w:cstheme="majorBidi"/>
                <w:lang w:val="en-US"/>
              </w:rPr>
              <w:t> </w:t>
            </w:r>
            <w:r w:rsidRPr="00DB3D1F">
              <w:rPr>
                <w:rFonts w:asciiTheme="majorBidi" w:hAnsiTheme="majorBidi" w:cstheme="majorBidi"/>
                <w:lang w:val="en-US"/>
              </w:rPr>
              <w:t>%</w:t>
            </w:r>
          </w:p>
        </w:tc>
        <w:tc>
          <w:tcPr>
            <w:tcW w:w="1965" w:type="dxa"/>
            <w:tcMar>
              <w:left w:w="105" w:type="dxa"/>
              <w:right w:w="105" w:type="dxa"/>
            </w:tcMar>
          </w:tcPr>
          <w:p w14:paraId="2F12C234" w14:textId="77777777" w:rsidR="00E12084" w:rsidRPr="00DB3D1F" w:rsidRDefault="00E12084" w:rsidP="002321BE">
            <w:pPr>
              <w:spacing w:line="259" w:lineRule="auto"/>
              <w:jc w:val="both"/>
              <w:rPr>
                <w:rFonts w:asciiTheme="majorBidi" w:hAnsiTheme="majorBidi" w:cstheme="majorBidi"/>
              </w:rPr>
            </w:pPr>
            <w:r w:rsidRPr="00DB3D1F">
              <w:rPr>
                <w:rFonts w:asciiTheme="majorBidi" w:hAnsiTheme="majorBidi" w:cstheme="majorBidi"/>
                <w:lang w:val="en-US"/>
              </w:rPr>
              <w:t>Acute 1</w:t>
            </w:r>
          </w:p>
        </w:tc>
        <w:tc>
          <w:tcPr>
            <w:tcW w:w="3000" w:type="dxa"/>
            <w:tcMar>
              <w:left w:w="105" w:type="dxa"/>
              <w:right w:w="105" w:type="dxa"/>
            </w:tcMar>
          </w:tcPr>
          <w:p w14:paraId="7DB11715" w14:textId="77777777" w:rsidR="00E12084" w:rsidRPr="00DB3D1F" w:rsidRDefault="00E12084" w:rsidP="002321BE">
            <w:pPr>
              <w:spacing w:line="259" w:lineRule="auto"/>
              <w:jc w:val="both"/>
              <w:rPr>
                <w:rFonts w:asciiTheme="majorBidi" w:hAnsiTheme="majorBidi" w:cstheme="majorBidi"/>
              </w:rPr>
            </w:pPr>
            <w:r w:rsidRPr="00DB3D1F">
              <w:rPr>
                <w:rFonts w:asciiTheme="majorBidi" w:hAnsiTheme="majorBidi" w:cstheme="majorBidi"/>
                <w:lang w:val="en-US"/>
              </w:rPr>
              <w:t>0.03 x 100 = 3 = not classified</w:t>
            </w:r>
          </w:p>
        </w:tc>
      </w:tr>
    </w:tbl>
    <w:p w14:paraId="6E0C8BD9" w14:textId="77777777" w:rsidR="00E12084" w:rsidRPr="00E12084" w:rsidRDefault="00E12084" w:rsidP="00E12084">
      <w:pPr>
        <w:pStyle w:val="SingleTxtG"/>
        <w:rPr>
          <w:lang w:val="en-US"/>
        </w:rPr>
      </w:pPr>
      <w:r w:rsidRPr="00DD6A2F">
        <w:rPr>
          <w:lang w:val="en-US"/>
        </w:rPr>
        <w:t xml:space="preserve">Mixture is not acute aquatic toxic and therefore </w:t>
      </w:r>
      <w:r w:rsidRPr="00DD6A2F">
        <w:rPr>
          <w:b/>
          <w:bCs/>
          <w:lang w:val="en-US"/>
        </w:rPr>
        <w:t>not environmentally hazardous</w:t>
      </w:r>
    </w:p>
    <w:p w14:paraId="725DF891" w14:textId="77777777" w:rsidR="00E12084" w:rsidRPr="00E12084" w:rsidRDefault="00E12084" w:rsidP="00E12084">
      <w:pPr>
        <w:pStyle w:val="SingleTxtG"/>
        <w:rPr>
          <w:lang w:val="en-US"/>
        </w:rPr>
      </w:pPr>
      <w:r w:rsidRPr="00DD6A2F">
        <w:rPr>
          <w:b/>
          <w:bCs/>
          <w:lang w:val="en-US"/>
        </w:rPr>
        <w:t>Example 2</w:t>
      </w:r>
      <w:r w:rsidRPr="00DD6A2F">
        <w:rPr>
          <w:lang w:val="en-US"/>
        </w:rPr>
        <w:t xml:space="preserve">: A liquid paint mixture contains one environmentally hazardous substance in a concentration of </w:t>
      </w:r>
      <w:r w:rsidRPr="00DD6A2F">
        <w:rPr>
          <w:b/>
          <w:bCs/>
          <w:lang w:val="en-US"/>
        </w:rPr>
        <w:t>0.03% assigned to Chronic hazard category 1, M</w:t>
      </w:r>
      <w:r>
        <w:rPr>
          <w:b/>
          <w:bCs/>
          <w:lang w:val="en-US"/>
        </w:rPr>
        <w:t>-</w:t>
      </w:r>
      <w:r w:rsidRPr="00DD6A2F">
        <w:rPr>
          <w:b/>
          <w:bCs/>
          <w:lang w:val="en-US"/>
        </w:rPr>
        <w:t>factor is 100</w:t>
      </w:r>
    </w:p>
    <w:p w14:paraId="1A15D2E1" w14:textId="77777777" w:rsidR="00E12084" w:rsidRPr="00DD6A2F" w:rsidRDefault="00E12084" w:rsidP="00E12084">
      <w:pPr>
        <w:pStyle w:val="SingleTxtG"/>
      </w:pPr>
      <w:r w:rsidRPr="00DD6A2F">
        <w:rPr>
          <w:lang w:val="en-US"/>
        </w:rPr>
        <w:t>Calculation for UN</w:t>
      </w:r>
      <w:r>
        <w:rPr>
          <w:lang w:val="en-US"/>
        </w:rPr>
        <w:t> </w:t>
      </w:r>
      <w:r w:rsidRPr="00DD6A2F">
        <w:rPr>
          <w:lang w:val="en-US"/>
        </w:rPr>
        <w:t>3082:</w:t>
      </w:r>
    </w:p>
    <w:tbl>
      <w:tblPr>
        <w:tblStyle w:val="Grilledutableau"/>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035"/>
        <w:gridCol w:w="1965"/>
        <w:gridCol w:w="3000"/>
      </w:tblGrid>
      <w:tr w:rsidR="00E12084" w:rsidRPr="00DB3D1F" w14:paraId="1BEA4F98" w14:textId="77777777" w:rsidTr="002321BE">
        <w:trPr>
          <w:trHeight w:val="300"/>
        </w:trPr>
        <w:tc>
          <w:tcPr>
            <w:tcW w:w="4035" w:type="dxa"/>
            <w:tcMar>
              <w:left w:w="105" w:type="dxa"/>
              <w:right w:w="105" w:type="dxa"/>
            </w:tcMar>
          </w:tcPr>
          <w:p w14:paraId="5247D37C" w14:textId="77777777" w:rsidR="00E12084" w:rsidRPr="00E12084" w:rsidRDefault="00E12084" w:rsidP="002321BE">
            <w:pPr>
              <w:spacing w:line="259" w:lineRule="auto"/>
              <w:jc w:val="both"/>
              <w:rPr>
                <w:rFonts w:asciiTheme="majorBidi" w:hAnsiTheme="majorBidi" w:cstheme="majorBidi"/>
                <w:lang w:val="en-US"/>
              </w:rPr>
            </w:pPr>
            <w:r w:rsidRPr="00DB3D1F">
              <w:rPr>
                <w:rFonts w:asciiTheme="majorBidi" w:hAnsiTheme="majorBidi" w:cstheme="majorBidi"/>
                <w:lang w:val="en-US"/>
              </w:rPr>
              <w:t>Sum of the concentration of ingredients classified as:</w:t>
            </w:r>
          </w:p>
        </w:tc>
        <w:tc>
          <w:tcPr>
            <w:tcW w:w="1965" w:type="dxa"/>
            <w:tcMar>
              <w:left w:w="105" w:type="dxa"/>
              <w:right w:w="105" w:type="dxa"/>
            </w:tcMar>
          </w:tcPr>
          <w:p w14:paraId="28891C68" w14:textId="77777777" w:rsidR="00E12084" w:rsidRPr="00DB3D1F" w:rsidRDefault="00E12084" w:rsidP="002321BE">
            <w:pPr>
              <w:spacing w:line="259" w:lineRule="auto"/>
              <w:jc w:val="both"/>
              <w:rPr>
                <w:rFonts w:asciiTheme="majorBidi" w:hAnsiTheme="majorBidi" w:cstheme="majorBidi"/>
              </w:rPr>
            </w:pPr>
            <w:r w:rsidRPr="00DB3D1F">
              <w:rPr>
                <w:rFonts w:asciiTheme="majorBidi" w:hAnsiTheme="majorBidi" w:cstheme="majorBidi"/>
                <w:lang w:val="en-US"/>
              </w:rPr>
              <w:t>Mixture is classified as</w:t>
            </w:r>
          </w:p>
        </w:tc>
        <w:tc>
          <w:tcPr>
            <w:tcW w:w="3000" w:type="dxa"/>
            <w:tcMar>
              <w:left w:w="105" w:type="dxa"/>
              <w:right w:w="105" w:type="dxa"/>
            </w:tcMar>
          </w:tcPr>
          <w:p w14:paraId="2F138BE3" w14:textId="77777777" w:rsidR="00E12084" w:rsidRPr="00DB3D1F" w:rsidRDefault="00E12084" w:rsidP="002321BE">
            <w:pPr>
              <w:spacing w:line="259" w:lineRule="auto"/>
              <w:jc w:val="both"/>
              <w:rPr>
                <w:rFonts w:asciiTheme="majorBidi" w:hAnsiTheme="majorBidi" w:cstheme="majorBidi"/>
              </w:rPr>
            </w:pPr>
            <w:r w:rsidRPr="00DB3D1F">
              <w:rPr>
                <w:rFonts w:asciiTheme="majorBidi" w:hAnsiTheme="majorBidi" w:cstheme="majorBidi"/>
                <w:lang w:val="en-US"/>
              </w:rPr>
              <w:t>Result</w:t>
            </w:r>
          </w:p>
        </w:tc>
      </w:tr>
      <w:tr w:rsidR="00E12084" w:rsidRPr="00DB3D1F" w14:paraId="19FAE8DB" w14:textId="77777777" w:rsidTr="002321BE">
        <w:trPr>
          <w:trHeight w:val="300"/>
        </w:trPr>
        <w:tc>
          <w:tcPr>
            <w:tcW w:w="4035" w:type="dxa"/>
            <w:tcMar>
              <w:left w:w="105" w:type="dxa"/>
              <w:right w:w="105" w:type="dxa"/>
            </w:tcMar>
          </w:tcPr>
          <w:p w14:paraId="06FC42AE" w14:textId="77777777" w:rsidR="00E12084" w:rsidRPr="00DB3D1F" w:rsidRDefault="00E12084" w:rsidP="002321BE">
            <w:pPr>
              <w:spacing w:line="259" w:lineRule="auto"/>
              <w:jc w:val="both"/>
              <w:rPr>
                <w:rFonts w:asciiTheme="majorBidi" w:hAnsiTheme="majorBidi" w:cstheme="majorBidi"/>
              </w:rPr>
            </w:pPr>
            <w:r w:rsidRPr="00DB3D1F">
              <w:rPr>
                <w:rFonts w:asciiTheme="majorBidi" w:hAnsiTheme="majorBidi" w:cstheme="majorBidi"/>
                <w:lang w:val="en-US"/>
              </w:rPr>
              <w:t>Chronic 1 x M ≥ 25</w:t>
            </w:r>
            <w:r>
              <w:rPr>
                <w:rFonts w:asciiTheme="majorBidi" w:hAnsiTheme="majorBidi" w:cstheme="majorBidi"/>
                <w:lang w:val="en-US"/>
              </w:rPr>
              <w:t> </w:t>
            </w:r>
            <w:r w:rsidRPr="00DB3D1F">
              <w:rPr>
                <w:rFonts w:asciiTheme="majorBidi" w:hAnsiTheme="majorBidi" w:cstheme="majorBidi"/>
                <w:lang w:val="en-US"/>
              </w:rPr>
              <w:t>%</w:t>
            </w:r>
          </w:p>
        </w:tc>
        <w:tc>
          <w:tcPr>
            <w:tcW w:w="1965" w:type="dxa"/>
            <w:tcMar>
              <w:left w:w="105" w:type="dxa"/>
              <w:right w:w="105" w:type="dxa"/>
            </w:tcMar>
          </w:tcPr>
          <w:p w14:paraId="1696B321" w14:textId="77777777" w:rsidR="00E12084" w:rsidRPr="00DB3D1F" w:rsidRDefault="00E12084" w:rsidP="002321BE">
            <w:pPr>
              <w:spacing w:line="259" w:lineRule="auto"/>
              <w:jc w:val="both"/>
              <w:rPr>
                <w:rFonts w:asciiTheme="majorBidi" w:hAnsiTheme="majorBidi" w:cstheme="majorBidi"/>
              </w:rPr>
            </w:pPr>
            <w:r w:rsidRPr="00DB3D1F">
              <w:rPr>
                <w:rFonts w:asciiTheme="majorBidi" w:hAnsiTheme="majorBidi" w:cstheme="majorBidi"/>
                <w:lang w:val="en-US"/>
              </w:rPr>
              <w:t>Chronic 1</w:t>
            </w:r>
          </w:p>
        </w:tc>
        <w:tc>
          <w:tcPr>
            <w:tcW w:w="3000" w:type="dxa"/>
            <w:tcMar>
              <w:left w:w="105" w:type="dxa"/>
              <w:right w:w="105" w:type="dxa"/>
            </w:tcMar>
          </w:tcPr>
          <w:p w14:paraId="2E62A905" w14:textId="77777777" w:rsidR="00E12084" w:rsidRPr="00DB3D1F" w:rsidRDefault="00E12084" w:rsidP="002321BE">
            <w:pPr>
              <w:spacing w:line="259" w:lineRule="auto"/>
              <w:jc w:val="both"/>
              <w:rPr>
                <w:rFonts w:asciiTheme="majorBidi" w:hAnsiTheme="majorBidi" w:cstheme="majorBidi"/>
              </w:rPr>
            </w:pPr>
            <w:r w:rsidRPr="00DB3D1F">
              <w:rPr>
                <w:rFonts w:asciiTheme="majorBidi" w:hAnsiTheme="majorBidi" w:cstheme="majorBidi"/>
                <w:lang w:val="en-US"/>
              </w:rPr>
              <w:t>0.03 x 100 = 3 = not classified</w:t>
            </w:r>
          </w:p>
        </w:tc>
      </w:tr>
      <w:tr w:rsidR="00E12084" w:rsidRPr="00DB3D1F" w14:paraId="57394377" w14:textId="77777777" w:rsidTr="002321BE">
        <w:trPr>
          <w:trHeight w:val="300"/>
        </w:trPr>
        <w:tc>
          <w:tcPr>
            <w:tcW w:w="4035" w:type="dxa"/>
            <w:tcMar>
              <w:left w:w="105" w:type="dxa"/>
              <w:right w:w="105" w:type="dxa"/>
            </w:tcMar>
          </w:tcPr>
          <w:p w14:paraId="49C3CA56" w14:textId="77777777" w:rsidR="00E12084" w:rsidRPr="00E12084" w:rsidRDefault="00E12084" w:rsidP="002321BE">
            <w:pPr>
              <w:spacing w:line="259" w:lineRule="auto"/>
              <w:jc w:val="both"/>
              <w:rPr>
                <w:rFonts w:asciiTheme="majorBidi" w:hAnsiTheme="majorBidi" w:cstheme="majorBidi"/>
                <w:lang w:val="en-US"/>
              </w:rPr>
            </w:pPr>
            <w:r w:rsidRPr="00DB3D1F">
              <w:rPr>
                <w:rFonts w:asciiTheme="majorBidi" w:hAnsiTheme="majorBidi" w:cstheme="majorBidi"/>
                <w:lang w:val="en-US"/>
              </w:rPr>
              <w:t>(M x 10 x Chronic 1) + Chronic 2 ≥ 25 %</w:t>
            </w:r>
          </w:p>
        </w:tc>
        <w:tc>
          <w:tcPr>
            <w:tcW w:w="1965" w:type="dxa"/>
            <w:tcMar>
              <w:left w:w="105" w:type="dxa"/>
              <w:right w:w="105" w:type="dxa"/>
            </w:tcMar>
          </w:tcPr>
          <w:p w14:paraId="77362898" w14:textId="77777777" w:rsidR="00E12084" w:rsidRPr="00DB3D1F" w:rsidRDefault="00E12084" w:rsidP="002321BE">
            <w:pPr>
              <w:spacing w:line="259" w:lineRule="auto"/>
              <w:jc w:val="both"/>
              <w:rPr>
                <w:rFonts w:asciiTheme="majorBidi" w:hAnsiTheme="majorBidi" w:cstheme="majorBidi"/>
              </w:rPr>
            </w:pPr>
            <w:r w:rsidRPr="00DB3D1F">
              <w:rPr>
                <w:rFonts w:asciiTheme="majorBidi" w:hAnsiTheme="majorBidi" w:cstheme="majorBidi"/>
                <w:lang w:val="en-US"/>
              </w:rPr>
              <w:t>Chronic 2</w:t>
            </w:r>
          </w:p>
        </w:tc>
        <w:tc>
          <w:tcPr>
            <w:tcW w:w="3000" w:type="dxa"/>
            <w:tcMar>
              <w:left w:w="105" w:type="dxa"/>
              <w:right w:w="105" w:type="dxa"/>
            </w:tcMar>
          </w:tcPr>
          <w:p w14:paraId="73C049E0" w14:textId="77777777" w:rsidR="00E12084" w:rsidRPr="00DB3D1F" w:rsidRDefault="00E12084" w:rsidP="002321BE">
            <w:pPr>
              <w:spacing w:line="259" w:lineRule="auto"/>
              <w:jc w:val="both"/>
              <w:rPr>
                <w:rFonts w:asciiTheme="majorBidi" w:hAnsiTheme="majorBidi" w:cstheme="majorBidi"/>
              </w:rPr>
            </w:pPr>
            <w:r w:rsidRPr="00DB3D1F">
              <w:rPr>
                <w:rFonts w:asciiTheme="majorBidi" w:hAnsiTheme="majorBidi" w:cstheme="majorBidi"/>
                <w:lang w:val="en-US"/>
              </w:rPr>
              <w:t>(100 x 10 x 0.03) + 0 = 30 =</w:t>
            </w:r>
          </w:p>
          <w:p w14:paraId="32DEFD8D" w14:textId="77777777" w:rsidR="00E12084" w:rsidRPr="00DB3D1F" w:rsidRDefault="00E12084" w:rsidP="002321BE">
            <w:pPr>
              <w:spacing w:line="259" w:lineRule="auto"/>
              <w:jc w:val="both"/>
              <w:rPr>
                <w:rFonts w:asciiTheme="majorBidi" w:hAnsiTheme="majorBidi" w:cstheme="majorBidi"/>
              </w:rPr>
            </w:pPr>
            <w:r w:rsidRPr="00DB3D1F">
              <w:rPr>
                <w:rFonts w:asciiTheme="majorBidi" w:hAnsiTheme="majorBidi" w:cstheme="majorBidi"/>
                <w:b/>
                <w:bCs/>
                <w:lang w:val="en-US"/>
              </w:rPr>
              <w:t>Classified</w:t>
            </w:r>
          </w:p>
          <w:p w14:paraId="2FB1E8B5" w14:textId="77777777" w:rsidR="00E12084" w:rsidRPr="00DB3D1F" w:rsidRDefault="00E12084" w:rsidP="002321BE">
            <w:pPr>
              <w:spacing w:line="259" w:lineRule="auto"/>
              <w:jc w:val="both"/>
              <w:rPr>
                <w:rFonts w:asciiTheme="majorBidi" w:hAnsiTheme="majorBidi" w:cstheme="majorBidi"/>
              </w:rPr>
            </w:pPr>
          </w:p>
        </w:tc>
      </w:tr>
    </w:tbl>
    <w:p w14:paraId="4ADE12A8" w14:textId="77777777" w:rsidR="00E12084" w:rsidRPr="00E12084" w:rsidRDefault="00E12084" w:rsidP="00E12084">
      <w:pPr>
        <w:pStyle w:val="SingleTxtG"/>
        <w:rPr>
          <w:lang w:val="en-US"/>
        </w:rPr>
      </w:pPr>
      <w:r w:rsidRPr="00DD6A2F">
        <w:rPr>
          <w:lang w:val="en-US"/>
        </w:rPr>
        <w:t xml:space="preserve">Mixture is chronic aquatic toxic 2 and therefore also </w:t>
      </w:r>
      <w:r w:rsidRPr="00DD6A2F">
        <w:rPr>
          <w:b/>
          <w:bCs/>
          <w:lang w:val="en-US"/>
        </w:rPr>
        <w:t>environmentally hazardous – UN</w:t>
      </w:r>
      <w:r>
        <w:rPr>
          <w:b/>
          <w:bCs/>
          <w:lang w:val="en-US"/>
        </w:rPr>
        <w:t> </w:t>
      </w:r>
      <w:r w:rsidRPr="00DD6A2F">
        <w:rPr>
          <w:b/>
          <w:bCs/>
          <w:lang w:val="en-US"/>
        </w:rPr>
        <w:t>3082</w:t>
      </w:r>
    </w:p>
    <w:p w14:paraId="447E9C7C" w14:textId="77777777" w:rsidR="00E12084" w:rsidRPr="00E12084" w:rsidRDefault="00E12084" w:rsidP="00E12084">
      <w:pPr>
        <w:pStyle w:val="SingleTxtG"/>
        <w:rPr>
          <w:lang w:val="en-US"/>
        </w:rPr>
      </w:pPr>
      <w:r w:rsidRPr="002E2802">
        <w:rPr>
          <w:b/>
          <w:bCs/>
          <w:lang w:val="en-US"/>
        </w:rPr>
        <w:t>Example 3:</w:t>
      </w:r>
      <w:r w:rsidRPr="00DD6A2F">
        <w:rPr>
          <w:lang w:val="en-US"/>
        </w:rPr>
        <w:t xml:space="preserve"> A liquid paint mixture contains one environmentally hazardous substance in a concentration of </w:t>
      </w:r>
      <w:r w:rsidRPr="008E3810">
        <w:rPr>
          <w:b/>
          <w:bCs/>
          <w:lang w:val="en-US"/>
        </w:rPr>
        <w:t>0.03</w:t>
      </w:r>
      <w:r>
        <w:rPr>
          <w:b/>
          <w:bCs/>
          <w:lang w:val="en-US"/>
        </w:rPr>
        <w:t> </w:t>
      </w:r>
      <w:r w:rsidRPr="008E3810">
        <w:rPr>
          <w:b/>
          <w:bCs/>
          <w:lang w:val="en-US"/>
        </w:rPr>
        <w:t>% assigned to both Acute and Chronic hazard category 1, M</w:t>
      </w:r>
      <w:r>
        <w:rPr>
          <w:b/>
          <w:bCs/>
          <w:lang w:val="en-US"/>
        </w:rPr>
        <w:t>-</w:t>
      </w:r>
      <w:r w:rsidRPr="008E3810">
        <w:rPr>
          <w:b/>
          <w:bCs/>
          <w:lang w:val="en-US"/>
        </w:rPr>
        <w:t>factor is 100 (acute) and 100 (chronic)</w:t>
      </w:r>
      <w:r>
        <w:rPr>
          <w:lang w:val="en-US"/>
        </w:rPr>
        <w:t>:</w:t>
      </w:r>
    </w:p>
    <w:p w14:paraId="484618A3" w14:textId="77777777" w:rsidR="00E12084" w:rsidRPr="00E12084" w:rsidRDefault="00E12084" w:rsidP="00E12084">
      <w:pPr>
        <w:pStyle w:val="SingleTxtG"/>
        <w:rPr>
          <w:i/>
          <w:iCs/>
          <w:lang w:val="en-US"/>
        </w:rPr>
      </w:pPr>
      <w:r w:rsidRPr="002E2802">
        <w:rPr>
          <w:b/>
          <w:bCs/>
          <w:i/>
          <w:iCs/>
          <w:lang w:val="en-US"/>
        </w:rPr>
        <w:t>Note:</w:t>
      </w:r>
      <w:r w:rsidRPr="002E2802">
        <w:rPr>
          <w:i/>
          <w:iCs/>
          <w:lang w:val="en-US"/>
        </w:rPr>
        <w:t xml:space="preserve"> The preservative substance OIT – 2-octyl-2H-isothiazol-3-one (updated in </w:t>
      </w:r>
      <w:r>
        <w:rPr>
          <w:i/>
          <w:iCs/>
          <w:lang w:val="en-US"/>
        </w:rPr>
        <w:t>fifteenth</w:t>
      </w:r>
      <w:r w:rsidRPr="002E2802">
        <w:rPr>
          <w:i/>
          <w:iCs/>
          <w:lang w:val="en-US"/>
        </w:rPr>
        <w:t xml:space="preserve"> ATP of CLP) is one of the substances with this aquatic toxic classification.</w:t>
      </w:r>
    </w:p>
    <w:p w14:paraId="442C0C04" w14:textId="77777777" w:rsidR="00E12084" w:rsidRPr="00DD6A2F" w:rsidRDefault="00E12084" w:rsidP="00E12084">
      <w:pPr>
        <w:pStyle w:val="SingleTxtG"/>
      </w:pPr>
      <w:r w:rsidRPr="00DD6A2F">
        <w:rPr>
          <w:lang w:val="en-US"/>
        </w:rPr>
        <w:t>Calculation for UN</w:t>
      </w:r>
      <w:r>
        <w:rPr>
          <w:lang w:val="en-US"/>
        </w:rPr>
        <w:t> </w:t>
      </w:r>
      <w:r w:rsidRPr="00DD6A2F">
        <w:rPr>
          <w:lang w:val="en-US"/>
        </w:rPr>
        <w:t>3082:</w:t>
      </w:r>
    </w:p>
    <w:tbl>
      <w:tblPr>
        <w:tblStyle w:val="Grilledutableau"/>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035"/>
        <w:gridCol w:w="1965"/>
        <w:gridCol w:w="3000"/>
      </w:tblGrid>
      <w:tr w:rsidR="00E12084" w:rsidRPr="00047BD9" w14:paraId="2F4FB60A" w14:textId="77777777" w:rsidTr="002321BE">
        <w:trPr>
          <w:trHeight w:val="300"/>
        </w:trPr>
        <w:tc>
          <w:tcPr>
            <w:tcW w:w="4035" w:type="dxa"/>
            <w:tcMar>
              <w:left w:w="105" w:type="dxa"/>
              <w:right w:w="105" w:type="dxa"/>
            </w:tcMar>
          </w:tcPr>
          <w:p w14:paraId="68D5D762" w14:textId="77777777" w:rsidR="00E12084" w:rsidRPr="00E12084" w:rsidRDefault="00E12084" w:rsidP="002321BE">
            <w:pPr>
              <w:spacing w:line="259" w:lineRule="auto"/>
              <w:jc w:val="both"/>
              <w:rPr>
                <w:rFonts w:asciiTheme="majorBidi" w:hAnsiTheme="majorBidi" w:cstheme="majorBidi"/>
                <w:lang w:val="en-US"/>
              </w:rPr>
            </w:pPr>
            <w:r w:rsidRPr="00047BD9">
              <w:rPr>
                <w:rFonts w:asciiTheme="majorBidi" w:hAnsiTheme="majorBidi" w:cstheme="majorBidi"/>
                <w:lang w:val="en-US"/>
              </w:rPr>
              <w:t>Sum of the concentration of ingredients classified as:</w:t>
            </w:r>
          </w:p>
        </w:tc>
        <w:tc>
          <w:tcPr>
            <w:tcW w:w="1965" w:type="dxa"/>
            <w:tcMar>
              <w:left w:w="105" w:type="dxa"/>
              <w:right w:w="105" w:type="dxa"/>
            </w:tcMar>
          </w:tcPr>
          <w:p w14:paraId="6EB4B3F3" w14:textId="77777777" w:rsidR="00E12084" w:rsidRPr="00047BD9" w:rsidRDefault="00E12084" w:rsidP="002321BE">
            <w:pPr>
              <w:spacing w:line="259" w:lineRule="auto"/>
              <w:jc w:val="both"/>
              <w:rPr>
                <w:rFonts w:asciiTheme="majorBidi" w:hAnsiTheme="majorBidi" w:cstheme="majorBidi"/>
              </w:rPr>
            </w:pPr>
            <w:r w:rsidRPr="00047BD9">
              <w:rPr>
                <w:rFonts w:asciiTheme="majorBidi" w:hAnsiTheme="majorBidi" w:cstheme="majorBidi"/>
                <w:lang w:val="en-US"/>
              </w:rPr>
              <w:t>Mixture is classified as</w:t>
            </w:r>
          </w:p>
        </w:tc>
        <w:tc>
          <w:tcPr>
            <w:tcW w:w="3000" w:type="dxa"/>
            <w:tcMar>
              <w:left w:w="105" w:type="dxa"/>
              <w:right w:w="105" w:type="dxa"/>
            </w:tcMar>
          </w:tcPr>
          <w:p w14:paraId="256859F4" w14:textId="77777777" w:rsidR="00E12084" w:rsidRPr="00047BD9" w:rsidRDefault="00E12084" w:rsidP="002321BE">
            <w:pPr>
              <w:spacing w:line="259" w:lineRule="auto"/>
              <w:jc w:val="both"/>
              <w:rPr>
                <w:rFonts w:asciiTheme="majorBidi" w:hAnsiTheme="majorBidi" w:cstheme="majorBidi"/>
              </w:rPr>
            </w:pPr>
            <w:r w:rsidRPr="00047BD9">
              <w:rPr>
                <w:rFonts w:asciiTheme="majorBidi" w:hAnsiTheme="majorBidi" w:cstheme="majorBidi"/>
                <w:lang w:val="en-US"/>
              </w:rPr>
              <w:t>Result</w:t>
            </w:r>
          </w:p>
        </w:tc>
      </w:tr>
      <w:tr w:rsidR="00E12084" w:rsidRPr="00047BD9" w14:paraId="48301E9F" w14:textId="77777777" w:rsidTr="002321BE">
        <w:trPr>
          <w:trHeight w:val="300"/>
        </w:trPr>
        <w:tc>
          <w:tcPr>
            <w:tcW w:w="4035" w:type="dxa"/>
            <w:tcMar>
              <w:left w:w="105" w:type="dxa"/>
              <w:right w:w="105" w:type="dxa"/>
            </w:tcMar>
          </w:tcPr>
          <w:p w14:paraId="200773A7" w14:textId="77777777" w:rsidR="00E12084" w:rsidRPr="00047BD9" w:rsidRDefault="00E12084" w:rsidP="002321BE">
            <w:pPr>
              <w:spacing w:line="259" w:lineRule="auto"/>
              <w:jc w:val="both"/>
              <w:rPr>
                <w:rFonts w:asciiTheme="majorBidi" w:hAnsiTheme="majorBidi" w:cstheme="majorBidi"/>
              </w:rPr>
            </w:pPr>
            <w:r w:rsidRPr="00047BD9">
              <w:rPr>
                <w:rFonts w:asciiTheme="majorBidi" w:hAnsiTheme="majorBidi" w:cstheme="majorBidi"/>
                <w:lang w:val="en-US"/>
              </w:rPr>
              <w:t>Acute 1 x M ≥ 25</w:t>
            </w:r>
            <w:r>
              <w:rPr>
                <w:rFonts w:asciiTheme="majorBidi" w:hAnsiTheme="majorBidi" w:cstheme="majorBidi"/>
                <w:lang w:val="en-US"/>
              </w:rPr>
              <w:t> </w:t>
            </w:r>
            <w:r w:rsidRPr="00047BD9">
              <w:rPr>
                <w:rFonts w:asciiTheme="majorBidi" w:hAnsiTheme="majorBidi" w:cstheme="majorBidi"/>
                <w:lang w:val="en-US"/>
              </w:rPr>
              <w:t>%</w:t>
            </w:r>
          </w:p>
        </w:tc>
        <w:tc>
          <w:tcPr>
            <w:tcW w:w="1965" w:type="dxa"/>
            <w:tcMar>
              <w:left w:w="105" w:type="dxa"/>
              <w:right w:w="105" w:type="dxa"/>
            </w:tcMar>
          </w:tcPr>
          <w:p w14:paraId="58EC9539" w14:textId="77777777" w:rsidR="00E12084" w:rsidRPr="00047BD9" w:rsidRDefault="00E12084" w:rsidP="002321BE">
            <w:pPr>
              <w:spacing w:line="259" w:lineRule="auto"/>
              <w:jc w:val="both"/>
              <w:rPr>
                <w:rFonts w:asciiTheme="majorBidi" w:hAnsiTheme="majorBidi" w:cstheme="majorBidi"/>
              </w:rPr>
            </w:pPr>
            <w:r w:rsidRPr="00047BD9">
              <w:rPr>
                <w:rFonts w:asciiTheme="majorBidi" w:hAnsiTheme="majorBidi" w:cstheme="majorBidi"/>
                <w:lang w:val="en-US"/>
              </w:rPr>
              <w:t>Acute 1</w:t>
            </w:r>
          </w:p>
        </w:tc>
        <w:tc>
          <w:tcPr>
            <w:tcW w:w="3000" w:type="dxa"/>
            <w:tcMar>
              <w:left w:w="105" w:type="dxa"/>
              <w:right w:w="105" w:type="dxa"/>
            </w:tcMar>
          </w:tcPr>
          <w:p w14:paraId="07259775" w14:textId="77777777" w:rsidR="00E12084" w:rsidRPr="00047BD9" w:rsidRDefault="00E12084" w:rsidP="002321BE">
            <w:pPr>
              <w:spacing w:line="259" w:lineRule="auto"/>
              <w:jc w:val="both"/>
              <w:rPr>
                <w:rFonts w:asciiTheme="majorBidi" w:hAnsiTheme="majorBidi" w:cstheme="majorBidi"/>
              </w:rPr>
            </w:pPr>
            <w:r w:rsidRPr="00047BD9">
              <w:rPr>
                <w:rFonts w:asciiTheme="majorBidi" w:hAnsiTheme="majorBidi" w:cstheme="majorBidi"/>
                <w:lang w:val="en-US"/>
              </w:rPr>
              <w:t>0.03 x 100 = 3 = not classified</w:t>
            </w:r>
          </w:p>
        </w:tc>
      </w:tr>
    </w:tbl>
    <w:p w14:paraId="79139FA9" w14:textId="77777777" w:rsidR="00E12084" w:rsidRPr="00AB58FC" w:rsidRDefault="00E12084" w:rsidP="00E12084">
      <w:pPr>
        <w:spacing w:after="160" w:line="259" w:lineRule="auto"/>
        <w:jc w:val="both"/>
        <w:rPr>
          <w:rFonts w:asciiTheme="majorBidi" w:hAnsiTheme="majorBidi" w:cstheme="majorBidi"/>
          <w:color w:val="000000" w:themeColor="text1"/>
        </w:rPr>
      </w:pPr>
    </w:p>
    <w:tbl>
      <w:tblPr>
        <w:tblStyle w:val="Grilledutableau"/>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035"/>
        <w:gridCol w:w="1965"/>
        <w:gridCol w:w="3000"/>
      </w:tblGrid>
      <w:tr w:rsidR="00E12084" w:rsidRPr="00047BD9" w14:paraId="2360AD31" w14:textId="77777777" w:rsidTr="002321BE">
        <w:trPr>
          <w:trHeight w:val="300"/>
        </w:trPr>
        <w:tc>
          <w:tcPr>
            <w:tcW w:w="4035" w:type="dxa"/>
            <w:tcMar>
              <w:left w:w="105" w:type="dxa"/>
              <w:right w:w="105" w:type="dxa"/>
            </w:tcMar>
          </w:tcPr>
          <w:p w14:paraId="00E117CD" w14:textId="77777777" w:rsidR="00E12084" w:rsidRPr="00E12084" w:rsidRDefault="00E12084" w:rsidP="002321BE">
            <w:pPr>
              <w:spacing w:line="259" w:lineRule="auto"/>
              <w:jc w:val="both"/>
              <w:rPr>
                <w:rFonts w:asciiTheme="majorBidi" w:hAnsiTheme="majorBidi" w:cstheme="majorBidi"/>
                <w:lang w:val="en-US"/>
              </w:rPr>
            </w:pPr>
            <w:r w:rsidRPr="00047BD9">
              <w:rPr>
                <w:rFonts w:asciiTheme="majorBidi" w:hAnsiTheme="majorBidi" w:cstheme="majorBidi"/>
                <w:lang w:val="en-US"/>
              </w:rPr>
              <w:t>Sum of the concentration of ingredients classified as:</w:t>
            </w:r>
          </w:p>
        </w:tc>
        <w:tc>
          <w:tcPr>
            <w:tcW w:w="1965" w:type="dxa"/>
            <w:tcMar>
              <w:left w:w="105" w:type="dxa"/>
              <w:right w:w="105" w:type="dxa"/>
            </w:tcMar>
          </w:tcPr>
          <w:p w14:paraId="565ABB42" w14:textId="77777777" w:rsidR="00E12084" w:rsidRPr="00047BD9" w:rsidRDefault="00E12084" w:rsidP="002321BE">
            <w:pPr>
              <w:spacing w:line="259" w:lineRule="auto"/>
              <w:jc w:val="both"/>
              <w:rPr>
                <w:rFonts w:asciiTheme="majorBidi" w:hAnsiTheme="majorBidi" w:cstheme="majorBidi"/>
              </w:rPr>
            </w:pPr>
            <w:r w:rsidRPr="00047BD9">
              <w:rPr>
                <w:rFonts w:asciiTheme="majorBidi" w:hAnsiTheme="majorBidi" w:cstheme="majorBidi"/>
                <w:lang w:val="en-US"/>
              </w:rPr>
              <w:t>Mixture is classified as</w:t>
            </w:r>
          </w:p>
        </w:tc>
        <w:tc>
          <w:tcPr>
            <w:tcW w:w="3000" w:type="dxa"/>
            <w:tcMar>
              <w:left w:w="105" w:type="dxa"/>
              <w:right w:w="105" w:type="dxa"/>
            </w:tcMar>
          </w:tcPr>
          <w:p w14:paraId="71CEBE1F" w14:textId="77777777" w:rsidR="00E12084" w:rsidRPr="00047BD9" w:rsidRDefault="00E12084" w:rsidP="002321BE">
            <w:pPr>
              <w:spacing w:line="259" w:lineRule="auto"/>
              <w:jc w:val="both"/>
              <w:rPr>
                <w:rFonts w:asciiTheme="majorBidi" w:hAnsiTheme="majorBidi" w:cstheme="majorBidi"/>
              </w:rPr>
            </w:pPr>
            <w:r w:rsidRPr="00047BD9">
              <w:rPr>
                <w:rFonts w:asciiTheme="majorBidi" w:hAnsiTheme="majorBidi" w:cstheme="majorBidi"/>
                <w:lang w:val="en-US"/>
              </w:rPr>
              <w:t>Result</w:t>
            </w:r>
          </w:p>
        </w:tc>
      </w:tr>
      <w:tr w:rsidR="00E12084" w:rsidRPr="00047BD9" w14:paraId="58A925BE" w14:textId="77777777" w:rsidTr="002321BE">
        <w:trPr>
          <w:trHeight w:val="300"/>
        </w:trPr>
        <w:tc>
          <w:tcPr>
            <w:tcW w:w="4035" w:type="dxa"/>
            <w:tcMar>
              <w:left w:w="105" w:type="dxa"/>
              <w:right w:w="105" w:type="dxa"/>
            </w:tcMar>
          </w:tcPr>
          <w:p w14:paraId="4EE0E314" w14:textId="77777777" w:rsidR="00E12084" w:rsidRPr="00047BD9" w:rsidRDefault="00E12084" w:rsidP="002321BE">
            <w:pPr>
              <w:spacing w:line="259" w:lineRule="auto"/>
              <w:jc w:val="both"/>
              <w:rPr>
                <w:rFonts w:asciiTheme="majorBidi" w:hAnsiTheme="majorBidi" w:cstheme="majorBidi"/>
              </w:rPr>
            </w:pPr>
            <w:r w:rsidRPr="00047BD9">
              <w:rPr>
                <w:rFonts w:asciiTheme="majorBidi" w:hAnsiTheme="majorBidi" w:cstheme="majorBidi"/>
                <w:lang w:val="en-US"/>
              </w:rPr>
              <w:t>Chronic 1 x M ≥ 25</w:t>
            </w:r>
            <w:r>
              <w:rPr>
                <w:rFonts w:asciiTheme="majorBidi" w:hAnsiTheme="majorBidi" w:cstheme="majorBidi"/>
                <w:lang w:val="en-US"/>
              </w:rPr>
              <w:t> </w:t>
            </w:r>
            <w:r w:rsidRPr="00047BD9">
              <w:rPr>
                <w:rFonts w:asciiTheme="majorBidi" w:hAnsiTheme="majorBidi" w:cstheme="majorBidi"/>
                <w:lang w:val="en-US"/>
              </w:rPr>
              <w:t>%</w:t>
            </w:r>
          </w:p>
        </w:tc>
        <w:tc>
          <w:tcPr>
            <w:tcW w:w="1965" w:type="dxa"/>
            <w:tcMar>
              <w:left w:w="105" w:type="dxa"/>
              <w:right w:w="105" w:type="dxa"/>
            </w:tcMar>
          </w:tcPr>
          <w:p w14:paraId="24744B89" w14:textId="77777777" w:rsidR="00E12084" w:rsidRPr="00047BD9" w:rsidRDefault="00E12084" w:rsidP="002321BE">
            <w:pPr>
              <w:spacing w:line="259" w:lineRule="auto"/>
              <w:jc w:val="both"/>
              <w:rPr>
                <w:rFonts w:asciiTheme="majorBidi" w:hAnsiTheme="majorBidi" w:cstheme="majorBidi"/>
              </w:rPr>
            </w:pPr>
            <w:r w:rsidRPr="00047BD9">
              <w:rPr>
                <w:rFonts w:asciiTheme="majorBidi" w:hAnsiTheme="majorBidi" w:cstheme="majorBidi"/>
                <w:lang w:val="en-US"/>
              </w:rPr>
              <w:t>Chronic 1</w:t>
            </w:r>
          </w:p>
        </w:tc>
        <w:tc>
          <w:tcPr>
            <w:tcW w:w="3000" w:type="dxa"/>
            <w:tcMar>
              <w:left w:w="105" w:type="dxa"/>
              <w:right w:w="105" w:type="dxa"/>
            </w:tcMar>
          </w:tcPr>
          <w:p w14:paraId="1C82955F" w14:textId="77777777" w:rsidR="00E12084" w:rsidRPr="00047BD9" w:rsidRDefault="00E12084" w:rsidP="002321BE">
            <w:pPr>
              <w:spacing w:line="259" w:lineRule="auto"/>
              <w:jc w:val="both"/>
              <w:rPr>
                <w:rFonts w:asciiTheme="majorBidi" w:hAnsiTheme="majorBidi" w:cstheme="majorBidi"/>
              </w:rPr>
            </w:pPr>
            <w:r w:rsidRPr="00047BD9">
              <w:rPr>
                <w:rFonts w:asciiTheme="majorBidi" w:hAnsiTheme="majorBidi" w:cstheme="majorBidi"/>
                <w:lang w:val="en-US"/>
              </w:rPr>
              <w:t>0.03 x 100 = 3 = not classified</w:t>
            </w:r>
          </w:p>
        </w:tc>
      </w:tr>
      <w:tr w:rsidR="00E12084" w:rsidRPr="00047BD9" w14:paraId="55A0CC24" w14:textId="77777777" w:rsidTr="002321BE">
        <w:trPr>
          <w:trHeight w:val="300"/>
        </w:trPr>
        <w:tc>
          <w:tcPr>
            <w:tcW w:w="4035" w:type="dxa"/>
            <w:tcMar>
              <w:left w:w="105" w:type="dxa"/>
              <w:right w:w="105" w:type="dxa"/>
            </w:tcMar>
          </w:tcPr>
          <w:p w14:paraId="6C19C7C2" w14:textId="77777777" w:rsidR="00E12084" w:rsidRPr="00E12084" w:rsidRDefault="00E12084" w:rsidP="002321BE">
            <w:pPr>
              <w:spacing w:line="259" w:lineRule="auto"/>
              <w:jc w:val="both"/>
              <w:rPr>
                <w:rFonts w:asciiTheme="majorBidi" w:hAnsiTheme="majorBidi" w:cstheme="majorBidi"/>
                <w:lang w:val="en-US"/>
              </w:rPr>
            </w:pPr>
            <w:r w:rsidRPr="00047BD9">
              <w:rPr>
                <w:rFonts w:asciiTheme="majorBidi" w:hAnsiTheme="majorBidi" w:cstheme="majorBidi"/>
                <w:lang w:val="en-US"/>
              </w:rPr>
              <w:t>(M x 10 x Chronic 1) + Chronic 2 ≥ 25 %</w:t>
            </w:r>
          </w:p>
        </w:tc>
        <w:tc>
          <w:tcPr>
            <w:tcW w:w="1965" w:type="dxa"/>
            <w:tcMar>
              <w:left w:w="105" w:type="dxa"/>
              <w:right w:w="105" w:type="dxa"/>
            </w:tcMar>
          </w:tcPr>
          <w:p w14:paraId="3411403C" w14:textId="77777777" w:rsidR="00E12084" w:rsidRPr="00047BD9" w:rsidRDefault="00E12084" w:rsidP="002321BE">
            <w:pPr>
              <w:spacing w:line="259" w:lineRule="auto"/>
              <w:jc w:val="both"/>
              <w:rPr>
                <w:rFonts w:asciiTheme="majorBidi" w:hAnsiTheme="majorBidi" w:cstheme="majorBidi"/>
              </w:rPr>
            </w:pPr>
            <w:r w:rsidRPr="00047BD9">
              <w:rPr>
                <w:rFonts w:asciiTheme="majorBidi" w:hAnsiTheme="majorBidi" w:cstheme="majorBidi"/>
                <w:lang w:val="en-US"/>
              </w:rPr>
              <w:t>Chronic 2</w:t>
            </w:r>
          </w:p>
        </w:tc>
        <w:tc>
          <w:tcPr>
            <w:tcW w:w="3000" w:type="dxa"/>
            <w:tcMar>
              <w:left w:w="105" w:type="dxa"/>
              <w:right w:w="105" w:type="dxa"/>
            </w:tcMar>
          </w:tcPr>
          <w:p w14:paraId="14DA00DC" w14:textId="77777777" w:rsidR="00E12084" w:rsidRPr="00047BD9" w:rsidRDefault="00E12084" w:rsidP="002321BE">
            <w:pPr>
              <w:spacing w:line="259" w:lineRule="auto"/>
              <w:jc w:val="both"/>
              <w:rPr>
                <w:rFonts w:asciiTheme="majorBidi" w:hAnsiTheme="majorBidi" w:cstheme="majorBidi"/>
              </w:rPr>
            </w:pPr>
            <w:r w:rsidRPr="00047BD9">
              <w:rPr>
                <w:rFonts w:asciiTheme="majorBidi" w:hAnsiTheme="majorBidi" w:cstheme="majorBidi"/>
                <w:lang w:val="en-US"/>
              </w:rPr>
              <w:t>(100 x 10 x 0.03) + 0 = 30 =</w:t>
            </w:r>
          </w:p>
          <w:p w14:paraId="0A5FC135" w14:textId="77777777" w:rsidR="00E12084" w:rsidRPr="00047BD9" w:rsidRDefault="00E12084" w:rsidP="002321BE">
            <w:pPr>
              <w:spacing w:line="259" w:lineRule="auto"/>
              <w:jc w:val="both"/>
              <w:rPr>
                <w:rFonts w:asciiTheme="majorBidi" w:hAnsiTheme="majorBidi" w:cstheme="majorBidi"/>
              </w:rPr>
            </w:pPr>
            <w:r w:rsidRPr="00047BD9">
              <w:rPr>
                <w:rFonts w:asciiTheme="majorBidi" w:hAnsiTheme="majorBidi" w:cstheme="majorBidi"/>
                <w:b/>
                <w:bCs/>
                <w:lang w:val="en-US"/>
              </w:rPr>
              <w:t>Classified</w:t>
            </w:r>
          </w:p>
          <w:p w14:paraId="1683B418" w14:textId="77777777" w:rsidR="00E12084" w:rsidRPr="00047BD9" w:rsidRDefault="00E12084" w:rsidP="002321BE">
            <w:pPr>
              <w:spacing w:line="259" w:lineRule="auto"/>
              <w:jc w:val="both"/>
              <w:rPr>
                <w:rFonts w:asciiTheme="majorBidi" w:hAnsiTheme="majorBidi" w:cstheme="majorBidi"/>
              </w:rPr>
            </w:pPr>
          </w:p>
        </w:tc>
      </w:tr>
    </w:tbl>
    <w:p w14:paraId="14C46F9A" w14:textId="77777777" w:rsidR="00E12084" w:rsidRPr="00E12084" w:rsidRDefault="00E12084" w:rsidP="00E12084">
      <w:pPr>
        <w:pStyle w:val="SingleTxtG"/>
        <w:rPr>
          <w:lang w:val="en-US"/>
        </w:rPr>
      </w:pPr>
      <w:r w:rsidRPr="00DD6A2F">
        <w:rPr>
          <w:lang w:val="en-US"/>
        </w:rPr>
        <w:t xml:space="preserve">Mixture is chronic aquatic toxic 2 and therefore also </w:t>
      </w:r>
      <w:r w:rsidRPr="00DD6A2F">
        <w:rPr>
          <w:b/>
          <w:bCs/>
          <w:lang w:val="en-US"/>
        </w:rPr>
        <w:t>environmentally hazardous – UN</w:t>
      </w:r>
      <w:r>
        <w:rPr>
          <w:b/>
          <w:bCs/>
          <w:lang w:val="en-US"/>
        </w:rPr>
        <w:t> </w:t>
      </w:r>
      <w:r w:rsidRPr="00DD6A2F">
        <w:rPr>
          <w:b/>
          <w:bCs/>
          <w:lang w:val="en-US"/>
        </w:rPr>
        <w:t>3082</w:t>
      </w:r>
    </w:p>
    <w:p w14:paraId="4EFA1759" w14:textId="77777777" w:rsidR="00E12084" w:rsidRPr="00E12084" w:rsidRDefault="00E12084" w:rsidP="00E12084">
      <w:pPr>
        <w:pStyle w:val="SingleTxtG"/>
        <w:rPr>
          <w:lang w:val="en-US"/>
        </w:rPr>
      </w:pPr>
      <w:r w:rsidRPr="00C74458">
        <w:rPr>
          <w:b/>
          <w:bCs/>
          <w:lang w:val="en-US"/>
        </w:rPr>
        <w:t>Example 4:</w:t>
      </w:r>
      <w:r w:rsidRPr="00DD6A2F">
        <w:rPr>
          <w:lang w:val="en-US"/>
        </w:rPr>
        <w:t xml:space="preserve"> A liquid paint mixture contains a </w:t>
      </w:r>
      <w:r w:rsidRPr="00C74458">
        <w:rPr>
          <w:b/>
          <w:bCs/>
          <w:lang w:val="en-US"/>
        </w:rPr>
        <w:t>mixture of environmentally hazardous substances in:</w:t>
      </w:r>
    </w:p>
    <w:p w14:paraId="6B5E9835" w14:textId="77777777" w:rsidR="00E12084" w:rsidRPr="00E12084" w:rsidRDefault="00E12084" w:rsidP="00E12084">
      <w:pPr>
        <w:pStyle w:val="SingleTxtG"/>
        <w:ind w:left="1701"/>
        <w:rPr>
          <w:lang w:val="en-US"/>
        </w:rPr>
      </w:pPr>
      <w:r>
        <w:rPr>
          <w:rFonts w:ascii="Symbol" w:hAnsi="Symbol"/>
        </w:rPr>
        <w:t>(</w:t>
      </w:r>
      <w:r w:rsidRPr="00DD6A2F">
        <w:rPr>
          <w:lang w:val="en-US"/>
        </w:rPr>
        <w:t>a</w:t>
      </w:r>
      <w:r>
        <w:rPr>
          <w:lang w:val="en-US"/>
        </w:rPr>
        <w:t>)</w:t>
      </w:r>
      <w:r>
        <w:rPr>
          <w:lang w:val="en-US"/>
        </w:rPr>
        <w:tab/>
      </w:r>
      <w:r w:rsidRPr="00C74458">
        <w:rPr>
          <w:b/>
          <w:bCs/>
          <w:lang w:val="en-US"/>
        </w:rPr>
        <w:t>a concentration of 0.01</w:t>
      </w:r>
      <w:r>
        <w:rPr>
          <w:b/>
          <w:bCs/>
          <w:lang w:val="en-US"/>
        </w:rPr>
        <w:t> </w:t>
      </w:r>
      <w:r w:rsidRPr="00C74458">
        <w:rPr>
          <w:b/>
          <w:bCs/>
          <w:lang w:val="en-US"/>
        </w:rPr>
        <w:t>% assigned to both Acute and Chronic hazard category 1, M</w:t>
      </w:r>
      <w:r>
        <w:rPr>
          <w:b/>
          <w:bCs/>
          <w:lang w:val="en-US"/>
        </w:rPr>
        <w:t>-</w:t>
      </w:r>
      <w:r w:rsidRPr="00C74458">
        <w:rPr>
          <w:b/>
          <w:bCs/>
          <w:lang w:val="en-US"/>
        </w:rPr>
        <w:t>factor is 100 (acute) and 100 (chronic)</w:t>
      </w:r>
    </w:p>
    <w:p w14:paraId="27021228" w14:textId="77777777" w:rsidR="00E12084" w:rsidRPr="00E12084" w:rsidRDefault="00E12084" w:rsidP="00E12084">
      <w:pPr>
        <w:pStyle w:val="SingleTxtG"/>
        <w:ind w:left="1701"/>
        <w:rPr>
          <w:rFonts w:asciiTheme="majorBidi" w:hAnsiTheme="majorBidi" w:cstheme="majorBidi"/>
          <w:b/>
          <w:bCs/>
          <w:lang w:val="en-US"/>
        </w:rPr>
      </w:pPr>
      <w:r>
        <w:rPr>
          <w:lang w:val="en-US"/>
        </w:rPr>
        <w:t>(b)</w:t>
      </w:r>
      <w:r>
        <w:rPr>
          <w:lang w:val="en-US"/>
        </w:rPr>
        <w:tab/>
      </w:r>
      <w:r w:rsidRPr="00C74458">
        <w:rPr>
          <w:b/>
          <w:bCs/>
          <w:lang w:val="en-US"/>
        </w:rPr>
        <w:t>a concentration of 0.02</w:t>
      </w:r>
      <w:r>
        <w:rPr>
          <w:b/>
          <w:bCs/>
          <w:lang w:val="en-US"/>
        </w:rPr>
        <w:t> </w:t>
      </w:r>
      <w:r w:rsidRPr="00C74458">
        <w:rPr>
          <w:b/>
          <w:bCs/>
          <w:lang w:val="en-US"/>
        </w:rPr>
        <w:t>% assigned to Chronic hazard category 1, M</w:t>
      </w:r>
      <w:r>
        <w:rPr>
          <w:b/>
          <w:bCs/>
          <w:lang w:val="en-US"/>
        </w:rPr>
        <w:noBreakHyphen/>
      </w:r>
      <w:r w:rsidRPr="00C74458">
        <w:rPr>
          <w:b/>
          <w:bCs/>
          <w:lang w:val="en-US"/>
        </w:rPr>
        <w:t>factor is 1000</w:t>
      </w:r>
    </w:p>
    <w:tbl>
      <w:tblPr>
        <w:tblStyle w:val="Grilledutableau"/>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035"/>
        <w:gridCol w:w="1965"/>
        <w:gridCol w:w="3000"/>
      </w:tblGrid>
      <w:tr w:rsidR="00E12084" w:rsidRPr="00FB2EB9" w14:paraId="2B809676" w14:textId="77777777" w:rsidTr="002321BE">
        <w:trPr>
          <w:trHeight w:val="300"/>
        </w:trPr>
        <w:tc>
          <w:tcPr>
            <w:tcW w:w="4035" w:type="dxa"/>
            <w:tcMar>
              <w:left w:w="105" w:type="dxa"/>
              <w:right w:w="105" w:type="dxa"/>
            </w:tcMar>
          </w:tcPr>
          <w:p w14:paraId="157F4766" w14:textId="77777777" w:rsidR="00E12084" w:rsidRPr="00E12084" w:rsidRDefault="00E12084" w:rsidP="002321BE">
            <w:pPr>
              <w:spacing w:line="259" w:lineRule="auto"/>
              <w:jc w:val="both"/>
              <w:rPr>
                <w:rFonts w:asciiTheme="majorBidi" w:hAnsiTheme="majorBidi" w:cstheme="majorBidi"/>
                <w:lang w:val="en-US"/>
              </w:rPr>
            </w:pPr>
            <w:r w:rsidRPr="00FB2EB9">
              <w:rPr>
                <w:rFonts w:asciiTheme="majorBidi" w:hAnsiTheme="majorBidi" w:cstheme="majorBidi"/>
                <w:lang w:val="en-US"/>
              </w:rPr>
              <w:t>Sum of the concentration of ingredients classified as:</w:t>
            </w:r>
          </w:p>
        </w:tc>
        <w:tc>
          <w:tcPr>
            <w:tcW w:w="1965" w:type="dxa"/>
            <w:tcMar>
              <w:left w:w="105" w:type="dxa"/>
              <w:right w:w="105" w:type="dxa"/>
            </w:tcMar>
          </w:tcPr>
          <w:p w14:paraId="4EE2D6BE" w14:textId="77777777" w:rsidR="00E12084" w:rsidRPr="00FB2EB9" w:rsidRDefault="00E12084" w:rsidP="002321BE">
            <w:pPr>
              <w:spacing w:line="259" w:lineRule="auto"/>
              <w:jc w:val="both"/>
              <w:rPr>
                <w:rFonts w:asciiTheme="majorBidi" w:hAnsiTheme="majorBidi" w:cstheme="majorBidi"/>
              </w:rPr>
            </w:pPr>
            <w:r w:rsidRPr="00FB2EB9">
              <w:rPr>
                <w:rFonts w:asciiTheme="majorBidi" w:hAnsiTheme="majorBidi" w:cstheme="majorBidi"/>
                <w:lang w:val="en-US"/>
              </w:rPr>
              <w:t>Mixture is classified as</w:t>
            </w:r>
          </w:p>
        </w:tc>
        <w:tc>
          <w:tcPr>
            <w:tcW w:w="3000" w:type="dxa"/>
            <w:tcMar>
              <w:left w:w="105" w:type="dxa"/>
              <w:right w:w="105" w:type="dxa"/>
            </w:tcMar>
          </w:tcPr>
          <w:p w14:paraId="6F5503D3" w14:textId="77777777" w:rsidR="00E12084" w:rsidRPr="00FB2EB9" w:rsidRDefault="00E12084" w:rsidP="002321BE">
            <w:pPr>
              <w:spacing w:line="259" w:lineRule="auto"/>
              <w:jc w:val="both"/>
              <w:rPr>
                <w:rFonts w:asciiTheme="majorBidi" w:hAnsiTheme="majorBidi" w:cstheme="majorBidi"/>
              </w:rPr>
            </w:pPr>
            <w:r w:rsidRPr="00FB2EB9">
              <w:rPr>
                <w:rFonts w:asciiTheme="majorBidi" w:hAnsiTheme="majorBidi" w:cstheme="majorBidi"/>
                <w:lang w:val="en-US"/>
              </w:rPr>
              <w:t>Result</w:t>
            </w:r>
          </w:p>
        </w:tc>
      </w:tr>
      <w:tr w:rsidR="00E12084" w:rsidRPr="00FB2EB9" w14:paraId="453923B3" w14:textId="77777777" w:rsidTr="002321BE">
        <w:trPr>
          <w:trHeight w:val="300"/>
        </w:trPr>
        <w:tc>
          <w:tcPr>
            <w:tcW w:w="4035" w:type="dxa"/>
            <w:tcMar>
              <w:left w:w="105" w:type="dxa"/>
              <w:right w:w="105" w:type="dxa"/>
            </w:tcMar>
          </w:tcPr>
          <w:p w14:paraId="7F18FA6A" w14:textId="77777777" w:rsidR="00E12084" w:rsidRPr="00FB2EB9" w:rsidRDefault="00E12084" w:rsidP="002321BE">
            <w:pPr>
              <w:spacing w:line="259" w:lineRule="auto"/>
              <w:jc w:val="both"/>
              <w:rPr>
                <w:rFonts w:asciiTheme="majorBidi" w:hAnsiTheme="majorBidi" w:cstheme="majorBidi"/>
              </w:rPr>
            </w:pPr>
            <w:r w:rsidRPr="00FB2EB9">
              <w:rPr>
                <w:rFonts w:asciiTheme="majorBidi" w:hAnsiTheme="majorBidi" w:cstheme="majorBidi"/>
                <w:lang w:val="en-US"/>
              </w:rPr>
              <w:t>Acute 1 x M ≥ 25</w:t>
            </w:r>
            <w:r>
              <w:rPr>
                <w:rFonts w:asciiTheme="majorBidi" w:hAnsiTheme="majorBidi" w:cstheme="majorBidi"/>
                <w:lang w:val="en-US"/>
              </w:rPr>
              <w:t> </w:t>
            </w:r>
            <w:r w:rsidRPr="00FB2EB9">
              <w:rPr>
                <w:rFonts w:asciiTheme="majorBidi" w:hAnsiTheme="majorBidi" w:cstheme="majorBidi"/>
                <w:lang w:val="en-US"/>
              </w:rPr>
              <w:t>%</w:t>
            </w:r>
          </w:p>
        </w:tc>
        <w:tc>
          <w:tcPr>
            <w:tcW w:w="1965" w:type="dxa"/>
            <w:tcMar>
              <w:left w:w="105" w:type="dxa"/>
              <w:right w:w="105" w:type="dxa"/>
            </w:tcMar>
          </w:tcPr>
          <w:p w14:paraId="7C4BB4A2" w14:textId="77777777" w:rsidR="00E12084" w:rsidRPr="00FB2EB9" w:rsidRDefault="00E12084" w:rsidP="002321BE">
            <w:pPr>
              <w:spacing w:line="259" w:lineRule="auto"/>
              <w:jc w:val="both"/>
              <w:rPr>
                <w:rFonts w:asciiTheme="majorBidi" w:hAnsiTheme="majorBidi" w:cstheme="majorBidi"/>
              </w:rPr>
            </w:pPr>
            <w:r w:rsidRPr="00FB2EB9">
              <w:rPr>
                <w:rFonts w:asciiTheme="majorBidi" w:hAnsiTheme="majorBidi" w:cstheme="majorBidi"/>
                <w:lang w:val="en-US"/>
              </w:rPr>
              <w:t>Acute 1</w:t>
            </w:r>
          </w:p>
        </w:tc>
        <w:tc>
          <w:tcPr>
            <w:tcW w:w="3000" w:type="dxa"/>
            <w:tcMar>
              <w:left w:w="105" w:type="dxa"/>
              <w:right w:w="105" w:type="dxa"/>
            </w:tcMar>
          </w:tcPr>
          <w:p w14:paraId="7F5D9C11" w14:textId="77777777" w:rsidR="00E12084" w:rsidRPr="00FB2EB9" w:rsidRDefault="00E12084" w:rsidP="002321BE">
            <w:pPr>
              <w:spacing w:line="259" w:lineRule="auto"/>
              <w:jc w:val="both"/>
              <w:rPr>
                <w:rFonts w:asciiTheme="majorBidi" w:hAnsiTheme="majorBidi" w:cstheme="majorBidi"/>
              </w:rPr>
            </w:pPr>
            <w:r w:rsidRPr="00FB2EB9">
              <w:rPr>
                <w:rFonts w:asciiTheme="majorBidi" w:hAnsiTheme="majorBidi" w:cstheme="majorBidi"/>
                <w:lang w:val="en-US"/>
              </w:rPr>
              <w:t>0.01 x 100 = 1 = not classified</w:t>
            </w:r>
          </w:p>
        </w:tc>
      </w:tr>
    </w:tbl>
    <w:p w14:paraId="3C1B56AE" w14:textId="77777777" w:rsidR="00E12084" w:rsidRPr="00FB2EB9" w:rsidRDefault="00E12084" w:rsidP="00E12084">
      <w:pPr>
        <w:spacing w:after="160" w:line="259" w:lineRule="auto"/>
        <w:jc w:val="both"/>
        <w:rPr>
          <w:rFonts w:asciiTheme="majorBidi" w:hAnsiTheme="majorBidi" w:cstheme="majorBidi"/>
          <w:color w:val="000000" w:themeColor="text1"/>
        </w:rPr>
      </w:pPr>
    </w:p>
    <w:tbl>
      <w:tblPr>
        <w:tblStyle w:val="Grilledutableau"/>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035"/>
        <w:gridCol w:w="1965"/>
        <w:gridCol w:w="3000"/>
      </w:tblGrid>
      <w:tr w:rsidR="00E12084" w:rsidRPr="00FB2EB9" w14:paraId="640DF7DE" w14:textId="77777777" w:rsidTr="002321BE">
        <w:trPr>
          <w:trHeight w:val="300"/>
        </w:trPr>
        <w:tc>
          <w:tcPr>
            <w:tcW w:w="4035" w:type="dxa"/>
            <w:tcMar>
              <w:left w:w="105" w:type="dxa"/>
              <w:right w:w="105" w:type="dxa"/>
            </w:tcMar>
          </w:tcPr>
          <w:p w14:paraId="7FD92414" w14:textId="77777777" w:rsidR="00E12084" w:rsidRPr="00E12084" w:rsidRDefault="00E12084" w:rsidP="002321BE">
            <w:pPr>
              <w:spacing w:line="259" w:lineRule="auto"/>
              <w:jc w:val="both"/>
              <w:rPr>
                <w:rFonts w:asciiTheme="majorBidi" w:hAnsiTheme="majorBidi" w:cstheme="majorBidi"/>
                <w:lang w:val="en-US"/>
              </w:rPr>
            </w:pPr>
            <w:r w:rsidRPr="00FB2EB9">
              <w:rPr>
                <w:rFonts w:asciiTheme="majorBidi" w:hAnsiTheme="majorBidi" w:cstheme="majorBidi"/>
                <w:lang w:val="en-US"/>
              </w:rPr>
              <w:t>Sum of the concentration of ingredients classified as:</w:t>
            </w:r>
          </w:p>
        </w:tc>
        <w:tc>
          <w:tcPr>
            <w:tcW w:w="1965" w:type="dxa"/>
            <w:tcMar>
              <w:left w:w="105" w:type="dxa"/>
              <w:right w:w="105" w:type="dxa"/>
            </w:tcMar>
          </w:tcPr>
          <w:p w14:paraId="484A0F6C" w14:textId="77777777" w:rsidR="00E12084" w:rsidRPr="00FB2EB9" w:rsidRDefault="00E12084" w:rsidP="002321BE">
            <w:pPr>
              <w:spacing w:line="259" w:lineRule="auto"/>
              <w:jc w:val="both"/>
              <w:rPr>
                <w:rFonts w:asciiTheme="majorBidi" w:hAnsiTheme="majorBidi" w:cstheme="majorBidi"/>
              </w:rPr>
            </w:pPr>
            <w:r w:rsidRPr="00FB2EB9">
              <w:rPr>
                <w:rFonts w:asciiTheme="majorBidi" w:hAnsiTheme="majorBidi" w:cstheme="majorBidi"/>
                <w:lang w:val="en-US"/>
              </w:rPr>
              <w:t>Mixture is classified as</w:t>
            </w:r>
          </w:p>
        </w:tc>
        <w:tc>
          <w:tcPr>
            <w:tcW w:w="3000" w:type="dxa"/>
            <w:tcMar>
              <w:left w:w="105" w:type="dxa"/>
              <w:right w:w="105" w:type="dxa"/>
            </w:tcMar>
          </w:tcPr>
          <w:p w14:paraId="5C3E7B53" w14:textId="77777777" w:rsidR="00E12084" w:rsidRPr="00FB2EB9" w:rsidRDefault="00E12084" w:rsidP="002321BE">
            <w:pPr>
              <w:spacing w:line="259" w:lineRule="auto"/>
              <w:jc w:val="both"/>
              <w:rPr>
                <w:rFonts w:asciiTheme="majorBidi" w:hAnsiTheme="majorBidi" w:cstheme="majorBidi"/>
              </w:rPr>
            </w:pPr>
            <w:r w:rsidRPr="00FB2EB9">
              <w:rPr>
                <w:rFonts w:asciiTheme="majorBidi" w:hAnsiTheme="majorBidi" w:cstheme="majorBidi"/>
                <w:lang w:val="en-US"/>
              </w:rPr>
              <w:t>Result</w:t>
            </w:r>
          </w:p>
        </w:tc>
      </w:tr>
      <w:tr w:rsidR="00E12084" w:rsidRPr="001E17CD" w14:paraId="3DCEF46D" w14:textId="77777777" w:rsidTr="002321BE">
        <w:trPr>
          <w:trHeight w:val="300"/>
        </w:trPr>
        <w:tc>
          <w:tcPr>
            <w:tcW w:w="4035" w:type="dxa"/>
            <w:tcMar>
              <w:left w:w="105" w:type="dxa"/>
              <w:right w:w="105" w:type="dxa"/>
            </w:tcMar>
          </w:tcPr>
          <w:p w14:paraId="06EADBE4" w14:textId="77777777" w:rsidR="00E12084" w:rsidRPr="00FB2EB9" w:rsidRDefault="00E12084" w:rsidP="002321BE">
            <w:pPr>
              <w:spacing w:line="259" w:lineRule="auto"/>
              <w:jc w:val="both"/>
              <w:rPr>
                <w:rFonts w:asciiTheme="majorBidi" w:hAnsiTheme="majorBidi" w:cstheme="majorBidi"/>
              </w:rPr>
            </w:pPr>
            <w:r w:rsidRPr="00FB2EB9">
              <w:rPr>
                <w:rFonts w:asciiTheme="majorBidi" w:hAnsiTheme="majorBidi" w:cstheme="majorBidi"/>
                <w:lang w:val="en-US"/>
              </w:rPr>
              <w:t>Chronic 1 x M ≥ 25</w:t>
            </w:r>
            <w:r>
              <w:rPr>
                <w:rFonts w:asciiTheme="majorBidi" w:hAnsiTheme="majorBidi" w:cstheme="majorBidi"/>
                <w:lang w:val="en-US"/>
              </w:rPr>
              <w:t> </w:t>
            </w:r>
            <w:r w:rsidRPr="00FB2EB9">
              <w:rPr>
                <w:rFonts w:asciiTheme="majorBidi" w:hAnsiTheme="majorBidi" w:cstheme="majorBidi"/>
                <w:lang w:val="en-US"/>
              </w:rPr>
              <w:t>%</w:t>
            </w:r>
          </w:p>
        </w:tc>
        <w:tc>
          <w:tcPr>
            <w:tcW w:w="1965" w:type="dxa"/>
            <w:tcMar>
              <w:left w:w="105" w:type="dxa"/>
              <w:right w:w="105" w:type="dxa"/>
            </w:tcMar>
          </w:tcPr>
          <w:p w14:paraId="7B025DF1" w14:textId="77777777" w:rsidR="00E12084" w:rsidRPr="00FB2EB9" w:rsidRDefault="00E12084" w:rsidP="002321BE">
            <w:pPr>
              <w:spacing w:line="259" w:lineRule="auto"/>
              <w:jc w:val="both"/>
              <w:rPr>
                <w:rFonts w:asciiTheme="majorBidi" w:hAnsiTheme="majorBidi" w:cstheme="majorBidi"/>
              </w:rPr>
            </w:pPr>
            <w:r w:rsidRPr="00FB2EB9">
              <w:rPr>
                <w:rFonts w:asciiTheme="majorBidi" w:hAnsiTheme="majorBidi" w:cstheme="majorBidi"/>
                <w:lang w:val="en-US"/>
              </w:rPr>
              <w:t>Chronic 1</w:t>
            </w:r>
          </w:p>
        </w:tc>
        <w:tc>
          <w:tcPr>
            <w:tcW w:w="3000" w:type="dxa"/>
            <w:tcMar>
              <w:left w:w="105" w:type="dxa"/>
              <w:right w:w="105" w:type="dxa"/>
            </w:tcMar>
          </w:tcPr>
          <w:p w14:paraId="24DAD586" w14:textId="77777777" w:rsidR="00E12084" w:rsidRPr="00E12084" w:rsidRDefault="00E12084" w:rsidP="002321BE">
            <w:pPr>
              <w:spacing w:line="259" w:lineRule="auto"/>
              <w:jc w:val="both"/>
              <w:rPr>
                <w:rFonts w:asciiTheme="majorBidi" w:hAnsiTheme="majorBidi" w:cstheme="majorBidi"/>
                <w:lang w:val="en-US"/>
              </w:rPr>
            </w:pPr>
            <w:r w:rsidRPr="00FB2EB9">
              <w:rPr>
                <w:rFonts w:asciiTheme="majorBidi" w:hAnsiTheme="majorBidi" w:cstheme="majorBidi"/>
                <w:lang w:val="en-US"/>
              </w:rPr>
              <w:t xml:space="preserve">Sub1(0.01 x 100) + Sub2(0.02x1000) = 21 = </w:t>
            </w:r>
          </w:p>
          <w:p w14:paraId="7A3E299A" w14:textId="77777777" w:rsidR="00E12084" w:rsidRPr="00E12084" w:rsidRDefault="00E12084" w:rsidP="002321BE">
            <w:pPr>
              <w:spacing w:line="259" w:lineRule="auto"/>
              <w:jc w:val="both"/>
              <w:rPr>
                <w:rFonts w:asciiTheme="majorBidi" w:hAnsiTheme="majorBidi" w:cstheme="majorBidi"/>
                <w:lang w:val="en-US"/>
              </w:rPr>
            </w:pPr>
            <w:r w:rsidRPr="00FB2EB9">
              <w:rPr>
                <w:rFonts w:asciiTheme="majorBidi" w:hAnsiTheme="majorBidi" w:cstheme="majorBidi"/>
                <w:lang w:val="en-US"/>
              </w:rPr>
              <w:t>not classified</w:t>
            </w:r>
          </w:p>
        </w:tc>
      </w:tr>
      <w:tr w:rsidR="00E12084" w:rsidRPr="00FB2EB9" w14:paraId="4E1AF33A" w14:textId="77777777" w:rsidTr="002321BE">
        <w:trPr>
          <w:trHeight w:val="300"/>
        </w:trPr>
        <w:tc>
          <w:tcPr>
            <w:tcW w:w="4035" w:type="dxa"/>
            <w:tcMar>
              <w:left w:w="105" w:type="dxa"/>
              <w:right w:w="105" w:type="dxa"/>
            </w:tcMar>
          </w:tcPr>
          <w:p w14:paraId="4783E0A0" w14:textId="77777777" w:rsidR="00E12084" w:rsidRPr="00E12084" w:rsidRDefault="00E12084" w:rsidP="002321BE">
            <w:pPr>
              <w:spacing w:line="259" w:lineRule="auto"/>
              <w:jc w:val="both"/>
              <w:rPr>
                <w:rFonts w:asciiTheme="majorBidi" w:hAnsiTheme="majorBidi" w:cstheme="majorBidi"/>
                <w:lang w:val="en-US"/>
              </w:rPr>
            </w:pPr>
            <w:r w:rsidRPr="00FB2EB9">
              <w:rPr>
                <w:rFonts w:asciiTheme="majorBidi" w:hAnsiTheme="majorBidi" w:cstheme="majorBidi"/>
                <w:lang w:val="en-US"/>
              </w:rPr>
              <w:t>(M x 10 x Chronic 1) + Chronic 2 ≥ 25 %</w:t>
            </w:r>
          </w:p>
        </w:tc>
        <w:tc>
          <w:tcPr>
            <w:tcW w:w="1965" w:type="dxa"/>
            <w:tcMar>
              <w:left w:w="105" w:type="dxa"/>
              <w:right w:w="105" w:type="dxa"/>
            </w:tcMar>
          </w:tcPr>
          <w:p w14:paraId="294D2A9A" w14:textId="77777777" w:rsidR="00E12084" w:rsidRPr="00FB2EB9" w:rsidRDefault="00E12084" w:rsidP="002321BE">
            <w:pPr>
              <w:spacing w:line="259" w:lineRule="auto"/>
              <w:jc w:val="both"/>
              <w:rPr>
                <w:rFonts w:asciiTheme="majorBidi" w:hAnsiTheme="majorBidi" w:cstheme="majorBidi"/>
              </w:rPr>
            </w:pPr>
            <w:r w:rsidRPr="00FB2EB9">
              <w:rPr>
                <w:rFonts w:asciiTheme="majorBidi" w:hAnsiTheme="majorBidi" w:cstheme="majorBidi"/>
                <w:lang w:val="en-US"/>
              </w:rPr>
              <w:t>Chronic 2</w:t>
            </w:r>
          </w:p>
        </w:tc>
        <w:tc>
          <w:tcPr>
            <w:tcW w:w="3000" w:type="dxa"/>
            <w:tcMar>
              <w:left w:w="105" w:type="dxa"/>
              <w:right w:w="105" w:type="dxa"/>
            </w:tcMar>
          </w:tcPr>
          <w:p w14:paraId="10680C92" w14:textId="77777777" w:rsidR="00E12084" w:rsidRPr="00E12084" w:rsidRDefault="00E12084" w:rsidP="002321BE">
            <w:pPr>
              <w:spacing w:line="259" w:lineRule="auto"/>
              <w:jc w:val="both"/>
              <w:rPr>
                <w:rFonts w:asciiTheme="majorBidi" w:hAnsiTheme="majorBidi" w:cstheme="majorBidi"/>
                <w:lang w:val="en-US"/>
              </w:rPr>
            </w:pPr>
            <w:r w:rsidRPr="00FB2EB9">
              <w:rPr>
                <w:rFonts w:asciiTheme="majorBidi" w:hAnsiTheme="majorBidi" w:cstheme="majorBidi"/>
                <w:lang w:val="en-US"/>
              </w:rPr>
              <w:t>Sub1(100 x 10 x 0.01) + Sub2(1000x10x0.02) = 210 =</w:t>
            </w:r>
          </w:p>
          <w:p w14:paraId="02B7007B" w14:textId="77777777" w:rsidR="00E12084" w:rsidRPr="00FB2EB9" w:rsidRDefault="00E12084" w:rsidP="002321BE">
            <w:pPr>
              <w:spacing w:line="259" w:lineRule="auto"/>
              <w:jc w:val="both"/>
              <w:rPr>
                <w:rFonts w:asciiTheme="majorBidi" w:hAnsiTheme="majorBidi" w:cstheme="majorBidi"/>
              </w:rPr>
            </w:pPr>
            <w:r w:rsidRPr="00FB2EB9">
              <w:rPr>
                <w:rFonts w:asciiTheme="majorBidi" w:hAnsiTheme="majorBidi" w:cstheme="majorBidi"/>
                <w:b/>
                <w:bCs/>
                <w:lang w:val="en-US"/>
              </w:rPr>
              <w:t>Classified</w:t>
            </w:r>
          </w:p>
          <w:p w14:paraId="419A0E14" w14:textId="77777777" w:rsidR="00E12084" w:rsidRPr="00FB2EB9" w:rsidRDefault="00E12084" w:rsidP="002321BE">
            <w:pPr>
              <w:spacing w:line="259" w:lineRule="auto"/>
              <w:jc w:val="both"/>
              <w:rPr>
                <w:rFonts w:asciiTheme="majorBidi" w:hAnsiTheme="majorBidi" w:cstheme="majorBidi"/>
              </w:rPr>
            </w:pPr>
          </w:p>
        </w:tc>
      </w:tr>
    </w:tbl>
    <w:p w14:paraId="7AF1E05E" w14:textId="77777777" w:rsidR="00E12084" w:rsidRPr="00E12084" w:rsidRDefault="00E12084" w:rsidP="00E12084">
      <w:pPr>
        <w:pStyle w:val="SingleTxtG"/>
        <w:rPr>
          <w:lang w:val="en-US"/>
        </w:rPr>
      </w:pPr>
      <w:r w:rsidRPr="00DD6A2F">
        <w:rPr>
          <w:lang w:val="en-US"/>
        </w:rPr>
        <w:t xml:space="preserve">Mixture is chronic aquatic toxic 2 and therefore also </w:t>
      </w:r>
      <w:r w:rsidRPr="00DD6A2F">
        <w:rPr>
          <w:b/>
          <w:bCs/>
          <w:lang w:val="en-US"/>
        </w:rPr>
        <w:t>environmentally hazardous – UN</w:t>
      </w:r>
      <w:r>
        <w:rPr>
          <w:b/>
          <w:bCs/>
          <w:lang w:val="en-US"/>
        </w:rPr>
        <w:t> </w:t>
      </w:r>
      <w:r w:rsidRPr="00DD6A2F">
        <w:rPr>
          <w:b/>
          <w:bCs/>
          <w:lang w:val="en-US"/>
        </w:rPr>
        <w:t>3082</w:t>
      </w:r>
    </w:p>
    <w:p w14:paraId="2C39705C" w14:textId="77777777" w:rsidR="00E12084" w:rsidRPr="00E12084" w:rsidRDefault="00E12084" w:rsidP="00E12084">
      <w:pPr>
        <w:pStyle w:val="SingleTxtG"/>
        <w:rPr>
          <w:lang w:val="en-US"/>
        </w:rPr>
      </w:pPr>
      <w:r w:rsidRPr="00DD6A2F">
        <w:rPr>
          <w:b/>
          <w:bCs/>
          <w:lang w:val="en-US"/>
        </w:rPr>
        <w:t>Example 5</w:t>
      </w:r>
      <w:r w:rsidRPr="00DD6A2F">
        <w:rPr>
          <w:lang w:val="en-US"/>
        </w:rPr>
        <w:t xml:space="preserve">: A liquid paint mixture contains one environmentally hazardous substance in a concentration of </w:t>
      </w:r>
      <w:r w:rsidRPr="00DD6A2F">
        <w:rPr>
          <w:b/>
          <w:bCs/>
          <w:lang w:val="en-US"/>
        </w:rPr>
        <w:t>2.75</w:t>
      </w:r>
      <w:r>
        <w:rPr>
          <w:b/>
          <w:bCs/>
          <w:lang w:val="en-US"/>
        </w:rPr>
        <w:t> </w:t>
      </w:r>
      <w:r w:rsidRPr="00DD6A2F">
        <w:rPr>
          <w:b/>
          <w:bCs/>
          <w:lang w:val="en-US"/>
        </w:rPr>
        <w:t>% assigned to Chronic hazard category 1, M</w:t>
      </w:r>
      <w:r>
        <w:rPr>
          <w:b/>
          <w:bCs/>
          <w:lang w:val="en-US"/>
        </w:rPr>
        <w:t>-</w:t>
      </w:r>
      <w:r w:rsidRPr="00DD6A2F">
        <w:rPr>
          <w:b/>
          <w:bCs/>
          <w:lang w:val="en-US"/>
        </w:rPr>
        <w:t>factor is 1</w:t>
      </w:r>
    </w:p>
    <w:p w14:paraId="329836CA" w14:textId="77777777" w:rsidR="00E12084" w:rsidRPr="00DD6A2F" w:rsidRDefault="00E12084" w:rsidP="00E12084">
      <w:pPr>
        <w:pStyle w:val="SingleTxtG"/>
      </w:pPr>
      <w:r w:rsidRPr="00DD6A2F">
        <w:rPr>
          <w:lang w:val="en-US"/>
        </w:rPr>
        <w:t>Calculation for UN</w:t>
      </w:r>
      <w:r>
        <w:rPr>
          <w:lang w:val="en-US"/>
        </w:rPr>
        <w:t> </w:t>
      </w:r>
      <w:r w:rsidRPr="00DD6A2F">
        <w:rPr>
          <w:lang w:val="en-US"/>
        </w:rPr>
        <w:t>3082:</w:t>
      </w:r>
    </w:p>
    <w:tbl>
      <w:tblPr>
        <w:tblStyle w:val="Grilledutableau"/>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035"/>
        <w:gridCol w:w="1965"/>
        <w:gridCol w:w="3000"/>
      </w:tblGrid>
      <w:tr w:rsidR="00E12084" w:rsidRPr="008C4998" w14:paraId="33508D2E" w14:textId="77777777" w:rsidTr="002321BE">
        <w:trPr>
          <w:trHeight w:val="300"/>
        </w:trPr>
        <w:tc>
          <w:tcPr>
            <w:tcW w:w="4035" w:type="dxa"/>
            <w:tcMar>
              <w:left w:w="105" w:type="dxa"/>
              <w:right w:w="105" w:type="dxa"/>
            </w:tcMar>
          </w:tcPr>
          <w:p w14:paraId="147AB429" w14:textId="77777777" w:rsidR="00E12084" w:rsidRPr="00E12084" w:rsidRDefault="00E12084" w:rsidP="002321BE">
            <w:pPr>
              <w:spacing w:line="259" w:lineRule="auto"/>
              <w:jc w:val="both"/>
              <w:rPr>
                <w:rFonts w:asciiTheme="majorBidi" w:hAnsiTheme="majorBidi" w:cstheme="majorBidi"/>
                <w:lang w:val="en-US"/>
              </w:rPr>
            </w:pPr>
            <w:r w:rsidRPr="008C4998">
              <w:rPr>
                <w:rFonts w:asciiTheme="majorBidi" w:hAnsiTheme="majorBidi" w:cstheme="majorBidi"/>
                <w:lang w:val="en-US"/>
              </w:rPr>
              <w:t>Sum of the concentration of ingredients classified as:</w:t>
            </w:r>
          </w:p>
        </w:tc>
        <w:tc>
          <w:tcPr>
            <w:tcW w:w="1965" w:type="dxa"/>
            <w:tcMar>
              <w:left w:w="105" w:type="dxa"/>
              <w:right w:w="105" w:type="dxa"/>
            </w:tcMar>
          </w:tcPr>
          <w:p w14:paraId="425E3507" w14:textId="77777777" w:rsidR="00E12084" w:rsidRPr="008C4998" w:rsidRDefault="00E12084" w:rsidP="002321BE">
            <w:pPr>
              <w:spacing w:line="259" w:lineRule="auto"/>
              <w:jc w:val="both"/>
              <w:rPr>
                <w:rFonts w:asciiTheme="majorBidi" w:hAnsiTheme="majorBidi" w:cstheme="majorBidi"/>
              </w:rPr>
            </w:pPr>
            <w:r w:rsidRPr="008C4998">
              <w:rPr>
                <w:rFonts w:asciiTheme="majorBidi" w:hAnsiTheme="majorBidi" w:cstheme="majorBidi"/>
                <w:lang w:val="en-US"/>
              </w:rPr>
              <w:t>Mixture is classified as</w:t>
            </w:r>
          </w:p>
        </w:tc>
        <w:tc>
          <w:tcPr>
            <w:tcW w:w="3000" w:type="dxa"/>
            <w:tcMar>
              <w:left w:w="105" w:type="dxa"/>
              <w:right w:w="105" w:type="dxa"/>
            </w:tcMar>
          </w:tcPr>
          <w:p w14:paraId="332526DC" w14:textId="77777777" w:rsidR="00E12084" w:rsidRPr="008C4998" w:rsidRDefault="00E12084" w:rsidP="002321BE">
            <w:pPr>
              <w:spacing w:line="259" w:lineRule="auto"/>
              <w:jc w:val="both"/>
              <w:rPr>
                <w:rFonts w:asciiTheme="majorBidi" w:hAnsiTheme="majorBidi" w:cstheme="majorBidi"/>
              </w:rPr>
            </w:pPr>
            <w:r w:rsidRPr="008C4998">
              <w:rPr>
                <w:rFonts w:asciiTheme="majorBidi" w:hAnsiTheme="majorBidi" w:cstheme="majorBidi"/>
                <w:lang w:val="en-US"/>
              </w:rPr>
              <w:t>Result</w:t>
            </w:r>
          </w:p>
        </w:tc>
      </w:tr>
      <w:tr w:rsidR="00E12084" w:rsidRPr="008C4998" w14:paraId="2B7D8E63" w14:textId="77777777" w:rsidTr="002321BE">
        <w:trPr>
          <w:trHeight w:val="300"/>
        </w:trPr>
        <w:tc>
          <w:tcPr>
            <w:tcW w:w="4035" w:type="dxa"/>
            <w:tcMar>
              <w:left w:w="105" w:type="dxa"/>
              <w:right w:w="105" w:type="dxa"/>
            </w:tcMar>
          </w:tcPr>
          <w:p w14:paraId="3444ED96" w14:textId="77777777" w:rsidR="00E12084" w:rsidRPr="008C4998" w:rsidRDefault="00E12084" w:rsidP="002321BE">
            <w:pPr>
              <w:spacing w:line="259" w:lineRule="auto"/>
              <w:jc w:val="both"/>
              <w:rPr>
                <w:rFonts w:asciiTheme="majorBidi" w:hAnsiTheme="majorBidi" w:cstheme="majorBidi"/>
              </w:rPr>
            </w:pPr>
            <w:r w:rsidRPr="008C4998">
              <w:rPr>
                <w:rFonts w:asciiTheme="majorBidi" w:hAnsiTheme="majorBidi" w:cstheme="majorBidi"/>
                <w:lang w:val="en-US"/>
              </w:rPr>
              <w:t>Chronic 1 x M ≥ 25</w:t>
            </w:r>
            <w:r>
              <w:rPr>
                <w:rFonts w:asciiTheme="majorBidi" w:hAnsiTheme="majorBidi" w:cstheme="majorBidi"/>
                <w:lang w:val="en-US"/>
              </w:rPr>
              <w:t> </w:t>
            </w:r>
            <w:r w:rsidRPr="008C4998">
              <w:rPr>
                <w:rFonts w:asciiTheme="majorBidi" w:hAnsiTheme="majorBidi" w:cstheme="majorBidi"/>
                <w:lang w:val="en-US"/>
              </w:rPr>
              <w:t>%</w:t>
            </w:r>
          </w:p>
        </w:tc>
        <w:tc>
          <w:tcPr>
            <w:tcW w:w="1965" w:type="dxa"/>
            <w:tcMar>
              <w:left w:w="105" w:type="dxa"/>
              <w:right w:w="105" w:type="dxa"/>
            </w:tcMar>
          </w:tcPr>
          <w:p w14:paraId="535B5F18" w14:textId="77777777" w:rsidR="00E12084" w:rsidRPr="008C4998" w:rsidRDefault="00E12084" w:rsidP="002321BE">
            <w:pPr>
              <w:spacing w:line="259" w:lineRule="auto"/>
              <w:jc w:val="both"/>
              <w:rPr>
                <w:rFonts w:asciiTheme="majorBidi" w:hAnsiTheme="majorBidi" w:cstheme="majorBidi"/>
              </w:rPr>
            </w:pPr>
            <w:r w:rsidRPr="008C4998">
              <w:rPr>
                <w:rFonts w:asciiTheme="majorBidi" w:hAnsiTheme="majorBidi" w:cstheme="majorBidi"/>
                <w:lang w:val="en-US"/>
              </w:rPr>
              <w:t>Chronic 1</w:t>
            </w:r>
          </w:p>
        </w:tc>
        <w:tc>
          <w:tcPr>
            <w:tcW w:w="3000" w:type="dxa"/>
            <w:tcMar>
              <w:left w:w="105" w:type="dxa"/>
              <w:right w:w="105" w:type="dxa"/>
            </w:tcMar>
          </w:tcPr>
          <w:p w14:paraId="735C001F" w14:textId="77777777" w:rsidR="00E12084" w:rsidRPr="008C4998" w:rsidRDefault="00E12084" w:rsidP="002321BE">
            <w:pPr>
              <w:spacing w:line="259" w:lineRule="auto"/>
              <w:jc w:val="both"/>
              <w:rPr>
                <w:rFonts w:asciiTheme="majorBidi" w:hAnsiTheme="majorBidi" w:cstheme="majorBidi"/>
              </w:rPr>
            </w:pPr>
            <w:r w:rsidRPr="008C4998">
              <w:rPr>
                <w:rFonts w:asciiTheme="majorBidi" w:hAnsiTheme="majorBidi" w:cstheme="majorBidi"/>
                <w:lang w:val="en-US"/>
              </w:rPr>
              <w:t>2.75 x 1 = 2.75 = not classified</w:t>
            </w:r>
          </w:p>
        </w:tc>
      </w:tr>
      <w:tr w:rsidR="00E12084" w:rsidRPr="008C4998" w14:paraId="7FCAF432" w14:textId="77777777" w:rsidTr="002321BE">
        <w:trPr>
          <w:trHeight w:val="300"/>
        </w:trPr>
        <w:tc>
          <w:tcPr>
            <w:tcW w:w="4035" w:type="dxa"/>
            <w:tcMar>
              <w:left w:w="105" w:type="dxa"/>
              <w:right w:w="105" w:type="dxa"/>
            </w:tcMar>
          </w:tcPr>
          <w:p w14:paraId="0ACC3FD0" w14:textId="77777777" w:rsidR="00E12084" w:rsidRPr="00E12084" w:rsidRDefault="00E12084" w:rsidP="002321BE">
            <w:pPr>
              <w:spacing w:line="259" w:lineRule="auto"/>
              <w:jc w:val="both"/>
              <w:rPr>
                <w:rFonts w:asciiTheme="majorBidi" w:hAnsiTheme="majorBidi" w:cstheme="majorBidi"/>
                <w:lang w:val="en-US"/>
              </w:rPr>
            </w:pPr>
            <w:r w:rsidRPr="008C4998">
              <w:rPr>
                <w:rFonts w:asciiTheme="majorBidi" w:hAnsiTheme="majorBidi" w:cstheme="majorBidi"/>
                <w:lang w:val="en-US"/>
              </w:rPr>
              <w:t>(M x 10 x Chronic 1) + Chronic 2 ≥ 25 %</w:t>
            </w:r>
          </w:p>
        </w:tc>
        <w:tc>
          <w:tcPr>
            <w:tcW w:w="1965" w:type="dxa"/>
            <w:tcMar>
              <w:left w:w="105" w:type="dxa"/>
              <w:right w:w="105" w:type="dxa"/>
            </w:tcMar>
          </w:tcPr>
          <w:p w14:paraId="58B8CBDA" w14:textId="77777777" w:rsidR="00E12084" w:rsidRPr="008C4998" w:rsidRDefault="00E12084" w:rsidP="002321BE">
            <w:pPr>
              <w:spacing w:line="259" w:lineRule="auto"/>
              <w:jc w:val="both"/>
              <w:rPr>
                <w:rFonts w:asciiTheme="majorBidi" w:hAnsiTheme="majorBidi" w:cstheme="majorBidi"/>
              </w:rPr>
            </w:pPr>
            <w:r w:rsidRPr="008C4998">
              <w:rPr>
                <w:rFonts w:asciiTheme="majorBidi" w:hAnsiTheme="majorBidi" w:cstheme="majorBidi"/>
                <w:lang w:val="en-US"/>
              </w:rPr>
              <w:t>Chronic 2</w:t>
            </w:r>
          </w:p>
        </w:tc>
        <w:tc>
          <w:tcPr>
            <w:tcW w:w="3000" w:type="dxa"/>
            <w:tcMar>
              <w:left w:w="105" w:type="dxa"/>
              <w:right w:w="105" w:type="dxa"/>
            </w:tcMar>
          </w:tcPr>
          <w:p w14:paraId="44715A5D" w14:textId="77777777" w:rsidR="00E12084" w:rsidRPr="008C4998" w:rsidRDefault="00E12084" w:rsidP="002321BE">
            <w:pPr>
              <w:spacing w:line="259" w:lineRule="auto"/>
              <w:jc w:val="both"/>
              <w:rPr>
                <w:rFonts w:asciiTheme="majorBidi" w:hAnsiTheme="majorBidi" w:cstheme="majorBidi"/>
              </w:rPr>
            </w:pPr>
            <w:r w:rsidRPr="008C4998">
              <w:rPr>
                <w:rFonts w:asciiTheme="majorBidi" w:hAnsiTheme="majorBidi" w:cstheme="majorBidi"/>
                <w:lang w:val="en-US"/>
              </w:rPr>
              <w:t>(1 x 10 x 2.75) + 0 = 27.5 =</w:t>
            </w:r>
          </w:p>
          <w:p w14:paraId="4BA47867" w14:textId="77777777" w:rsidR="00E12084" w:rsidRPr="008C4998" w:rsidRDefault="00E12084" w:rsidP="002321BE">
            <w:pPr>
              <w:spacing w:line="259" w:lineRule="auto"/>
              <w:jc w:val="both"/>
              <w:rPr>
                <w:rFonts w:asciiTheme="majorBidi" w:hAnsiTheme="majorBidi" w:cstheme="majorBidi"/>
              </w:rPr>
            </w:pPr>
            <w:r w:rsidRPr="008C4998">
              <w:rPr>
                <w:rFonts w:asciiTheme="majorBidi" w:hAnsiTheme="majorBidi" w:cstheme="majorBidi"/>
                <w:b/>
                <w:bCs/>
                <w:lang w:val="en-US"/>
              </w:rPr>
              <w:t>Classified</w:t>
            </w:r>
          </w:p>
          <w:p w14:paraId="7FABE05B" w14:textId="77777777" w:rsidR="00E12084" w:rsidRPr="008C4998" w:rsidRDefault="00E12084" w:rsidP="002321BE">
            <w:pPr>
              <w:spacing w:line="259" w:lineRule="auto"/>
              <w:jc w:val="both"/>
              <w:rPr>
                <w:rFonts w:asciiTheme="majorBidi" w:hAnsiTheme="majorBidi" w:cstheme="majorBidi"/>
              </w:rPr>
            </w:pPr>
          </w:p>
        </w:tc>
      </w:tr>
    </w:tbl>
    <w:p w14:paraId="28072D28" w14:textId="77777777" w:rsidR="00E12084" w:rsidRPr="00E12084" w:rsidRDefault="00E12084" w:rsidP="00E12084">
      <w:pPr>
        <w:pStyle w:val="SingleTxtG"/>
        <w:rPr>
          <w:lang w:val="en-US"/>
        </w:rPr>
      </w:pPr>
      <w:r w:rsidRPr="00DD6A2F">
        <w:rPr>
          <w:lang w:val="en-US"/>
        </w:rPr>
        <w:t xml:space="preserve">Mixture is chronic aquatic toxic 2 and therefore also </w:t>
      </w:r>
      <w:r w:rsidRPr="00504021">
        <w:rPr>
          <w:b/>
          <w:bCs/>
          <w:lang w:val="en-US"/>
        </w:rPr>
        <w:t>environmentally hazardous – UN</w:t>
      </w:r>
      <w:r>
        <w:rPr>
          <w:b/>
          <w:bCs/>
          <w:lang w:val="en-US"/>
        </w:rPr>
        <w:t> </w:t>
      </w:r>
      <w:r w:rsidRPr="00504021">
        <w:rPr>
          <w:b/>
          <w:bCs/>
          <w:lang w:val="en-US"/>
        </w:rPr>
        <w:t>3082 and will be packaged in UN-approved packaging (would have to be supplied in metal UN-approved packaging)</w:t>
      </w:r>
    </w:p>
    <w:p w14:paraId="365C2F46" w14:textId="77777777" w:rsidR="00E12084" w:rsidRPr="00E12084" w:rsidRDefault="00E12084" w:rsidP="00E12084">
      <w:pPr>
        <w:pStyle w:val="SingleTxtG"/>
        <w:rPr>
          <w:lang w:val="en-US"/>
        </w:rPr>
      </w:pPr>
      <w:r w:rsidRPr="00DD6A2F">
        <w:rPr>
          <w:lang w:val="en-US"/>
        </w:rPr>
        <w:t>The proposal is to exempt mixture classified as UN</w:t>
      </w:r>
      <w:r>
        <w:rPr>
          <w:lang w:val="en-US"/>
        </w:rPr>
        <w:t> </w:t>
      </w:r>
      <w:r w:rsidRPr="00DD6A2F">
        <w:rPr>
          <w:lang w:val="en-US"/>
        </w:rPr>
        <w:t>3082 but containing &lt; 1</w:t>
      </w:r>
      <w:r>
        <w:rPr>
          <w:lang w:val="en-US"/>
        </w:rPr>
        <w:t> </w:t>
      </w:r>
      <w:r w:rsidRPr="00DD6A2F">
        <w:rPr>
          <w:lang w:val="en-US"/>
        </w:rPr>
        <w:t>% of highly toxic to the environment substances (with M-factor &gt;1) for UN-approved packaging.</w:t>
      </w:r>
    </w:p>
    <w:tbl>
      <w:tblPr>
        <w:tblStyle w:val="Grilledutableau"/>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95"/>
        <w:gridCol w:w="3060"/>
        <w:gridCol w:w="4245"/>
      </w:tblGrid>
      <w:tr w:rsidR="00E12084" w:rsidRPr="001E17CD" w14:paraId="233E47ED" w14:textId="77777777" w:rsidTr="002321BE">
        <w:trPr>
          <w:trHeight w:val="300"/>
        </w:trPr>
        <w:tc>
          <w:tcPr>
            <w:tcW w:w="1695" w:type="dxa"/>
            <w:tcMar>
              <w:left w:w="105" w:type="dxa"/>
              <w:right w:w="105" w:type="dxa"/>
            </w:tcMar>
          </w:tcPr>
          <w:p w14:paraId="098E5ECF" w14:textId="77777777" w:rsidR="00E12084" w:rsidRPr="002061BA" w:rsidRDefault="00E12084" w:rsidP="002321BE">
            <w:pPr>
              <w:spacing w:line="259" w:lineRule="auto"/>
              <w:jc w:val="both"/>
              <w:rPr>
                <w:rFonts w:asciiTheme="majorBidi" w:hAnsiTheme="majorBidi" w:cstheme="majorBidi"/>
              </w:rPr>
            </w:pPr>
            <w:r w:rsidRPr="002061BA">
              <w:rPr>
                <w:rFonts w:asciiTheme="majorBidi" w:hAnsiTheme="majorBidi" w:cstheme="majorBidi"/>
                <w:b/>
                <w:bCs/>
                <w:lang w:val="en-US"/>
              </w:rPr>
              <w:t>Example</w:t>
            </w:r>
          </w:p>
        </w:tc>
        <w:tc>
          <w:tcPr>
            <w:tcW w:w="3060" w:type="dxa"/>
            <w:tcMar>
              <w:left w:w="105" w:type="dxa"/>
              <w:right w:w="105" w:type="dxa"/>
            </w:tcMar>
          </w:tcPr>
          <w:p w14:paraId="35D7DE87" w14:textId="77777777" w:rsidR="00E12084" w:rsidRPr="002061BA" w:rsidRDefault="00E12084" w:rsidP="002321BE">
            <w:pPr>
              <w:spacing w:line="259" w:lineRule="auto"/>
              <w:jc w:val="both"/>
              <w:rPr>
                <w:rFonts w:asciiTheme="majorBidi" w:hAnsiTheme="majorBidi" w:cstheme="majorBidi"/>
              </w:rPr>
            </w:pPr>
            <w:r w:rsidRPr="002061BA">
              <w:rPr>
                <w:rFonts w:asciiTheme="majorBidi" w:hAnsiTheme="majorBidi" w:cstheme="majorBidi"/>
                <w:b/>
                <w:bCs/>
                <w:lang w:val="en-US"/>
              </w:rPr>
              <w:t xml:space="preserve">Contain &lt;1% </w:t>
            </w:r>
          </w:p>
        </w:tc>
        <w:tc>
          <w:tcPr>
            <w:tcW w:w="4245" w:type="dxa"/>
            <w:tcMar>
              <w:left w:w="105" w:type="dxa"/>
              <w:right w:w="105" w:type="dxa"/>
            </w:tcMar>
          </w:tcPr>
          <w:p w14:paraId="3580A4C7" w14:textId="77777777" w:rsidR="00E12084" w:rsidRPr="00E12084" w:rsidRDefault="00E12084" w:rsidP="002321BE">
            <w:pPr>
              <w:spacing w:line="259" w:lineRule="auto"/>
              <w:jc w:val="both"/>
              <w:rPr>
                <w:rFonts w:asciiTheme="majorBidi" w:hAnsiTheme="majorBidi" w:cstheme="majorBidi"/>
                <w:lang w:val="en-US"/>
              </w:rPr>
            </w:pPr>
            <w:r w:rsidRPr="002061BA">
              <w:rPr>
                <w:rFonts w:asciiTheme="majorBidi" w:hAnsiTheme="majorBidi" w:cstheme="majorBidi"/>
                <w:b/>
                <w:bCs/>
                <w:lang w:val="en-US"/>
              </w:rPr>
              <w:t>UN approved packaging under our proposal</w:t>
            </w:r>
          </w:p>
        </w:tc>
      </w:tr>
      <w:tr w:rsidR="00E12084" w:rsidRPr="001E17CD" w14:paraId="57BD7AD3" w14:textId="77777777" w:rsidTr="002321BE">
        <w:trPr>
          <w:trHeight w:val="300"/>
        </w:trPr>
        <w:tc>
          <w:tcPr>
            <w:tcW w:w="1695" w:type="dxa"/>
            <w:tcMar>
              <w:left w:w="105" w:type="dxa"/>
              <w:right w:w="105" w:type="dxa"/>
            </w:tcMar>
          </w:tcPr>
          <w:p w14:paraId="275A1C93" w14:textId="77777777" w:rsidR="00E12084" w:rsidRPr="002061BA" w:rsidRDefault="00E12084" w:rsidP="002321BE">
            <w:pPr>
              <w:spacing w:line="259" w:lineRule="auto"/>
              <w:jc w:val="both"/>
              <w:rPr>
                <w:rFonts w:asciiTheme="majorBidi" w:eastAsia="Calibri" w:hAnsiTheme="majorBidi" w:cstheme="majorBidi"/>
              </w:rPr>
            </w:pPr>
            <w:r w:rsidRPr="002061BA">
              <w:rPr>
                <w:rFonts w:asciiTheme="majorBidi" w:eastAsia="Calibri" w:hAnsiTheme="majorBidi" w:cstheme="majorBidi"/>
                <w:lang w:val="en-US"/>
              </w:rPr>
              <w:t>Example 2</w:t>
            </w:r>
          </w:p>
          <w:p w14:paraId="47070633" w14:textId="77777777" w:rsidR="00E12084" w:rsidRPr="002061BA" w:rsidRDefault="00E12084" w:rsidP="002321BE">
            <w:pPr>
              <w:spacing w:line="259" w:lineRule="auto"/>
              <w:jc w:val="both"/>
              <w:rPr>
                <w:rFonts w:asciiTheme="majorBidi" w:eastAsia="Calibri" w:hAnsiTheme="majorBidi" w:cstheme="majorBidi"/>
              </w:rPr>
            </w:pPr>
            <w:r w:rsidRPr="002061BA">
              <w:rPr>
                <w:rFonts w:asciiTheme="majorBidi" w:eastAsia="Calibri" w:hAnsiTheme="majorBidi" w:cstheme="majorBidi"/>
                <w:lang w:val="en-US"/>
              </w:rPr>
              <w:t>UN</w:t>
            </w:r>
            <w:r>
              <w:rPr>
                <w:rFonts w:asciiTheme="majorBidi" w:eastAsia="Calibri" w:hAnsiTheme="majorBidi" w:cstheme="majorBidi"/>
                <w:lang w:val="en-US"/>
              </w:rPr>
              <w:t> </w:t>
            </w:r>
            <w:r w:rsidRPr="002061BA">
              <w:rPr>
                <w:rFonts w:asciiTheme="majorBidi" w:eastAsia="Calibri" w:hAnsiTheme="majorBidi" w:cstheme="majorBidi"/>
                <w:lang w:val="en-US"/>
              </w:rPr>
              <w:t>3082</w:t>
            </w:r>
          </w:p>
        </w:tc>
        <w:tc>
          <w:tcPr>
            <w:tcW w:w="3060" w:type="dxa"/>
            <w:tcMar>
              <w:left w:w="105" w:type="dxa"/>
              <w:right w:w="105" w:type="dxa"/>
            </w:tcMar>
          </w:tcPr>
          <w:p w14:paraId="7385A159" w14:textId="77777777" w:rsidR="00E12084" w:rsidRPr="002061BA" w:rsidRDefault="00E12084" w:rsidP="002321BE">
            <w:pPr>
              <w:spacing w:line="259" w:lineRule="auto"/>
              <w:jc w:val="both"/>
              <w:rPr>
                <w:rFonts w:asciiTheme="majorBidi" w:eastAsia="Calibri" w:hAnsiTheme="majorBidi" w:cstheme="majorBidi"/>
              </w:rPr>
            </w:pPr>
            <w:r w:rsidRPr="002061BA">
              <w:rPr>
                <w:rFonts w:asciiTheme="majorBidi" w:eastAsia="Calibri" w:hAnsiTheme="majorBidi" w:cstheme="majorBidi"/>
                <w:lang w:val="en-US"/>
              </w:rPr>
              <w:t>0.03% Chronic cat.  1, M = 100</w:t>
            </w:r>
          </w:p>
        </w:tc>
        <w:tc>
          <w:tcPr>
            <w:tcW w:w="4245" w:type="dxa"/>
            <w:tcMar>
              <w:left w:w="105" w:type="dxa"/>
              <w:right w:w="105" w:type="dxa"/>
            </w:tcMar>
          </w:tcPr>
          <w:p w14:paraId="688BD6D4" w14:textId="77777777" w:rsidR="00E12084" w:rsidRPr="00E12084" w:rsidRDefault="00E12084" w:rsidP="002321BE">
            <w:pPr>
              <w:spacing w:line="259" w:lineRule="auto"/>
              <w:jc w:val="both"/>
              <w:rPr>
                <w:rFonts w:asciiTheme="majorBidi" w:eastAsia="Calibri" w:hAnsiTheme="majorBidi" w:cstheme="majorBidi"/>
                <w:lang w:val="en-US"/>
              </w:rPr>
            </w:pPr>
            <w:r w:rsidRPr="002061BA">
              <w:rPr>
                <w:rFonts w:asciiTheme="majorBidi" w:eastAsia="Calibri" w:hAnsiTheme="majorBidi" w:cstheme="majorBidi"/>
                <w:lang w:val="en-US"/>
              </w:rPr>
              <w:t>No (0.03</w:t>
            </w:r>
            <w:r>
              <w:rPr>
                <w:rFonts w:asciiTheme="majorBidi" w:eastAsia="Calibri" w:hAnsiTheme="majorBidi" w:cstheme="majorBidi"/>
                <w:lang w:val="en-US"/>
              </w:rPr>
              <w:t> </w:t>
            </w:r>
            <w:r w:rsidRPr="002061BA">
              <w:rPr>
                <w:rFonts w:asciiTheme="majorBidi" w:eastAsia="Calibri" w:hAnsiTheme="majorBidi" w:cstheme="majorBidi"/>
                <w:lang w:val="en-US"/>
              </w:rPr>
              <w:t>% &lt; 1</w:t>
            </w:r>
            <w:r>
              <w:rPr>
                <w:rFonts w:asciiTheme="majorBidi" w:eastAsia="Calibri" w:hAnsiTheme="majorBidi" w:cstheme="majorBidi"/>
                <w:lang w:val="en-US"/>
              </w:rPr>
              <w:t> </w:t>
            </w:r>
            <w:r w:rsidRPr="002061BA">
              <w:rPr>
                <w:rFonts w:asciiTheme="majorBidi" w:eastAsia="Calibri" w:hAnsiTheme="majorBidi" w:cstheme="majorBidi"/>
                <w:lang w:val="en-US"/>
              </w:rPr>
              <w:t>% high toxic to environment substance)</w:t>
            </w:r>
          </w:p>
        </w:tc>
      </w:tr>
      <w:tr w:rsidR="00E12084" w:rsidRPr="001E17CD" w14:paraId="7F7E4A66" w14:textId="77777777" w:rsidTr="002321BE">
        <w:trPr>
          <w:trHeight w:val="300"/>
        </w:trPr>
        <w:tc>
          <w:tcPr>
            <w:tcW w:w="1695" w:type="dxa"/>
            <w:tcMar>
              <w:left w:w="105" w:type="dxa"/>
              <w:right w:w="105" w:type="dxa"/>
            </w:tcMar>
          </w:tcPr>
          <w:p w14:paraId="1B1DDB81" w14:textId="77777777" w:rsidR="00E12084" w:rsidRPr="002061BA" w:rsidRDefault="00E12084" w:rsidP="002321BE">
            <w:pPr>
              <w:spacing w:line="259" w:lineRule="auto"/>
              <w:jc w:val="both"/>
              <w:rPr>
                <w:rFonts w:asciiTheme="majorBidi" w:eastAsia="Calibri" w:hAnsiTheme="majorBidi" w:cstheme="majorBidi"/>
              </w:rPr>
            </w:pPr>
            <w:r w:rsidRPr="002061BA">
              <w:rPr>
                <w:rFonts w:asciiTheme="majorBidi" w:eastAsia="Calibri" w:hAnsiTheme="majorBidi" w:cstheme="majorBidi"/>
                <w:lang w:val="en-US"/>
              </w:rPr>
              <w:t>Example 3</w:t>
            </w:r>
          </w:p>
          <w:p w14:paraId="637A9816" w14:textId="77777777" w:rsidR="00E12084" w:rsidRPr="002061BA" w:rsidRDefault="00E12084" w:rsidP="002321BE">
            <w:pPr>
              <w:spacing w:line="259" w:lineRule="auto"/>
              <w:jc w:val="both"/>
              <w:rPr>
                <w:rFonts w:asciiTheme="majorBidi" w:eastAsia="Calibri" w:hAnsiTheme="majorBidi" w:cstheme="majorBidi"/>
              </w:rPr>
            </w:pPr>
            <w:r w:rsidRPr="002061BA">
              <w:rPr>
                <w:rFonts w:asciiTheme="majorBidi" w:eastAsia="Calibri" w:hAnsiTheme="majorBidi" w:cstheme="majorBidi"/>
                <w:lang w:val="en-US"/>
              </w:rPr>
              <w:t>UN</w:t>
            </w:r>
            <w:r>
              <w:rPr>
                <w:rFonts w:asciiTheme="majorBidi" w:eastAsia="Calibri" w:hAnsiTheme="majorBidi" w:cstheme="majorBidi"/>
                <w:lang w:val="en-US"/>
              </w:rPr>
              <w:t> </w:t>
            </w:r>
            <w:r w:rsidRPr="002061BA">
              <w:rPr>
                <w:rFonts w:asciiTheme="majorBidi" w:eastAsia="Calibri" w:hAnsiTheme="majorBidi" w:cstheme="majorBidi"/>
                <w:lang w:val="en-US"/>
              </w:rPr>
              <w:t>3082</w:t>
            </w:r>
          </w:p>
        </w:tc>
        <w:tc>
          <w:tcPr>
            <w:tcW w:w="3060" w:type="dxa"/>
            <w:tcMar>
              <w:left w:w="105" w:type="dxa"/>
              <w:right w:w="105" w:type="dxa"/>
            </w:tcMar>
          </w:tcPr>
          <w:p w14:paraId="712974FB" w14:textId="77777777" w:rsidR="00E12084" w:rsidRPr="00E12084" w:rsidRDefault="00E12084" w:rsidP="002321BE">
            <w:pPr>
              <w:spacing w:line="259" w:lineRule="auto"/>
              <w:jc w:val="both"/>
              <w:rPr>
                <w:rFonts w:asciiTheme="majorBidi" w:eastAsia="Calibri" w:hAnsiTheme="majorBidi" w:cstheme="majorBidi"/>
                <w:lang w:val="en-US"/>
              </w:rPr>
            </w:pPr>
            <w:r w:rsidRPr="002061BA">
              <w:rPr>
                <w:rFonts w:asciiTheme="majorBidi" w:eastAsia="Calibri" w:hAnsiTheme="majorBidi" w:cstheme="majorBidi"/>
                <w:lang w:val="en-US"/>
              </w:rPr>
              <w:t>0.03% Acute cat. 1 (M = 100); Chronic cat. 1 (M = 100)</w:t>
            </w:r>
          </w:p>
        </w:tc>
        <w:tc>
          <w:tcPr>
            <w:tcW w:w="4245" w:type="dxa"/>
            <w:tcMar>
              <w:left w:w="105" w:type="dxa"/>
              <w:right w:w="105" w:type="dxa"/>
            </w:tcMar>
          </w:tcPr>
          <w:p w14:paraId="5E79BE16" w14:textId="77777777" w:rsidR="00E12084" w:rsidRPr="00E12084" w:rsidRDefault="00E12084" w:rsidP="002321BE">
            <w:pPr>
              <w:spacing w:line="259" w:lineRule="auto"/>
              <w:jc w:val="both"/>
              <w:rPr>
                <w:rFonts w:asciiTheme="majorBidi" w:eastAsia="Calibri" w:hAnsiTheme="majorBidi" w:cstheme="majorBidi"/>
                <w:lang w:val="en-US"/>
              </w:rPr>
            </w:pPr>
            <w:r w:rsidRPr="002061BA">
              <w:rPr>
                <w:rFonts w:asciiTheme="majorBidi" w:eastAsia="Calibri" w:hAnsiTheme="majorBidi" w:cstheme="majorBidi"/>
                <w:lang w:val="en-US"/>
              </w:rPr>
              <w:t>No (0.03</w:t>
            </w:r>
            <w:r>
              <w:rPr>
                <w:rFonts w:asciiTheme="majorBidi" w:eastAsia="Calibri" w:hAnsiTheme="majorBidi" w:cstheme="majorBidi"/>
                <w:lang w:val="en-US"/>
              </w:rPr>
              <w:t> </w:t>
            </w:r>
            <w:r w:rsidRPr="002061BA">
              <w:rPr>
                <w:rFonts w:asciiTheme="majorBidi" w:eastAsia="Calibri" w:hAnsiTheme="majorBidi" w:cstheme="majorBidi"/>
                <w:lang w:val="en-US"/>
              </w:rPr>
              <w:t>% &lt; 1</w:t>
            </w:r>
            <w:r>
              <w:rPr>
                <w:rFonts w:asciiTheme="majorBidi" w:eastAsia="Calibri" w:hAnsiTheme="majorBidi" w:cstheme="majorBidi"/>
                <w:lang w:val="en-US"/>
              </w:rPr>
              <w:t> </w:t>
            </w:r>
            <w:r w:rsidRPr="002061BA">
              <w:rPr>
                <w:rFonts w:asciiTheme="majorBidi" w:eastAsia="Calibri" w:hAnsiTheme="majorBidi" w:cstheme="majorBidi"/>
                <w:lang w:val="en-US"/>
              </w:rPr>
              <w:t>% high toxic to environment substance)</w:t>
            </w:r>
          </w:p>
        </w:tc>
      </w:tr>
      <w:tr w:rsidR="00E12084" w:rsidRPr="001E17CD" w14:paraId="5ABF4DCD" w14:textId="77777777" w:rsidTr="002321BE">
        <w:trPr>
          <w:trHeight w:val="300"/>
        </w:trPr>
        <w:tc>
          <w:tcPr>
            <w:tcW w:w="1695" w:type="dxa"/>
            <w:tcMar>
              <w:left w:w="105" w:type="dxa"/>
              <w:right w:w="105" w:type="dxa"/>
            </w:tcMar>
          </w:tcPr>
          <w:p w14:paraId="2AF9274A" w14:textId="77777777" w:rsidR="00E12084" w:rsidRPr="002061BA" w:rsidRDefault="00E12084" w:rsidP="002321BE">
            <w:pPr>
              <w:spacing w:line="259" w:lineRule="auto"/>
              <w:jc w:val="both"/>
              <w:rPr>
                <w:rFonts w:asciiTheme="majorBidi" w:eastAsia="Calibri" w:hAnsiTheme="majorBidi" w:cstheme="majorBidi"/>
              </w:rPr>
            </w:pPr>
            <w:r w:rsidRPr="002061BA">
              <w:rPr>
                <w:rFonts w:asciiTheme="majorBidi" w:eastAsia="Calibri" w:hAnsiTheme="majorBidi" w:cstheme="majorBidi"/>
                <w:lang w:val="en-US"/>
              </w:rPr>
              <w:t xml:space="preserve">Example 4 </w:t>
            </w:r>
          </w:p>
          <w:p w14:paraId="3364FBA7" w14:textId="77777777" w:rsidR="00E12084" w:rsidRPr="002061BA" w:rsidRDefault="00E12084" w:rsidP="002321BE">
            <w:pPr>
              <w:spacing w:line="259" w:lineRule="auto"/>
              <w:jc w:val="both"/>
              <w:rPr>
                <w:rFonts w:asciiTheme="majorBidi" w:eastAsia="Calibri" w:hAnsiTheme="majorBidi" w:cstheme="majorBidi"/>
              </w:rPr>
            </w:pPr>
            <w:r w:rsidRPr="002061BA">
              <w:rPr>
                <w:rFonts w:asciiTheme="majorBidi" w:eastAsia="Calibri" w:hAnsiTheme="majorBidi" w:cstheme="majorBidi"/>
                <w:lang w:val="en-US"/>
              </w:rPr>
              <w:t>UN</w:t>
            </w:r>
            <w:r>
              <w:rPr>
                <w:rFonts w:asciiTheme="majorBidi" w:eastAsia="Calibri" w:hAnsiTheme="majorBidi" w:cstheme="majorBidi"/>
                <w:lang w:val="en-US"/>
              </w:rPr>
              <w:t> </w:t>
            </w:r>
            <w:r w:rsidRPr="002061BA">
              <w:rPr>
                <w:rFonts w:asciiTheme="majorBidi" w:eastAsia="Calibri" w:hAnsiTheme="majorBidi" w:cstheme="majorBidi"/>
                <w:lang w:val="en-US"/>
              </w:rPr>
              <w:t>3082</w:t>
            </w:r>
          </w:p>
        </w:tc>
        <w:tc>
          <w:tcPr>
            <w:tcW w:w="3060" w:type="dxa"/>
            <w:tcMar>
              <w:left w:w="105" w:type="dxa"/>
              <w:right w:w="105" w:type="dxa"/>
            </w:tcMar>
          </w:tcPr>
          <w:p w14:paraId="4417113B" w14:textId="77777777" w:rsidR="00E12084" w:rsidRPr="00E12084" w:rsidRDefault="00E12084" w:rsidP="002321BE">
            <w:pPr>
              <w:spacing w:line="259" w:lineRule="auto"/>
              <w:jc w:val="both"/>
              <w:rPr>
                <w:rFonts w:asciiTheme="majorBidi" w:eastAsia="Calibri" w:hAnsiTheme="majorBidi" w:cstheme="majorBidi"/>
                <w:lang w:val="en-US"/>
              </w:rPr>
            </w:pPr>
            <w:r w:rsidRPr="002061BA">
              <w:rPr>
                <w:rFonts w:asciiTheme="majorBidi" w:eastAsia="Calibri" w:hAnsiTheme="majorBidi" w:cstheme="majorBidi"/>
                <w:lang w:val="en-US"/>
              </w:rPr>
              <w:t>Substance 1: 0.01</w:t>
            </w:r>
            <w:r>
              <w:rPr>
                <w:rFonts w:asciiTheme="majorBidi" w:eastAsia="Calibri" w:hAnsiTheme="majorBidi" w:cstheme="majorBidi"/>
                <w:lang w:val="en-US"/>
              </w:rPr>
              <w:t> </w:t>
            </w:r>
            <w:r w:rsidRPr="002061BA">
              <w:rPr>
                <w:rFonts w:asciiTheme="majorBidi" w:eastAsia="Calibri" w:hAnsiTheme="majorBidi" w:cstheme="majorBidi"/>
                <w:lang w:val="en-US"/>
              </w:rPr>
              <w:t>% Acute cat. 1 (M = 100); Chronic cat. 1 (M = 100)</w:t>
            </w:r>
          </w:p>
          <w:p w14:paraId="43FCDCED" w14:textId="77777777" w:rsidR="00E12084" w:rsidRPr="002061BA" w:rsidRDefault="00E12084" w:rsidP="002321BE">
            <w:pPr>
              <w:spacing w:line="259" w:lineRule="auto"/>
              <w:jc w:val="both"/>
              <w:rPr>
                <w:rFonts w:asciiTheme="majorBidi" w:eastAsia="Calibri" w:hAnsiTheme="majorBidi" w:cstheme="majorBidi"/>
              </w:rPr>
            </w:pPr>
            <w:r w:rsidRPr="002061BA">
              <w:rPr>
                <w:rFonts w:asciiTheme="majorBidi" w:eastAsia="Calibri" w:hAnsiTheme="majorBidi" w:cstheme="majorBidi"/>
                <w:lang w:val="en-US"/>
              </w:rPr>
              <w:lastRenderedPageBreak/>
              <w:t>Substance 2: 0.02</w:t>
            </w:r>
            <w:r>
              <w:rPr>
                <w:rFonts w:asciiTheme="majorBidi" w:eastAsia="Calibri" w:hAnsiTheme="majorBidi" w:cstheme="majorBidi"/>
                <w:lang w:val="en-US"/>
              </w:rPr>
              <w:t> </w:t>
            </w:r>
            <w:r w:rsidRPr="002061BA">
              <w:rPr>
                <w:rFonts w:asciiTheme="majorBidi" w:eastAsia="Calibri" w:hAnsiTheme="majorBidi" w:cstheme="majorBidi"/>
                <w:lang w:val="en-US"/>
              </w:rPr>
              <w:t>% Chronic cat. 1 (M = 1000)</w:t>
            </w:r>
          </w:p>
        </w:tc>
        <w:tc>
          <w:tcPr>
            <w:tcW w:w="4245" w:type="dxa"/>
            <w:tcMar>
              <w:left w:w="105" w:type="dxa"/>
              <w:right w:w="105" w:type="dxa"/>
            </w:tcMar>
          </w:tcPr>
          <w:p w14:paraId="56B4376E" w14:textId="77777777" w:rsidR="00E12084" w:rsidRPr="00E12084" w:rsidRDefault="00E12084" w:rsidP="002321BE">
            <w:pPr>
              <w:spacing w:line="259" w:lineRule="auto"/>
              <w:jc w:val="both"/>
              <w:rPr>
                <w:rFonts w:asciiTheme="majorBidi" w:eastAsia="Calibri" w:hAnsiTheme="majorBidi" w:cstheme="majorBidi"/>
                <w:lang w:val="en-US"/>
              </w:rPr>
            </w:pPr>
            <w:r w:rsidRPr="002061BA">
              <w:rPr>
                <w:rFonts w:asciiTheme="majorBidi" w:eastAsia="Calibri" w:hAnsiTheme="majorBidi" w:cstheme="majorBidi"/>
                <w:lang w:val="en-US"/>
              </w:rPr>
              <w:lastRenderedPageBreak/>
              <w:t>No (0.01 + 0.02%) = 0.03</w:t>
            </w:r>
            <w:r>
              <w:rPr>
                <w:rFonts w:asciiTheme="majorBidi" w:eastAsia="Calibri" w:hAnsiTheme="majorBidi" w:cstheme="majorBidi"/>
                <w:lang w:val="en-US"/>
              </w:rPr>
              <w:t> </w:t>
            </w:r>
            <w:r w:rsidRPr="002061BA">
              <w:rPr>
                <w:rFonts w:asciiTheme="majorBidi" w:eastAsia="Calibri" w:hAnsiTheme="majorBidi" w:cstheme="majorBidi"/>
                <w:lang w:val="en-US"/>
              </w:rPr>
              <w:t>% &lt;1</w:t>
            </w:r>
            <w:r>
              <w:rPr>
                <w:rFonts w:asciiTheme="majorBidi" w:eastAsia="Calibri" w:hAnsiTheme="majorBidi" w:cstheme="majorBidi"/>
                <w:lang w:val="en-US"/>
              </w:rPr>
              <w:t> </w:t>
            </w:r>
            <w:r w:rsidRPr="002061BA">
              <w:rPr>
                <w:rFonts w:asciiTheme="majorBidi" w:eastAsia="Calibri" w:hAnsiTheme="majorBidi" w:cstheme="majorBidi"/>
                <w:lang w:val="en-US"/>
              </w:rPr>
              <w:t>% high toxic to environment substance)</w:t>
            </w:r>
          </w:p>
        </w:tc>
      </w:tr>
      <w:tr w:rsidR="00E12084" w:rsidRPr="001E17CD" w14:paraId="7672446B" w14:textId="77777777" w:rsidTr="002321BE">
        <w:trPr>
          <w:trHeight w:val="300"/>
        </w:trPr>
        <w:tc>
          <w:tcPr>
            <w:tcW w:w="1695" w:type="dxa"/>
            <w:tcMar>
              <w:left w:w="105" w:type="dxa"/>
              <w:right w:w="105" w:type="dxa"/>
            </w:tcMar>
          </w:tcPr>
          <w:p w14:paraId="78189F50" w14:textId="77777777" w:rsidR="00E12084" w:rsidRPr="002061BA" w:rsidRDefault="00E12084" w:rsidP="002321BE">
            <w:pPr>
              <w:spacing w:line="259" w:lineRule="auto"/>
              <w:jc w:val="both"/>
              <w:rPr>
                <w:rFonts w:asciiTheme="majorBidi" w:eastAsia="Calibri" w:hAnsiTheme="majorBidi" w:cstheme="majorBidi"/>
              </w:rPr>
            </w:pPr>
            <w:r w:rsidRPr="002061BA">
              <w:rPr>
                <w:rFonts w:asciiTheme="majorBidi" w:eastAsia="Calibri" w:hAnsiTheme="majorBidi" w:cstheme="majorBidi"/>
                <w:lang w:val="en-US"/>
              </w:rPr>
              <w:t>Example 5</w:t>
            </w:r>
          </w:p>
          <w:p w14:paraId="63A4CB34" w14:textId="77777777" w:rsidR="00E12084" w:rsidRPr="002061BA" w:rsidRDefault="00E12084" w:rsidP="002321BE">
            <w:pPr>
              <w:spacing w:line="259" w:lineRule="auto"/>
              <w:jc w:val="both"/>
              <w:rPr>
                <w:rFonts w:asciiTheme="majorBidi" w:eastAsia="Calibri" w:hAnsiTheme="majorBidi" w:cstheme="majorBidi"/>
              </w:rPr>
            </w:pPr>
            <w:r w:rsidRPr="002061BA">
              <w:rPr>
                <w:rFonts w:asciiTheme="majorBidi" w:eastAsia="Calibri" w:hAnsiTheme="majorBidi" w:cstheme="majorBidi"/>
                <w:lang w:val="en-US"/>
              </w:rPr>
              <w:t>UN</w:t>
            </w:r>
            <w:r>
              <w:rPr>
                <w:rFonts w:asciiTheme="majorBidi" w:eastAsia="Calibri" w:hAnsiTheme="majorBidi" w:cstheme="majorBidi"/>
                <w:lang w:val="en-US"/>
              </w:rPr>
              <w:t> </w:t>
            </w:r>
            <w:r w:rsidRPr="002061BA">
              <w:rPr>
                <w:rFonts w:asciiTheme="majorBidi" w:eastAsia="Calibri" w:hAnsiTheme="majorBidi" w:cstheme="majorBidi"/>
                <w:lang w:val="en-US"/>
              </w:rPr>
              <w:t>3082</w:t>
            </w:r>
          </w:p>
        </w:tc>
        <w:tc>
          <w:tcPr>
            <w:tcW w:w="3060" w:type="dxa"/>
            <w:tcMar>
              <w:left w:w="105" w:type="dxa"/>
              <w:right w:w="105" w:type="dxa"/>
            </w:tcMar>
          </w:tcPr>
          <w:p w14:paraId="44146F92" w14:textId="77777777" w:rsidR="00E12084" w:rsidRPr="00E12084" w:rsidRDefault="00E12084" w:rsidP="002321BE">
            <w:pPr>
              <w:spacing w:line="259" w:lineRule="auto"/>
              <w:jc w:val="both"/>
              <w:rPr>
                <w:rFonts w:asciiTheme="majorBidi" w:eastAsia="Calibri" w:hAnsiTheme="majorBidi" w:cstheme="majorBidi"/>
                <w:lang w:val="en-US"/>
              </w:rPr>
            </w:pPr>
            <w:r w:rsidRPr="002061BA">
              <w:rPr>
                <w:rFonts w:asciiTheme="majorBidi" w:eastAsia="Calibri" w:hAnsiTheme="majorBidi" w:cstheme="majorBidi"/>
                <w:lang w:val="en-US"/>
              </w:rPr>
              <w:t>2.75</w:t>
            </w:r>
            <w:r>
              <w:rPr>
                <w:rFonts w:asciiTheme="majorBidi" w:eastAsia="Calibri" w:hAnsiTheme="majorBidi" w:cstheme="majorBidi"/>
                <w:lang w:val="en-US"/>
              </w:rPr>
              <w:t> </w:t>
            </w:r>
            <w:r w:rsidRPr="002061BA">
              <w:rPr>
                <w:rFonts w:asciiTheme="majorBidi" w:eastAsia="Calibri" w:hAnsiTheme="majorBidi" w:cstheme="majorBidi"/>
                <w:lang w:val="en-US"/>
              </w:rPr>
              <w:t>% Acute cat. 1 (M = 1); Chronic cat. 1 (M = 1)</w:t>
            </w:r>
          </w:p>
        </w:tc>
        <w:tc>
          <w:tcPr>
            <w:tcW w:w="4245" w:type="dxa"/>
            <w:tcMar>
              <w:left w:w="105" w:type="dxa"/>
              <w:right w:w="105" w:type="dxa"/>
            </w:tcMar>
          </w:tcPr>
          <w:p w14:paraId="5F08FA2C" w14:textId="77777777" w:rsidR="00E12084" w:rsidRPr="00E12084" w:rsidRDefault="00E12084" w:rsidP="002321BE">
            <w:pPr>
              <w:spacing w:line="259" w:lineRule="auto"/>
              <w:jc w:val="both"/>
              <w:rPr>
                <w:rFonts w:asciiTheme="majorBidi" w:eastAsia="Calibri" w:hAnsiTheme="majorBidi" w:cstheme="majorBidi"/>
                <w:lang w:val="en-US"/>
              </w:rPr>
            </w:pPr>
            <w:r w:rsidRPr="002061BA">
              <w:rPr>
                <w:rFonts w:asciiTheme="majorBidi" w:eastAsia="Calibri" w:hAnsiTheme="majorBidi" w:cstheme="majorBidi"/>
                <w:lang w:val="en-US"/>
              </w:rPr>
              <w:t>Yes (2.75</w:t>
            </w:r>
            <w:r>
              <w:rPr>
                <w:rFonts w:asciiTheme="majorBidi" w:eastAsia="Calibri" w:hAnsiTheme="majorBidi" w:cstheme="majorBidi"/>
                <w:lang w:val="en-US"/>
              </w:rPr>
              <w:t> </w:t>
            </w:r>
            <w:r w:rsidRPr="002061BA">
              <w:rPr>
                <w:rFonts w:asciiTheme="majorBidi" w:eastAsia="Calibri" w:hAnsiTheme="majorBidi" w:cstheme="majorBidi"/>
                <w:lang w:val="en-US"/>
              </w:rPr>
              <w:t>% environmentally hazardous substance but not highly toxic (M=1))</w:t>
            </w:r>
          </w:p>
        </w:tc>
      </w:tr>
    </w:tbl>
    <w:p w14:paraId="18B7C64B" w14:textId="77777777" w:rsidR="00E12084" w:rsidRPr="00E12084" w:rsidRDefault="00E12084" w:rsidP="00E12084">
      <w:pPr>
        <w:pStyle w:val="HChG"/>
        <w:rPr>
          <w:rFonts w:eastAsia="Calibri"/>
          <w:lang w:val="en-US"/>
        </w:rPr>
      </w:pPr>
      <w:r>
        <w:rPr>
          <w:rFonts w:eastAsia="Calibri"/>
          <w:lang w:val="en-US"/>
        </w:rPr>
        <w:tab/>
        <w:t>V.</w:t>
      </w:r>
      <w:r>
        <w:rPr>
          <w:rFonts w:eastAsia="Calibri"/>
          <w:lang w:val="en-US"/>
        </w:rPr>
        <w:tab/>
      </w:r>
      <w:r w:rsidRPr="00DD6A2F">
        <w:rPr>
          <w:rFonts w:eastAsia="Calibri"/>
          <w:lang w:val="en-US"/>
        </w:rPr>
        <w:t>Additional Remarks</w:t>
      </w:r>
    </w:p>
    <w:p w14:paraId="5D3EE3D1" w14:textId="77777777" w:rsidR="00E12084" w:rsidRPr="00E12084" w:rsidRDefault="00E12084" w:rsidP="00E12084">
      <w:pPr>
        <w:pStyle w:val="SingleTxtG"/>
        <w:rPr>
          <w:rFonts w:eastAsia="Calibri"/>
          <w:lang w:val="en-US"/>
        </w:rPr>
      </w:pPr>
      <w:r>
        <w:rPr>
          <w:rFonts w:eastAsia="Calibri"/>
          <w:lang w:val="en-US"/>
        </w:rPr>
        <w:t>14.</w:t>
      </w:r>
      <w:r>
        <w:rPr>
          <w:rFonts w:eastAsia="Calibri"/>
          <w:lang w:val="en-US"/>
        </w:rPr>
        <w:tab/>
      </w:r>
      <w:r w:rsidRPr="00DD6A2F">
        <w:rPr>
          <w:rFonts w:eastAsia="Calibri"/>
          <w:lang w:val="en-US"/>
        </w:rPr>
        <w:t xml:space="preserve">When Class 9 </w:t>
      </w:r>
      <w:r>
        <w:rPr>
          <w:rFonts w:eastAsia="Calibri"/>
          <w:lang w:val="en-US"/>
        </w:rPr>
        <w:t>e</w:t>
      </w:r>
      <w:r w:rsidRPr="00DD6A2F">
        <w:rPr>
          <w:rFonts w:eastAsia="Calibri"/>
          <w:lang w:val="en-US"/>
        </w:rPr>
        <w:t xml:space="preserve">nvironmentally </w:t>
      </w:r>
      <w:r>
        <w:rPr>
          <w:rFonts w:eastAsia="Calibri"/>
          <w:lang w:val="en-US"/>
        </w:rPr>
        <w:t>h</w:t>
      </w:r>
      <w:r w:rsidRPr="00DD6A2F">
        <w:rPr>
          <w:rFonts w:eastAsia="Calibri"/>
          <w:lang w:val="en-US"/>
        </w:rPr>
        <w:t>azardous classification was introduced (2009), there was only limited data available on substances (as well as M-factors). Over the years this has increased due to the proliferation of high M-factors.</w:t>
      </w:r>
    </w:p>
    <w:p w14:paraId="50B6A816" w14:textId="77777777" w:rsidR="00E12084" w:rsidRPr="00E12084" w:rsidRDefault="00E12084" w:rsidP="00E12084">
      <w:pPr>
        <w:pStyle w:val="SingleTxtG"/>
        <w:rPr>
          <w:rFonts w:eastAsia="Calibri"/>
          <w:lang w:val="en-US"/>
        </w:rPr>
      </w:pPr>
      <w:r>
        <w:rPr>
          <w:rFonts w:eastAsia="Calibri"/>
          <w:lang w:val="en-US"/>
        </w:rPr>
        <w:t>15.</w:t>
      </w:r>
      <w:r>
        <w:rPr>
          <w:rFonts w:eastAsia="Calibri"/>
          <w:lang w:val="en-US"/>
        </w:rPr>
        <w:tab/>
      </w:r>
      <w:r w:rsidRPr="00DD6A2F">
        <w:rPr>
          <w:rFonts w:eastAsia="Calibri"/>
          <w:lang w:val="en-US"/>
        </w:rPr>
        <w:t>High M-factors have led to the environmentally hazardous classification for a mixture at disproportionately low levels (e.g. 0.025</w:t>
      </w:r>
      <w:r>
        <w:rPr>
          <w:rFonts w:eastAsia="Calibri"/>
          <w:lang w:val="en-US"/>
        </w:rPr>
        <w:t> </w:t>
      </w:r>
      <w:r w:rsidRPr="00DD6A2F">
        <w:rPr>
          <w:rFonts w:eastAsia="Calibri"/>
          <w:lang w:val="en-US"/>
        </w:rPr>
        <w:t>%) when compared to mixture classification for corrosive (5</w:t>
      </w:r>
      <w:r>
        <w:rPr>
          <w:rFonts w:eastAsia="Calibri"/>
          <w:lang w:val="en-US"/>
        </w:rPr>
        <w:t xml:space="preserve"> </w:t>
      </w:r>
      <w:r w:rsidRPr="00DD6A2F">
        <w:rPr>
          <w:rFonts w:eastAsia="Calibri"/>
          <w:lang w:val="en-US"/>
        </w:rPr>
        <w:t>%) or toxic (oral 33.3</w:t>
      </w:r>
      <w:r>
        <w:rPr>
          <w:rFonts w:eastAsia="Calibri"/>
          <w:lang w:val="en-US"/>
        </w:rPr>
        <w:t xml:space="preserve"> </w:t>
      </w:r>
      <w:r w:rsidRPr="00DD6A2F">
        <w:rPr>
          <w:rFonts w:eastAsia="Calibri"/>
          <w:lang w:val="en-US"/>
        </w:rPr>
        <w:t>% - dermal 3</w:t>
      </w:r>
      <w:r>
        <w:rPr>
          <w:rFonts w:eastAsia="Calibri"/>
          <w:lang w:val="en-US"/>
        </w:rPr>
        <w:t xml:space="preserve"> </w:t>
      </w:r>
      <w:r w:rsidRPr="00DD6A2F">
        <w:rPr>
          <w:rFonts w:eastAsia="Calibri"/>
          <w:lang w:val="en-US"/>
        </w:rPr>
        <w:t>0% - inhalation 5</w:t>
      </w:r>
      <w:r>
        <w:rPr>
          <w:rFonts w:eastAsia="Calibri"/>
          <w:lang w:val="en-US"/>
        </w:rPr>
        <w:t xml:space="preserve"> </w:t>
      </w:r>
      <w:r w:rsidRPr="00DD6A2F">
        <w:rPr>
          <w:rFonts w:eastAsia="Calibri"/>
          <w:lang w:val="en-US"/>
        </w:rPr>
        <w:t>%). UN</w:t>
      </w:r>
      <w:r>
        <w:rPr>
          <w:rFonts w:eastAsia="Calibri"/>
          <w:lang w:val="en-US"/>
        </w:rPr>
        <w:t> </w:t>
      </w:r>
      <w:r w:rsidRPr="00DD6A2F">
        <w:rPr>
          <w:rFonts w:eastAsia="Calibri"/>
          <w:lang w:val="en-US"/>
        </w:rPr>
        <w:t>3077/3082 only exist in PG</w:t>
      </w:r>
      <w:r>
        <w:rPr>
          <w:rFonts w:eastAsia="Calibri"/>
          <w:lang w:val="en-US"/>
        </w:rPr>
        <w:t> </w:t>
      </w:r>
      <w:r w:rsidRPr="00DD6A2F">
        <w:rPr>
          <w:rFonts w:eastAsia="Calibri"/>
          <w:lang w:val="en-US"/>
        </w:rPr>
        <w:t xml:space="preserve">III (less danger) whereas corrosive and toxic have the full range of </w:t>
      </w:r>
      <w:r>
        <w:rPr>
          <w:rFonts w:eastAsia="Calibri"/>
          <w:lang w:val="en-US"/>
        </w:rPr>
        <w:t>packing group</w:t>
      </w:r>
      <w:r w:rsidRPr="00DD6A2F">
        <w:rPr>
          <w:rFonts w:eastAsia="Calibri"/>
          <w:lang w:val="en-US"/>
        </w:rPr>
        <w:t xml:space="preserve"> (I severe</w:t>
      </w:r>
      <w:r>
        <w:rPr>
          <w:rFonts w:eastAsia="Calibri"/>
          <w:lang w:val="en-US"/>
        </w:rPr>
        <w:t>,</w:t>
      </w:r>
      <w:r w:rsidRPr="00DD6A2F">
        <w:rPr>
          <w:rFonts w:eastAsia="Calibri"/>
          <w:lang w:val="en-US"/>
        </w:rPr>
        <w:t xml:space="preserve"> II medium</w:t>
      </w:r>
      <w:r>
        <w:rPr>
          <w:rFonts w:eastAsia="Calibri"/>
          <w:lang w:val="en-US"/>
        </w:rPr>
        <w:t>,</w:t>
      </w:r>
      <w:r w:rsidRPr="00DD6A2F">
        <w:rPr>
          <w:rFonts w:eastAsia="Calibri"/>
          <w:lang w:val="en-US"/>
        </w:rPr>
        <w:t xml:space="preserve"> III less danger). The environmentally hazardous classification does not take precedence over class</w:t>
      </w:r>
      <w:r>
        <w:rPr>
          <w:rFonts w:eastAsia="Calibri"/>
          <w:lang w:val="en-US"/>
        </w:rPr>
        <w:t>es</w:t>
      </w:r>
      <w:r w:rsidRPr="00DD6A2F">
        <w:rPr>
          <w:rFonts w:eastAsia="Calibri"/>
          <w:lang w:val="en-US"/>
        </w:rPr>
        <w:t xml:space="preserve"> 1</w:t>
      </w:r>
      <w:r>
        <w:rPr>
          <w:rFonts w:eastAsia="Calibri"/>
          <w:lang w:val="en-US"/>
        </w:rPr>
        <w:t xml:space="preserve"> to </w:t>
      </w:r>
      <w:r w:rsidRPr="00DD6A2F">
        <w:rPr>
          <w:rFonts w:eastAsia="Calibri"/>
          <w:lang w:val="en-US"/>
        </w:rPr>
        <w:t xml:space="preserve">8 and is an additional hazard while corrosive and toxic are not. Thus, this classification has inadvertently become ‘over-prioritized’ through the link between </w:t>
      </w:r>
      <w:r w:rsidRPr="00336311">
        <w:rPr>
          <w:rFonts w:eastAsia="Calibri"/>
          <w:i/>
          <w:iCs/>
          <w:lang w:val="en-US"/>
        </w:rPr>
        <w:t>GHS</w:t>
      </w:r>
      <w:r w:rsidRPr="00DD6A2F">
        <w:rPr>
          <w:rFonts w:eastAsia="Calibri"/>
          <w:lang w:val="en-US"/>
        </w:rPr>
        <w:t xml:space="preserve"> </w:t>
      </w:r>
      <w:r>
        <w:rPr>
          <w:rFonts w:eastAsia="Calibri"/>
          <w:lang w:val="en-US"/>
        </w:rPr>
        <w:t xml:space="preserve">and the </w:t>
      </w:r>
      <w:r w:rsidRPr="00336311">
        <w:rPr>
          <w:rFonts w:eastAsia="Calibri"/>
          <w:i/>
          <w:iCs/>
          <w:lang w:val="en-US"/>
        </w:rPr>
        <w:t>Model Regulations</w:t>
      </w:r>
      <w:r w:rsidRPr="00DD6A2F">
        <w:rPr>
          <w:rFonts w:eastAsia="Calibri"/>
          <w:lang w:val="en-US"/>
        </w:rPr>
        <w:t>, due primarily to M-</w:t>
      </w:r>
      <w:r>
        <w:rPr>
          <w:rFonts w:eastAsia="Calibri"/>
          <w:lang w:val="en-US"/>
        </w:rPr>
        <w:t>f</w:t>
      </w:r>
      <w:r w:rsidRPr="00DD6A2F">
        <w:rPr>
          <w:rFonts w:eastAsia="Calibri"/>
          <w:lang w:val="en-US"/>
        </w:rPr>
        <w:t>actors.</w:t>
      </w:r>
    </w:p>
    <w:p w14:paraId="19EFF14E" w14:textId="0A5B21B2" w:rsidR="00E12084" w:rsidRDefault="00E12084" w:rsidP="00E12084">
      <w:pPr>
        <w:pStyle w:val="SingleTxtG"/>
        <w:rPr>
          <w:rFonts w:eastAsia="Calibri"/>
          <w:lang w:val="en-US"/>
        </w:rPr>
      </w:pPr>
      <w:r>
        <w:rPr>
          <w:rFonts w:eastAsia="Calibri"/>
          <w:lang w:val="en-US"/>
        </w:rPr>
        <w:t>16.</w:t>
      </w:r>
      <w:r>
        <w:rPr>
          <w:rFonts w:eastAsia="Calibri"/>
          <w:lang w:val="en-US"/>
        </w:rPr>
        <w:tab/>
      </w:r>
      <w:r w:rsidRPr="00DD6A2F">
        <w:rPr>
          <w:rFonts w:eastAsia="Calibri"/>
          <w:lang w:val="en-US"/>
        </w:rPr>
        <w:t>In transport classification for health hazards only acute toxic classification is taken into account and not chronic toxic, while for environmentally hazardous classification both acute and chronic (1 and 2) are seen as dangerous in transport.</w:t>
      </w:r>
    </w:p>
    <w:p w14:paraId="17BB5796" w14:textId="03FDAFA2" w:rsidR="00E12084" w:rsidRPr="00E12084" w:rsidRDefault="00E12084" w:rsidP="00E12084">
      <w:pPr>
        <w:pStyle w:val="SingleTxtG"/>
        <w:spacing w:before="240" w:after="0"/>
        <w:jc w:val="center"/>
        <w:rPr>
          <w:u w:val="single"/>
          <w:lang w:val="en-US"/>
        </w:rPr>
      </w:pPr>
      <w:r>
        <w:rPr>
          <w:u w:val="single"/>
          <w:lang w:val="en-US"/>
        </w:rPr>
        <w:tab/>
      </w:r>
      <w:r>
        <w:rPr>
          <w:u w:val="single"/>
          <w:lang w:val="en-US"/>
        </w:rPr>
        <w:tab/>
      </w:r>
      <w:r>
        <w:rPr>
          <w:u w:val="single"/>
          <w:lang w:val="en-US"/>
        </w:rPr>
        <w:tab/>
      </w:r>
      <w:r>
        <w:rPr>
          <w:u w:val="single"/>
          <w:lang w:val="en-US"/>
        </w:rPr>
        <w:tab/>
      </w:r>
    </w:p>
    <w:sectPr w:rsidR="00E12084" w:rsidRPr="00E12084" w:rsidSect="00E96C3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F6CEE" w14:textId="77777777" w:rsidR="000D6680" w:rsidRDefault="000D6680" w:rsidP="00F95C08">
      <w:pPr>
        <w:spacing w:line="240" w:lineRule="auto"/>
      </w:pPr>
    </w:p>
  </w:endnote>
  <w:endnote w:type="continuationSeparator" w:id="0">
    <w:p w14:paraId="0DD1A55D" w14:textId="77777777" w:rsidR="000D6680" w:rsidRPr="00AC3823" w:rsidRDefault="000D6680" w:rsidP="00AC3823">
      <w:pPr>
        <w:pStyle w:val="Pieddepage"/>
      </w:pPr>
    </w:p>
  </w:endnote>
  <w:endnote w:type="continuationNotice" w:id="1">
    <w:p w14:paraId="24A39187" w14:textId="77777777" w:rsidR="000D6680" w:rsidRDefault="000D668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12755" w14:textId="49B34D9C" w:rsidR="00E96C3C" w:rsidRPr="00E96C3C" w:rsidRDefault="00E96C3C" w:rsidP="00E96C3C">
    <w:pPr>
      <w:pStyle w:val="Pieddepage"/>
      <w:tabs>
        <w:tab w:val="right" w:pos="9638"/>
      </w:tabs>
    </w:pPr>
    <w:r w:rsidRPr="00E96C3C">
      <w:rPr>
        <w:b/>
        <w:sz w:val="18"/>
      </w:rPr>
      <w:fldChar w:fldCharType="begin"/>
    </w:r>
    <w:r w:rsidRPr="00E96C3C">
      <w:rPr>
        <w:b/>
        <w:sz w:val="18"/>
      </w:rPr>
      <w:instrText xml:space="preserve"> PAGE  \* MERGEFORMAT </w:instrText>
    </w:r>
    <w:r w:rsidRPr="00E96C3C">
      <w:rPr>
        <w:b/>
        <w:sz w:val="18"/>
      </w:rPr>
      <w:fldChar w:fldCharType="separate"/>
    </w:r>
    <w:r w:rsidRPr="00E96C3C">
      <w:rPr>
        <w:b/>
        <w:noProof/>
        <w:sz w:val="18"/>
      </w:rPr>
      <w:t>2</w:t>
    </w:r>
    <w:r w:rsidRPr="00E96C3C">
      <w:rPr>
        <w:b/>
        <w:sz w:val="18"/>
      </w:rPr>
      <w:fldChar w:fldCharType="end"/>
    </w:r>
    <w:r>
      <w:rPr>
        <w:b/>
        <w:sz w:val="18"/>
      </w:rPr>
      <w:tab/>
    </w:r>
    <w:r>
      <w:t>GE.23-25519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89AE7" w14:textId="2D6AFFC7" w:rsidR="00E96C3C" w:rsidRPr="00E96C3C" w:rsidRDefault="00E96C3C" w:rsidP="00E96C3C">
    <w:pPr>
      <w:pStyle w:val="Pieddepage"/>
      <w:tabs>
        <w:tab w:val="right" w:pos="9638"/>
      </w:tabs>
      <w:rPr>
        <w:b/>
        <w:sz w:val="18"/>
      </w:rPr>
    </w:pPr>
    <w:r>
      <w:t>GE.23-25519</w:t>
    </w:r>
    <w:r>
      <w:tab/>
    </w:r>
    <w:r w:rsidRPr="00E96C3C">
      <w:rPr>
        <w:b/>
        <w:sz w:val="18"/>
      </w:rPr>
      <w:fldChar w:fldCharType="begin"/>
    </w:r>
    <w:r w:rsidRPr="00E96C3C">
      <w:rPr>
        <w:b/>
        <w:sz w:val="18"/>
      </w:rPr>
      <w:instrText xml:space="preserve"> PAGE  \* MERGEFORMAT </w:instrText>
    </w:r>
    <w:r w:rsidRPr="00E96C3C">
      <w:rPr>
        <w:b/>
        <w:sz w:val="18"/>
      </w:rPr>
      <w:fldChar w:fldCharType="separate"/>
    </w:r>
    <w:r w:rsidRPr="00E96C3C">
      <w:rPr>
        <w:b/>
        <w:noProof/>
        <w:sz w:val="18"/>
      </w:rPr>
      <w:t>3</w:t>
    </w:r>
    <w:r w:rsidRPr="00E96C3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58F9F" w14:textId="48F1C7F9" w:rsidR="007F20FA" w:rsidRPr="00E96C3C" w:rsidRDefault="00E96C3C" w:rsidP="00E96C3C">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59140416" wp14:editId="684828B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23-25519  (F)</w:t>
    </w:r>
    <w:r>
      <w:rPr>
        <w:noProof/>
        <w:sz w:val="20"/>
      </w:rPr>
      <w:drawing>
        <wp:anchor distT="0" distB="0" distL="114300" distR="114300" simplePos="0" relativeHeight="251660288" behindDoc="0" locked="0" layoutInCell="1" allowOverlap="1" wp14:anchorId="512B6883" wp14:editId="1857DE18">
          <wp:simplePos x="0" y="0"/>
          <wp:positionH relativeFrom="margin">
            <wp:posOffset>5489575</wp:posOffset>
          </wp:positionH>
          <wp:positionV relativeFrom="margin">
            <wp:posOffset>8891905</wp:posOffset>
          </wp:positionV>
          <wp:extent cx="638175" cy="638175"/>
          <wp:effectExtent l="0" t="0" r="9525" b="9525"/>
          <wp:wrapNone/>
          <wp:docPr id="153564575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010224    0</w:t>
    </w:r>
    <w:r w:rsidR="004A19A1">
      <w:rPr>
        <w:sz w:val="20"/>
      </w:rPr>
      <w:t>2</w:t>
    </w:r>
    <w:r>
      <w:rPr>
        <w:sz w:val="20"/>
      </w:rPr>
      <w:t>0224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BC7F7" w14:textId="77777777" w:rsidR="000D6680" w:rsidRPr="00AC3823" w:rsidRDefault="000D6680" w:rsidP="00AC3823">
      <w:pPr>
        <w:pStyle w:val="Pieddepage"/>
        <w:tabs>
          <w:tab w:val="right" w:pos="2155"/>
        </w:tabs>
        <w:spacing w:after="80" w:line="240" w:lineRule="atLeast"/>
        <w:ind w:left="680"/>
        <w:rPr>
          <w:u w:val="single"/>
        </w:rPr>
      </w:pPr>
      <w:r>
        <w:rPr>
          <w:u w:val="single"/>
        </w:rPr>
        <w:tab/>
      </w:r>
    </w:p>
  </w:footnote>
  <w:footnote w:type="continuationSeparator" w:id="0">
    <w:p w14:paraId="645F75BD" w14:textId="77777777" w:rsidR="000D6680" w:rsidRPr="00AC3823" w:rsidRDefault="000D6680" w:rsidP="00AC3823">
      <w:pPr>
        <w:pStyle w:val="Pieddepage"/>
        <w:tabs>
          <w:tab w:val="right" w:pos="2155"/>
        </w:tabs>
        <w:spacing w:after="80" w:line="240" w:lineRule="atLeast"/>
        <w:ind w:left="680"/>
        <w:rPr>
          <w:u w:val="single"/>
        </w:rPr>
      </w:pPr>
      <w:r>
        <w:rPr>
          <w:u w:val="single"/>
        </w:rPr>
        <w:tab/>
      </w:r>
    </w:p>
  </w:footnote>
  <w:footnote w:type="continuationNotice" w:id="1">
    <w:p w14:paraId="2B7A7BF2" w14:textId="77777777" w:rsidR="000D6680" w:rsidRPr="00AC3823" w:rsidRDefault="000D6680">
      <w:pPr>
        <w:spacing w:line="240" w:lineRule="auto"/>
        <w:rPr>
          <w:sz w:val="2"/>
          <w:szCs w:val="2"/>
        </w:rPr>
      </w:pPr>
    </w:p>
  </w:footnote>
  <w:footnote w:id="2">
    <w:p w14:paraId="3F3BA161" w14:textId="7DEB066F" w:rsidR="00E96C3C" w:rsidRPr="00E96C3C" w:rsidRDefault="00E96C3C">
      <w:pPr>
        <w:pStyle w:val="Notedebasdepage"/>
      </w:pPr>
      <w:r>
        <w:rPr>
          <w:rStyle w:val="Appelnotedebasdep"/>
        </w:rPr>
        <w:tab/>
      </w:r>
      <w:r w:rsidRPr="00E96C3C">
        <w:rPr>
          <w:rStyle w:val="Appelnotedebasdep"/>
          <w:sz w:val="20"/>
          <w:vertAlign w:val="baseline"/>
        </w:rPr>
        <w:t>*</w:t>
      </w:r>
      <w:r>
        <w:rPr>
          <w:rStyle w:val="Appelnotedebasdep"/>
          <w:sz w:val="20"/>
          <w:vertAlign w:val="baseline"/>
        </w:rPr>
        <w:tab/>
      </w:r>
      <w:r>
        <w:rPr>
          <w:lang w:val="fr-FR"/>
        </w:rPr>
        <w:t>A/78/6 (Sect.</w:t>
      </w:r>
      <w:r w:rsidR="00297855">
        <w:rPr>
          <w:lang w:val="fr-FR"/>
        </w:rPr>
        <w:t> </w:t>
      </w:r>
      <w:r>
        <w:rPr>
          <w:lang w:val="fr-FR"/>
        </w:rPr>
        <w:t>20), tableau 20.5.</w:t>
      </w:r>
    </w:p>
  </w:footnote>
  <w:footnote w:id="3">
    <w:p w14:paraId="40FA88A1" w14:textId="49B189E5" w:rsidR="00E96C3C" w:rsidRPr="00E96C3C" w:rsidRDefault="00E96C3C">
      <w:pPr>
        <w:pStyle w:val="Notedebasdepage"/>
      </w:pPr>
      <w:r>
        <w:rPr>
          <w:rStyle w:val="Appelnotedebasdep"/>
        </w:rPr>
        <w:tab/>
      </w:r>
      <w:r w:rsidRPr="00E96C3C">
        <w:rPr>
          <w:rStyle w:val="Appelnotedebasdep"/>
          <w:sz w:val="20"/>
          <w:vertAlign w:val="baseline"/>
        </w:rPr>
        <w:t>**</w:t>
      </w:r>
      <w:r>
        <w:rPr>
          <w:rStyle w:val="Appelnotedebasdep"/>
          <w:sz w:val="20"/>
          <w:vertAlign w:val="baseline"/>
        </w:rPr>
        <w:tab/>
      </w:r>
      <w:r>
        <w:rPr>
          <w:lang w:val="fr-FR"/>
        </w:rPr>
        <w:t>Diffusée par l’Organisation intergouvernementale pour les transports internationaux ferroviaires (OTIF) sous la cote OTIF/RID/RC/2024/7.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7CF5" w14:textId="72156515" w:rsidR="00E96C3C" w:rsidRPr="00E96C3C" w:rsidRDefault="00105171">
    <w:pPr>
      <w:pStyle w:val="En-tte"/>
    </w:pPr>
    <w:r>
      <w:fldChar w:fldCharType="begin"/>
    </w:r>
    <w:r>
      <w:instrText xml:space="preserve"> TITLE  \* MERGEFORMAT </w:instrText>
    </w:r>
    <w:r>
      <w:fldChar w:fldCharType="separate"/>
    </w:r>
    <w:r w:rsidR="00173AD7">
      <w:t>ECE/TRANS/WP.15/AC.1/2024/7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D6520" w14:textId="0B5923FF" w:rsidR="00E96C3C" w:rsidRPr="00E96C3C" w:rsidRDefault="00105171" w:rsidP="00E96C3C">
    <w:pPr>
      <w:pStyle w:val="En-tte"/>
      <w:jc w:val="right"/>
    </w:pPr>
    <w:r>
      <w:fldChar w:fldCharType="begin"/>
    </w:r>
    <w:r>
      <w:instrText xml:space="preserve"> TITLE  \* MERGEFORMAT </w:instrText>
    </w:r>
    <w:r>
      <w:fldChar w:fldCharType="separate"/>
    </w:r>
    <w:r w:rsidR="00173AD7">
      <w:t>ECE/TRANS/WP.15/AC.1/2024/7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325284674">
    <w:abstractNumId w:val="12"/>
  </w:num>
  <w:num w:numId="2" w16cid:durableId="1920866090">
    <w:abstractNumId w:val="11"/>
  </w:num>
  <w:num w:numId="3" w16cid:durableId="643974350">
    <w:abstractNumId w:val="10"/>
  </w:num>
  <w:num w:numId="4" w16cid:durableId="1600214236">
    <w:abstractNumId w:val="8"/>
  </w:num>
  <w:num w:numId="5" w16cid:durableId="2047289140">
    <w:abstractNumId w:val="3"/>
  </w:num>
  <w:num w:numId="6" w16cid:durableId="932782182">
    <w:abstractNumId w:val="2"/>
  </w:num>
  <w:num w:numId="7" w16cid:durableId="1253859249">
    <w:abstractNumId w:val="1"/>
  </w:num>
  <w:num w:numId="8" w16cid:durableId="1462653166">
    <w:abstractNumId w:val="0"/>
  </w:num>
  <w:num w:numId="9" w16cid:durableId="520051360">
    <w:abstractNumId w:val="9"/>
  </w:num>
  <w:num w:numId="10" w16cid:durableId="1455056990">
    <w:abstractNumId w:val="7"/>
  </w:num>
  <w:num w:numId="11" w16cid:durableId="2060473763">
    <w:abstractNumId w:val="6"/>
  </w:num>
  <w:num w:numId="12" w16cid:durableId="713233227">
    <w:abstractNumId w:val="5"/>
  </w:num>
  <w:num w:numId="13" w16cid:durableId="1335456153">
    <w:abstractNumId w:val="4"/>
  </w:num>
  <w:num w:numId="14" w16cid:durableId="1934849867">
    <w:abstractNumId w:val="12"/>
  </w:num>
  <w:num w:numId="15" w16cid:durableId="953251658">
    <w:abstractNumId w:val="11"/>
  </w:num>
  <w:num w:numId="16" w16cid:durableId="4759507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680"/>
    <w:rsid w:val="00017F94"/>
    <w:rsid w:val="00023842"/>
    <w:rsid w:val="000334F9"/>
    <w:rsid w:val="00045FEB"/>
    <w:rsid w:val="0007796D"/>
    <w:rsid w:val="000B7790"/>
    <w:rsid w:val="000D6680"/>
    <w:rsid w:val="00105171"/>
    <w:rsid w:val="00111F2F"/>
    <w:rsid w:val="0014365E"/>
    <w:rsid w:val="00143C66"/>
    <w:rsid w:val="00173AD7"/>
    <w:rsid w:val="00176178"/>
    <w:rsid w:val="001E17CD"/>
    <w:rsid w:val="001F525A"/>
    <w:rsid w:val="00201148"/>
    <w:rsid w:val="00223272"/>
    <w:rsid w:val="0024779E"/>
    <w:rsid w:val="00257168"/>
    <w:rsid w:val="002744B8"/>
    <w:rsid w:val="002832AC"/>
    <w:rsid w:val="00297855"/>
    <w:rsid w:val="002B147B"/>
    <w:rsid w:val="002D7C93"/>
    <w:rsid w:val="002E2506"/>
    <w:rsid w:val="00305801"/>
    <w:rsid w:val="003916DE"/>
    <w:rsid w:val="003A0B51"/>
    <w:rsid w:val="00421996"/>
    <w:rsid w:val="00441C3B"/>
    <w:rsid w:val="00446FE5"/>
    <w:rsid w:val="00452396"/>
    <w:rsid w:val="00477EB2"/>
    <w:rsid w:val="004837D8"/>
    <w:rsid w:val="004A19A1"/>
    <w:rsid w:val="004C0286"/>
    <w:rsid w:val="004E2EED"/>
    <w:rsid w:val="004E468C"/>
    <w:rsid w:val="005505B7"/>
    <w:rsid w:val="00554981"/>
    <w:rsid w:val="00565253"/>
    <w:rsid w:val="00573BE5"/>
    <w:rsid w:val="00586ED3"/>
    <w:rsid w:val="00596AA9"/>
    <w:rsid w:val="00675E70"/>
    <w:rsid w:val="00683082"/>
    <w:rsid w:val="006E30C3"/>
    <w:rsid w:val="0071601D"/>
    <w:rsid w:val="007A62E6"/>
    <w:rsid w:val="007F20FA"/>
    <w:rsid w:val="0080684C"/>
    <w:rsid w:val="00871C75"/>
    <w:rsid w:val="008776DC"/>
    <w:rsid w:val="008D5EF9"/>
    <w:rsid w:val="009446C0"/>
    <w:rsid w:val="009705C8"/>
    <w:rsid w:val="009C1CF4"/>
    <w:rsid w:val="009F6B74"/>
    <w:rsid w:val="00A3029F"/>
    <w:rsid w:val="00A30353"/>
    <w:rsid w:val="00A7007A"/>
    <w:rsid w:val="00AC3823"/>
    <w:rsid w:val="00AE323C"/>
    <w:rsid w:val="00AF0CB5"/>
    <w:rsid w:val="00B00181"/>
    <w:rsid w:val="00B00B0D"/>
    <w:rsid w:val="00B45F2E"/>
    <w:rsid w:val="00B765F7"/>
    <w:rsid w:val="00B77993"/>
    <w:rsid w:val="00BA0CA9"/>
    <w:rsid w:val="00C02897"/>
    <w:rsid w:val="00C108A3"/>
    <w:rsid w:val="00C97039"/>
    <w:rsid w:val="00D3439C"/>
    <w:rsid w:val="00D7622E"/>
    <w:rsid w:val="00DB1831"/>
    <w:rsid w:val="00DD3BFD"/>
    <w:rsid w:val="00DF6678"/>
    <w:rsid w:val="00E0299A"/>
    <w:rsid w:val="00E12084"/>
    <w:rsid w:val="00E85C74"/>
    <w:rsid w:val="00E96C3C"/>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5F6B6"/>
  <w15:docId w15:val="{0CFE4845-6A12-4DFF-BA6C-26C61CA89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locked/>
    <w:rsid w:val="00E12084"/>
    <w:rPr>
      <w:rFonts w:ascii="Times New Roman" w:eastAsiaTheme="minorHAnsi" w:hAnsi="Times New Roman" w:cs="Times New Roman"/>
      <w:sz w:val="20"/>
      <w:szCs w:val="20"/>
      <w:lang w:eastAsia="en-US"/>
    </w:rPr>
  </w:style>
  <w:style w:type="character" w:customStyle="1" w:styleId="HChGChar">
    <w:name w:val="_ H _Ch_G Char"/>
    <w:link w:val="HChG"/>
    <w:rsid w:val="00E12084"/>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4D7E02-FB5C-4EF9-87F1-84FAA67F400B}"/>
</file>

<file path=customXml/itemProps2.xml><?xml version="1.0" encoding="utf-8"?>
<ds:datastoreItem xmlns:ds="http://schemas.openxmlformats.org/officeDocument/2006/customXml" ds:itemID="{B719DEE5-BB4B-4DE8-8CF0-E40171FB6661}"/>
</file>

<file path=docProps/app.xml><?xml version="1.0" encoding="utf-8"?>
<Properties xmlns="http://schemas.openxmlformats.org/officeDocument/2006/extended-properties" xmlns:vt="http://schemas.openxmlformats.org/officeDocument/2006/docPropsVTypes">
  <Template>ECE_TRANS.dotm</Template>
  <TotalTime>4</TotalTime>
  <Pages>8</Pages>
  <Words>2421</Words>
  <Characters>16541</Characters>
  <Application>Microsoft Office Word</Application>
  <DocSecurity>0</DocSecurity>
  <Lines>661</Lines>
  <Paragraphs>574</Paragraphs>
  <ScaleCrop>false</ScaleCrop>
  <HeadingPairs>
    <vt:vector size="2" baseType="variant">
      <vt:variant>
        <vt:lpstr>Titre</vt:lpstr>
      </vt:variant>
      <vt:variant>
        <vt:i4>1</vt:i4>
      </vt:variant>
    </vt:vector>
  </HeadingPairs>
  <TitlesOfParts>
    <vt:vector size="1" baseType="lpstr">
      <vt:lpstr>ECE/TRANS/WP.15/AC.1/2024/7</vt:lpstr>
    </vt:vector>
  </TitlesOfParts>
  <Company>DCM</Company>
  <LinksUpToDate>false</LinksUpToDate>
  <CharactersWithSpaces>18388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ECE/TRANS/WP.15/AC.1/2024/7</dc:title>
  <dc:subject/>
  <dc:creator>Julien OKRZESIK</dc:creator>
  <cp:keywords/>
  <cp:lastModifiedBy>Julien Okrzesik</cp:lastModifiedBy>
  <cp:revision>3</cp:revision>
  <cp:lastPrinted>2024-02-02T09:08:00Z</cp:lastPrinted>
  <dcterms:created xsi:type="dcterms:W3CDTF">2024-02-02T09:08:00Z</dcterms:created>
  <dcterms:modified xsi:type="dcterms:W3CDTF">2024-02-02T09:13:00Z</dcterms:modified>
</cp:coreProperties>
</file>