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957657A" w14:textId="77777777" w:rsidTr="00C97039">
        <w:trPr>
          <w:trHeight w:hRule="exact" w:val="851"/>
        </w:trPr>
        <w:tc>
          <w:tcPr>
            <w:tcW w:w="1276" w:type="dxa"/>
            <w:tcBorders>
              <w:bottom w:val="single" w:sz="4" w:space="0" w:color="auto"/>
            </w:tcBorders>
          </w:tcPr>
          <w:p w14:paraId="764AD0CF" w14:textId="77777777" w:rsidR="00F35BAF" w:rsidRPr="00DB58B5" w:rsidRDefault="00F35BAF" w:rsidP="0006511E"/>
        </w:tc>
        <w:tc>
          <w:tcPr>
            <w:tcW w:w="2268" w:type="dxa"/>
            <w:tcBorders>
              <w:bottom w:val="single" w:sz="4" w:space="0" w:color="auto"/>
            </w:tcBorders>
            <w:vAlign w:val="bottom"/>
          </w:tcPr>
          <w:p w14:paraId="2F399986" w14:textId="4B8DFB81" w:rsidR="00F35BAF" w:rsidRPr="00DB58B5" w:rsidRDefault="00986945" w:rsidP="00C97039">
            <w:pPr>
              <w:spacing w:after="80" w:line="300" w:lineRule="exact"/>
              <w:rPr>
                <w:sz w:val="28"/>
              </w:rPr>
            </w:pPr>
            <w:r>
              <w:rPr>
                <w:sz w:val="28"/>
              </w:rPr>
              <w:t>Nations Unies</w:t>
            </w:r>
          </w:p>
        </w:tc>
        <w:tc>
          <w:tcPr>
            <w:tcW w:w="6095" w:type="dxa"/>
            <w:gridSpan w:val="2"/>
            <w:tcBorders>
              <w:bottom w:val="single" w:sz="4" w:space="0" w:color="auto"/>
            </w:tcBorders>
            <w:vAlign w:val="bottom"/>
          </w:tcPr>
          <w:p w14:paraId="4FC37B20" w14:textId="5CD1BA8F" w:rsidR="00F35BAF" w:rsidRPr="00DB58B5" w:rsidRDefault="0006511E" w:rsidP="0006511E">
            <w:pPr>
              <w:jc w:val="right"/>
            </w:pPr>
            <w:r w:rsidRPr="0006511E">
              <w:rPr>
                <w:sz w:val="40"/>
              </w:rPr>
              <w:t>ECE</w:t>
            </w:r>
            <w:r>
              <w:t>/TRANS/WP.15/2024/9</w:t>
            </w:r>
          </w:p>
        </w:tc>
      </w:tr>
      <w:tr w:rsidR="00F35BAF" w:rsidRPr="00DB58B5" w14:paraId="469B1D9D" w14:textId="77777777" w:rsidTr="00C97039">
        <w:trPr>
          <w:trHeight w:hRule="exact" w:val="2835"/>
        </w:trPr>
        <w:tc>
          <w:tcPr>
            <w:tcW w:w="1276" w:type="dxa"/>
            <w:tcBorders>
              <w:top w:val="single" w:sz="4" w:space="0" w:color="auto"/>
              <w:bottom w:val="single" w:sz="12" w:space="0" w:color="auto"/>
            </w:tcBorders>
          </w:tcPr>
          <w:p w14:paraId="48DCAD8C" w14:textId="77777777" w:rsidR="00F35BAF" w:rsidRPr="00DB58B5" w:rsidRDefault="00F35BAF" w:rsidP="00C97039">
            <w:pPr>
              <w:spacing w:before="120"/>
              <w:jc w:val="center"/>
            </w:pPr>
            <w:r>
              <w:rPr>
                <w:noProof/>
                <w:lang w:eastAsia="fr-CH"/>
              </w:rPr>
              <w:drawing>
                <wp:inline distT="0" distB="0" distL="0" distR="0" wp14:anchorId="6DFA0F72" wp14:editId="2D2F6A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FA9E7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3DB913B" w14:textId="77777777" w:rsidR="00F35BAF" w:rsidRDefault="0006511E" w:rsidP="00C97039">
            <w:pPr>
              <w:spacing w:before="240"/>
            </w:pPr>
            <w:r>
              <w:t>Distr. générale</w:t>
            </w:r>
          </w:p>
          <w:p w14:paraId="4ADD503A" w14:textId="77777777" w:rsidR="0006511E" w:rsidRDefault="0006511E" w:rsidP="0006511E">
            <w:pPr>
              <w:spacing w:line="240" w:lineRule="exact"/>
            </w:pPr>
            <w:r>
              <w:t>19 janvier 2024</w:t>
            </w:r>
          </w:p>
          <w:p w14:paraId="7B4787CB" w14:textId="77777777" w:rsidR="0006511E" w:rsidRDefault="0006511E" w:rsidP="0006511E">
            <w:pPr>
              <w:spacing w:line="240" w:lineRule="exact"/>
            </w:pPr>
            <w:r>
              <w:t>Français</w:t>
            </w:r>
          </w:p>
          <w:p w14:paraId="2D9EF7F4" w14:textId="0566AA65" w:rsidR="0006511E" w:rsidRPr="00DB58B5" w:rsidRDefault="0006511E" w:rsidP="0006511E">
            <w:pPr>
              <w:spacing w:line="240" w:lineRule="exact"/>
            </w:pPr>
            <w:r>
              <w:t>Original</w:t>
            </w:r>
            <w:r w:rsidR="00986945">
              <w:t> :</w:t>
            </w:r>
            <w:r>
              <w:t xml:space="preserve"> anglais</w:t>
            </w:r>
          </w:p>
        </w:tc>
      </w:tr>
    </w:tbl>
    <w:p w14:paraId="47CBDEEF" w14:textId="77777777" w:rsidR="007F20FA" w:rsidRPr="000312C0" w:rsidRDefault="007F20FA" w:rsidP="007F20FA">
      <w:pPr>
        <w:spacing w:before="120"/>
        <w:rPr>
          <w:b/>
          <w:sz w:val="28"/>
          <w:szCs w:val="28"/>
        </w:rPr>
      </w:pPr>
      <w:r w:rsidRPr="000312C0">
        <w:rPr>
          <w:b/>
          <w:sz w:val="28"/>
          <w:szCs w:val="28"/>
        </w:rPr>
        <w:t>Commission économique pour l’Europe</w:t>
      </w:r>
    </w:p>
    <w:p w14:paraId="73345AED" w14:textId="77777777" w:rsidR="007F20FA" w:rsidRDefault="007F20FA" w:rsidP="007F20FA">
      <w:pPr>
        <w:spacing w:before="120"/>
        <w:rPr>
          <w:sz w:val="28"/>
          <w:szCs w:val="28"/>
        </w:rPr>
      </w:pPr>
      <w:r w:rsidRPr="00685843">
        <w:rPr>
          <w:sz w:val="28"/>
          <w:szCs w:val="28"/>
        </w:rPr>
        <w:t>Comité des transports intérieurs</w:t>
      </w:r>
    </w:p>
    <w:p w14:paraId="08FCD164" w14:textId="40552E91" w:rsidR="0006511E" w:rsidRPr="00986945" w:rsidRDefault="0006511E" w:rsidP="0006511E">
      <w:pPr>
        <w:spacing w:before="120"/>
        <w:rPr>
          <w:b/>
          <w:sz w:val="24"/>
          <w:szCs w:val="24"/>
          <w:lang w:val="fr-FR"/>
        </w:rPr>
      </w:pPr>
      <w:r w:rsidRPr="00986945">
        <w:rPr>
          <w:b/>
          <w:bCs/>
          <w:sz w:val="24"/>
          <w:szCs w:val="24"/>
          <w:lang w:val="fr-FR"/>
        </w:rPr>
        <w:t xml:space="preserve">Groupe de travail des transports </w:t>
      </w:r>
      <w:r w:rsidR="00986945">
        <w:rPr>
          <w:b/>
          <w:bCs/>
          <w:sz w:val="24"/>
          <w:szCs w:val="24"/>
          <w:lang w:val="fr-FR"/>
        </w:rPr>
        <w:br/>
      </w:r>
      <w:r w:rsidRPr="00986945">
        <w:rPr>
          <w:b/>
          <w:bCs/>
          <w:sz w:val="24"/>
          <w:szCs w:val="24"/>
          <w:lang w:val="fr-FR"/>
        </w:rPr>
        <w:t>de marchandises dangereuses</w:t>
      </w:r>
    </w:p>
    <w:p w14:paraId="65F99143" w14:textId="2785BBB8" w:rsidR="0006511E" w:rsidRPr="00E83253" w:rsidRDefault="0006511E" w:rsidP="0006511E">
      <w:pPr>
        <w:spacing w:before="120"/>
        <w:rPr>
          <w:rFonts w:eastAsia="SimSun"/>
          <w:b/>
          <w:lang w:val="fr-FR"/>
        </w:rPr>
      </w:pPr>
      <w:r w:rsidRPr="00E83253">
        <w:rPr>
          <w:b/>
          <w:bCs/>
          <w:lang w:val="fr-FR"/>
        </w:rPr>
        <w:t>115</w:t>
      </w:r>
      <w:r w:rsidRPr="00986945">
        <w:rPr>
          <w:b/>
          <w:bCs/>
          <w:vertAlign w:val="superscript"/>
          <w:lang w:val="fr-FR"/>
        </w:rPr>
        <w:t>e</w:t>
      </w:r>
      <w:r w:rsidR="00986945">
        <w:rPr>
          <w:b/>
          <w:bCs/>
          <w:lang w:val="fr-FR"/>
        </w:rPr>
        <w:t> </w:t>
      </w:r>
      <w:r w:rsidRPr="00E83253">
        <w:rPr>
          <w:b/>
          <w:bCs/>
          <w:lang w:val="fr-FR"/>
        </w:rPr>
        <w:t>session</w:t>
      </w:r>
      <w:r w:rsidRPr="00E83253">
        <w:rPr>
          <w:lang w:val="fr-FR"/>
        </w:rPr>
        <w:t xml:space="preserve"> </w:t>
      </w:r>
    </w:p>
    <w:p w14:paraId="3246B06D" w14:textId="56D92916" w:rsidR="0006511E" w:rsidRPr="00E83253" w:rsidRDefault="0006511E" w:rsidP="0006511E">
      <w:pPr>
        <w:rPr>
          <w:rFonts w:eastAsia="SimSun"/>
          <w:lang w:val="fr-FR"/>
        </w:rPr>
      </w:pPr>
      <w:r w:rsidRPr="00E83253">
        <w:rPr>
          <w:lang w:val="fr-FR"/>
        </w:rPr>
        <w:t>Genève, 2</w:t>
      </w:r>
      <w:r w:rsidR="002F0398">
        <w:rPr>
          <w:lang w:val="fr-FR"/>
        </w:rPr>
        <w:noBreakHyphen/>
      </w:r>
      <w:r w:rsidRPr="00E83253">
        <w:rPr>
          <w:lang w:val="fr-FR"/>
        </w:rPr>
        <w:t>5 avril 2024</w:t>
      </w:r>
    </w:p>
    <w:p w14:paraId="5CEB0D74" w14:textId="77777777" w:rsidR="0006511E" w:rsidRPr="00E83253" w:rsidRDefault="0006511E" w:rsidP="0006511E">
      <w:pPr>
        <w:rPr>
          <w:lang w:val="fr-FR"/>
        </w:rPr>
      </w:pPr>
      <w:r w:rsidRPr="00E83253">
        <w:rPr>
          <w:lang w:val="fr-FR"/>
        </w:rPr>
        <w:t>Point 9 de l</w:t>
      </w:r>
      <w:r>
        <w:rPr>
          <w:lang w:val="fr-FR"/>
        </w:rPr>
        <w:t>’</w:t>
      </w:r>
      <w:r w:rsidRPr="00E83253">
        <w:rPr>
          <w:lang w:val="fr-FR"/>
        </w:rPr>
        <w:t>ordre du jour provisoire</w:t>
      </w:r>
    </w:p>
    <w:p w14:paraId="406FFC66" w14:textId="77777777" w:rsidR="0006511E" w:rsidRPr="00E83253" w:rsidRDefault="0006511E" w:rsidP="0006511E">
      <w:pPr>
        <w:rPr>
          <w:b/>
          <w:lang w:val="fr-FR"/>
        </w:rPr>
      </w:pPr>
      <w:r w:rsidRPr="00E83253">
        <w:rPr>
          <w:b/>
          <w:bCs/>
          <w:lang w:val="fr-FR"/>
        </w:rPr>
        <w:t>Questions diverses</w:t>
      </w:r>
    </w:p>
    <w:p w14:paraId="2332A60E" w14:textId="738A39CD" w:rsidR="0006511E" w:rsidRPr="00E83253" w:rsidRDefault="0006511E" w:rsidP="00986945">
      <w:pPr>
        <w:pStyle w:val="HChG"/>
        <w:rPr>
          <w:lang w:val="fr-FR"/>
        </w:rPr>
      </w:pPr>
      <w:r w:rsidRPr="00E83253">
        <w:rPr>
          <w:lang w:val="fr-FR"/>
        </w:rPr>
        <w:tab/>
      </w:r>
      <w:r w:rsidRPr="00E83253">
        <w:rPr>
          <w:lang w:val="fr-FR"/>
        </w:rPr>
        <w:tab/>
        <w:t xml:space="preserve">Mandat, </w:t>
      </w:r>
      <w:r>
        <w:rPr>
          <w:lang w:val="fr-FR"/>
        </w:rPr>
        <w:t>r</w:t>
      </w:r>
      <w:r w:rsidRPr="00E83253">
        <w:rPr>
          <w:lang w:val="fr-FR"/>
        </w:rPr>
        <w:t xml:space="preserve">èglement intérieur et méthodes de travail </w:t>
      </w:r>
      <w:r w:rsidR="00986945">
        <w:rPr>
          <w:lang w:val="fr-FR"/>
        </w:rPr>
        <w:br/>
      </w:r>
      <w:r w:rsidRPr="00E83253">
        <w:rPr>
          <w:lang w:val="fr-FR"/>
        </w:rPr>
        <w:t>du Groupe de travail des transports de marchandises dangereuses</w:t>
      </w:r>
    </w:p>
    <w:p w14:paraId="6919281F" w14:textId="77777777" w:rsidR="0006511E" w:rsidRPr="00E83253" w:rsidRDefault="0006511E" w:rsidP="00986945">
      <w:pPr>
        <w:pStyle w:val="H1G"/>
        <w:rPr>
          <w:szCs w:val="24"/>
          <w:lang w:val="fr-FR"/>
        </w:rPr>
      </w:pPr>
      <w:r w:rsidRPr="00E83253">
        <w:rPr>
          <w:lang w:val="fr-FR"/>
        </w:rPr>
        <w:tab/>
      </w:r>
      <w:r w:rsidRPr="00E83253">
        <w:rPr>
          <w:lang w:val="fr-FR"/>
        </w:rPr>
        <w:tab/>
        <w:t>Note du secrétariat</w:t>
      </w:r>
      <w:r w:rsidRPr="00986945">
        <w:rPr>
          <w:rStyle w:val="Appelnotedebasdep"/>
          <w:b w:val="0"/>
          <w:bCs/>
          <w:sz w:val="20"/>
          <w:vertAlign w:val="baseline"/>
          <w:lang w:val="fr-FR"/>
        </w:rPr>
        <w:footnoteReference w:customMarkFollows="1" w:id="2"/>
        <w:t>*</w:t>
      </w:r>
    </w:p>
    <w:p w14:paraId="05252095" w14:textId="5366E5FF" w:rsidR="0006511E" w:rsidRPr="00E83253" w:rsidRDefault="0006511E" w:rsidP="0006511E">
      <w:pPr>
        <w:pStyle w:val="SingleTxtG"/>
        <w:rPr>
          <w:lang w:val="fr-FR"/>
        </w:rPr>
      </w:pPr>
      <w:r w:rsidRPr="00E83253">
        <w:rPr>
          <w:lang w:val="fr-FR"/>
        </w:rPr>
        <w:t>1.</w:t>
      </w:r>
      <w:r w:rsidRPr="00E83253">
        <w:rPr>
          <w:lang w:val="fr-FR"/>
        </w:rPr>
        <w:tab/>
        <w:t>Le secrétariat propose ci-après un texte rassemblant le projet de mandat (</w:t>
      </w:r>
      <w:r w:rsidR="00986945">
        <w:rPr>
          <w:lang w:val="fr-FR"/>
        </w:rPr>
        <w:t>annexe </w:t>
      </w:r>
      <w:r w:rsidRPr="00E83253">
        <w:rPr>
          <w:lang w:val="fr-FR"/>
        </w:rPr>
        <w:t xml:space="preserve">I), le </w:t>
      </w:r>
      <w:r>
        <w:rPr>
          <w:lang w:val="fr-FR"/>
        </w:rPr>
        <w:t>r</w:t>
      </w:r>
      <w:r w:rsidRPr="00E83253">
        <w:rPr>
          <w:lang w:val="fr-FR"/>
        </w:rPr>
        <w:t>èglement intérieur (</w:t>
      </w:r>
      <w:r w:rsidR="00986945">
        <w:rPr>
          <w:lang w:val="fr-FR"/>
        </w:rPr>
        <w:t>annexe </w:t>
      </w:r>
      <w:r w:rsidRPr="00E83253">
        <w:rPr>
          <w:lang w:val="fr-FR"/>
        </w:rPr>
        <w:t>II) et les méthodes de travail (</w:t>
      </w:r>
      <w:r w:rsidR="00986945">
        <w:rPr>
          <w:lang w:val="fr-FR"/>
        </w:rPr>
        <w:t>annexe </w:t>
      </w:r>
      <w:r w:rsidRPr="00E83253">
        <w:rPr>
          <w:lang w:val="fr-FR"/>
        </w:rPr>
        <w:t>III) conformément aux décisions prises aux 109</w:t>
      </w:r>
      <w:r w:rsidRPr="00986945">
        <w:rPr>
          <w:vertAlign w:val="superscript"/>
          <w:lang w:val="fr-FR"/>
        </w:rPr>
        <w:t>e</w:t>
      </w:r>
      <w:r w:rsidRPr="00E83253">
        <w:rPr>
          <w:lang w:val="fr-FR"/>
        </w:rPr>
        <w:t xml:space="preserve"> et 114</w:t>
      </w:r>
      <w:r w:rsidRPr="00986945">
        <w:rPr>
          <w:vertAlign w:val="superscript"/>
          <w:lang w:val="fr-FR"/>
        </w:rPr>
        <w:t>e</w:t>
      </w:r>
      <w:r w:rsidRPr="00E83253">
        <w:rPr>
          <w:lang w:val="fr-FR"/>
        </w:rPr>
        <w:t xml:space="preserve"> sessions du Groupe de travail (ECE/TRANS/WP.15/253, </w:t>
      </w:r>
      <w:r w:rsidR="00986945">
        <w:rPr>
          <w:lang w:val="fr-FR"/>
        </w:rPr>
        <w:t>paragraphe </w:t>
      </w:r>
      <w:r w:rsidRPr="00E83253">
        <w:rPr>
          <w:lang w:val="fr-FR"/>
        </w:rPr>
        <w:t xml:space="preserve">58, </w:t>
      </w:r>
      <w:r>
        <w:rPr>
          <w:lang w:val="fr-FR"/>
        </w:rPr>
        <w:t xml:space="preserve">et </w:t>
      </w:r>
      <w:r w:rsidRPr="00E83253">
        <w:rPr>
          <w:lang w:val="fr-FR"/>
        </w:rPr>
        <w:t>ECE/TRANS/WP.15/264, paragraphes</w:t>
      </w:r>
      <w:r w:rsidR="004C07AA">
        <w:rPr>
          <w:lang w:val="fr-FR"/>
        </w:rPr>
        <w:t> </w:t>
      </w:r>
      <w:r w:rsidRPr="00E83253">
        <w:rPr>
          <w:lang w:val="fr-FR"/>
        </w:rPr>
        <w:t>8</w:t>
      </w:r>
      <w:r>
        <w:rPr>
          <w:lang w:val="fr-FR"/>
        </w:rPr>
        <w:t>,</w:t>
      </w:r>
      <w:r w:rsidRPr="00E83253">
        <w:rPr>
          <w:lang w:val="fr-FR"/>
        </w:rPr>
        <w:t xml:space="preserve"> 9, 72, 78, 80 et 81 et </w:t>
      </w:r>
      <w:r w:rsidR="00986945">
        <w:rPr>
          <w:lang w:val="fr-FR"/>
        </w:rPr>
        <w:t>annexe </w:t>
      </w:r>
      <w:r w:rsidRPr="00E83253">
        <w:rPr>
          <w:lang w:val="fr-FR"/>
        </w:rPr>
        <w:t>I).</w:t>
      </w:r>
    </w:p>
    <w:p w14:paraId="7C5F9625" w14:textId="3C0623A2" w:rsidR="0006511E" w:rsidRPr="00E83253" w:rsidRDefault="0006511E" w:rsidP="0006511E">
      <w:pPr>
        <w:pStyle w:val="SingleTxtG"/>
        <w:rPr>
          <w:lang w:val="fr-FR"/>
        </w:rPr>
      </w:pPr>
      <w:r w:rsidRPr="00E83253">
        <w:rPr>
          <w:lang w:val="fr-FR"/>
        </w:rPr>
        <w:t>2.</w:t>
      </w:r>
      <w:r w:rsidRPr="00E83253">
        <w:rPr>
          <w:lang w:val="fr-FR"/>
        </w:rPr>
        <w:tab/>
        <w:t>Le projet de mandat révisé figurant à l</w:t>
      </w:r>
      <w:r>
        <w:rPr>
          <w:lang w:val="fr-FR"/>
        </w:rPr>
        <w:t>’</w:t>
      </w:r>
      <w:r w:rsidR="00986945">
        <w:rPr>
          <w:lang w:val="fr-FR"/>
        </w:rPr>
        <w:t>annexe </w:t>
      </w:r>
      <w:r w:rsidRPr="00E83253">
        <w:rPr>
          <w:lang w:val="fr-FR"/>
        </w:rPr>
        <w:t>I a été soumis au Comité des transports intérieurs (CTI) à sa quatre-vingt-sixième session pour adoption.</w:t>
      </w:r>
    </w:p>
    <w:p w14:paraId="7A0FF51C" w14:textId="3F7F994F" w:rsidR="0006511E" w:rsidRPr="00E83253" w:rsidRDefault="0006511E" w:rsidP="0006511E">
      <w:pPr>
        <w:pStyle w:val="SingleTxtG"/>
        <w:rPr>
          <w:lang w:val="fr-FR"/>
        </w:rPr>
      </w:pPr>
      <w:r w:rsidRPr="00E83253">
        <w:rPr>
          <w:lang w:val="fr-FR"/>
        </w:rPr>
        <w:t>3.</w:t>
      </w:r>
      <w:r w:rsidRPr="00E83253">
        <w:rPr>
          <w:lang w:val="fr-FR"/>
        </w:rPr>
        <w:tab/>
        <w:t>À sa 109</w:t>
      </w:r>
      <w:r w:rsidRPr="00986945">
        <w:rPr>
          <w:vertAlign w:val="superscript"/>
          <w:lang w:val="fr-FR"/>
        </w:rPr>
        <w:t>e</w:t>
      </w:r>
      <w:r w:rsidRPr="00E83253">
        <w:rPr>
          <w:lang w:val="fr-FR"/>
        </w:rPr>
        <w:t xml:space="preserve"> session, le Groupe de travail a étudié une comparaison entre son </w:t>
      </w:r>
      <w:r>
        <w:rPr>
          <w:lang w:val="fr-FR"/>
        </w:rPr>
        <w:t>r</w:t>
      </w:r>
      <w:r w:rsidRPr="00E83253">
        <w:rPr>
          <w:lang w:val="fr-FR"/>
        </w:rPr>
        <w:t>èglement intérieur (ECE/TRANS/WP.15/190/Add.1) et celui adopté par le CTI (ECE/TRANS/WP.15/2021/2). Il a conclu qu</w:t>
      </w:r>
      <w:r>
        <w:rPr>
          <w:lang w:val="fr-FR"/>
        </w:rPr>
        <w:t>’</w:t>
      </w:r>
      <w:r w:rsidRPr="00E83253">
        <w:rPr>
          <w:lang w:val="fr-FR"/>
        </w:rPr>
        <w:t>il n</w:t>
      </w:r>
      <w:r>
        <w:rPr>
          <w:lang w:val="fr-FR"/>
        </w:rPr>
        <w:t>’</w:t>
      </w:r>
      <w:r w:rsidRPr="00E83253">
        <w:rPr>
          <w:lang w:val="fr-FR"/>
        </w:rPr>
        <w:t xml:space="preserve">était pas nécessaire de modifier immédiatement son </w:t>
      </w:r>
      <w:r>
        <w:rPr>
          <w:lang w:val="fr-FR"/>
        </w:rPr>
        <w:t>r</w:t>
      </w:r>
      <w:r w:rsidRPr="00E83253">
        <w:rPr>
          <w:lang w:val="fr-FR"/>
        </w:rPr>
        <w:t xml:space="preserve">èglement intérieur. Le </w:t>
      </w:r>
      <w:r>
        <w:rPr>
          <w:lang w:val="fr-FR"/>
        </w:rPr>
        <w:t>r</w:t>
      </w:r>
      <w:r w:rsidRPr="00E83253">
        <w:rPr>
          <w:lang w:val="fr-FR"/>
        </w:rPr>
        <w:t>èglement intérieur contenu dans l</w:t>
      </w:r>
      <w:r>
        <w:rPr>
          <w:lang w:val="fr-FR"/>
        </w:rPr>
        <w:t>’</w:t>
      </w:r>
      <w:r w:rsidR="00986945">
        <w:rPr>
          <w:lang w:val="fr-FR"/>
        </w:rPr>
        <w:t>annexe </w:t>
      </w:r>
      <w:r w:rsidRPr="00E83253">
        <w:rPr>
          <w:lang w:val="fr-FR"/>
        </w:rPr>
        <w:t>II correspond à celui figurant déjà dans le document ECE/TRANS/WP.15/190/Add.1, assorti de modifications rédactionnelles et d</w:t>
      </w:r>
      <w:r>
        <w:rPr>
          <w:lang w:val="fr-FR"/>
        </w:rPr>
        <w:t>’</w:t>
      </w:r>
      <w:r w:rsidRPr="00E83253">
        <w:rPr>
          <w:lang w:val="fr-FR"/>
        </w:rPr>
        <w:t>éventuelles références croisées actualisées.</w:t>
      </w:r>
    </w:p>
    <w:p w14:paraId="513B341F" w14:textId="781617AD" w:rsidR="0006511E" w:rsidRPr="00E83253" w:rsidRDefault="0006511E" w:rsidP="0006511E">
      <w:pPr>
        <w:pStyle w:val="SingleTxtG"/>
        <w:rPr>
          <w:lang w:val="fr-FR"/>
        </w:rPr>
      </w:pPr>
      <w:r w:rsidRPr="00E83253">
        <w:rPr>
          <w:lang w:val="fr-FR"/>
        </w:rPr>
        <w:t>4.</w:t>
      </w:r>
      <w:r w:rsidRPr="00E83253">
        <w:rPr>
          <w:lang w:val="fr-FR"/>
        </w:rPr>
        <w:tab/>
        <w:t>Les règles concernant les documents informels qui figurent dans l</w:t>
      </w:r>
      <w:r>
        <w:rPr>
          <w:lang w:val="fr-FR"/>
        </w:rPr>
        <w:t>’</w:t>
      </w:r>
      <w:r w:rsidR="00986945">
        <w:rPr>
          <w:lang w:val="fr-FR"/>
        </w:rPr>
        <w:t>annexe </w:t>
      </w:r>
      <w:r>
        <w:rPr>
          <w:lang w:val="fr-FR"/>
        </w:rPr>
        <w:t>de</w:t>
      </w:r>
      <w:r w:rsidRPr="00E83253">
        <w:rPr>
          <w:lang w:val="fr-FR"/>
        </w:rPr>
        <w:t xml:space="preserve"> ce règlement intérieur ont été actualisées afin de refléter la décision prise par le Groupe de travail à sa 114</w:t>
      </w:r>
      <w:r w:rsidRPr="00986945">
        <w:rPr>
          <w:vertAlign w:val="superscript"/>
          <w:lang w:val="fr-FR"/>
        </w:rPr>
        <w:t>e</w:t>
      </w:r>
      <w:r w:rsidR="004C07AA">
        <w:rPr>
          <w:lang w:val="fr-FR"/>
        </w:rPr>
        <w:t> </w:t>
      </w:r>
      <w:r w:rsidRPr="00E83253">
        <w:rPr>
          <w:lang w:val="fr-FR"/>
        </w:rPr>
        <w:t>session.</w:t>
      </w:r>
    </w:p>
    <w:p w14:paraId="674B7A54" w14:textId="7DEDEC56" w:rsidR="0006511E" w:rsidRDefault="0006511E" w:rsidP="0006511E">
      <w:pPr>
        <w:pStyle w:val="SingleTxtG"/>
        <w:rPr>
          <w:rFonts w:eastAsia="SimSun"/>
          <w:lang w:val="fr-FR"/>
        </w:rPr>
      </w:pPr>
      <w:r w:rsidRPr="00E83253">
        <w:rPr>
          <w:lang w:val="fr-FR"/>
        </w:rPr>
        <w:t>5.</w:t>
      </w:r>
      <w:r w:rsidRPr="00E83253">
        <w:rPr>
          <w:lang w:val="fr-FR"/>
        </w:rPr>
        <w:tab/>
        <w:t>Les règles relatives à la soumission de documents officiels ont été actualisées dans l</w:t>
      </w:r>
      <w:r>
        <w:rPr>
          <w:lang w:val="fr-FR"/>
        </w:rPr>
        <w:t>’</w:t>
      </w:r>
      <w:r w:rsidRPr="00E83253">
        <w:rPr>
          <w:lang w:val="fr-FR"/>
        </w:rPr>
        <w:t xml:space="preserve">appendice </w:t>
      </w:r>
      <w:r>
        <w:rPr>
          <w:lang w:val="fr-FR"/>
        </w:rPr>
        <w:t>du</w:t>
      </w:r>
      <w:r w:rsidRPr="00E83253">
        <w:rPr>
          <w:lang w:val="fr-FR"/>
        </w:rPr>
        <w:t xml:space="preserve"> règlement intérieur, afin de refléter la décision prise par le Groupe de travail à sa 114</w:t>
      </w:r>
      <w:r w:rsidRPr="00986945">
        <w:rPr>
          <w:vertAlign w:val="superscript"/>
          <w:lang w:val="fr-FR"/>
        </w:rPr>
        <w:t>e</w:t>
      </w:r>
      <w:r w:rsidR="004C07AA">
        <w:rPr>
          <w:lang w:val="fr-FR"/>
        </w:rPr>
        <w:t> </w:t>
      </w:r>
      <w:r w:rsidRPr="00E83253">
        <w:rPr>
          <w:lang w:val="fr-FR"/>
        </w:rPr>
        <w:t>session d</w:t>
      </w:r>
      <w:r>
        <w:rPr>
          <w:lang w:val="fr-FR"/>
        </w:rPr>
        <w:t>’</w:t>
      </w:r>
      <w:r w:rsidRPr="00E83253">
        <w:rPr>
          <w:lang w:val="fr-FR"/>
        </w:rPr>
        <w:t xml:space="preserve">inviter les délégations à préciser dans la partie </w:t>
      </w:r>
      <w:r w:rsidR="00986945">
        <w:rPr>
          <w:lang w:val="fr-FR"/>
        </w:rPr>
        <w:t>« </w:t>
      </w:r>
      <w:r w:rsidRPr="00E83253">
        <w:rPr>
          <w:lang w:val="fr-FR"/>
        </w:rPr>
        <w:t>justification</w:t>
      </w:r>
      <w:r w:rsidR="00986945">
        <w:rPr>
          <w:lang w:val="fr-FR"/>
        </w:rPr>
        <w:t> </w:t>
      </w:r>
      <w:r w:rsidRPr="00E83253">
        <w:rPr>
          <w:lang w:val="fr-FR"/>
        </w:rPr>
        <w:t>» de leurs futures propositions le lien éventuel avec les objectifs de développement durable et l</w:t>
      </w:r>
      <w:r>
        <w:rPr>
          <w:lang w:val="fr-FR"/>
        </w:rPr>
        <w:t>’</w:t>
      </w:r>
      <w:r w:rsidRPr="00E83253">
        <w:rPr>
          <w:lang w:val="fr-FR"/>
        </w:rPr>
        <w:t>économie circulaire.</w:t>
      </w:r>
    </w:p>
    <w:p w14:paraId="55A0C606" w14:textId="1881D174" w:rsidR="0006511E" w:rsidRPr="00E83253" w:rsidRDefault="0006511E" w:rsidP="00986945">
      <w:pPr>
        <w:pStyle w:val="HChG"/>
        <w:rPr>
          <w:bCs/>
          <w:lang w:val="fr-FR"/>
        </w:rPr>
      </w:pPr>
      <w:r w:rsidRPr="00E83253">
        <w:rPr>
          <w:lang w:val="fr-FR"/>
        </w:rPr>
        <w:br w:type="page"/>
      </w:r>
      <w:r w:rsidR="00986945">
        <w:rPr>
          <w:lang w:val="fr-FR"/>
        </w:rPr>
        <w:lastRenderedPageBreak/>
        <w:t>Annexe </w:t>
      </w:r>
      <w:r w:rsidRPr="00E83253">
        <w:rPr>
          <w:bCs/>
          <w:lang w:val="fr-FR"/>
        </w:rPr>
        <w:t>I</w:t>
      </w:r>
    </w:p>
    <w:p w14:paraId="13D9C866" w14:textId="68C2AE9B" w:rsidR="0006511E" w:rsidRPr="00E83253" w:rsidRDefault="0006511E" w:rsidP="00986945">
      <w:pPr>
        <w:pStyle w:val="HChG"/>
        <w:rPr>
          <w:lang w:val="fr-FR"/>
        </w:rPr>
      </w:pPr>
      <w:r w:rsidRPr="00E83253">
        <w:rPr>
          <w:lang w:val="fr-FR"/>
        </w:rPr>
        <w:tab/>
      </w:r>
      <w:r w:rsidRPr="00E83253">
        <w:rPr>
          <w:lang w:val="fr-FR"/>
        </w:rPr>
        <w:tab/>
        <w:t>Projet de mandat</w:t>
      </w:r>
    </w:p>
    <w:p w14:paraId="24E999F8" w14:textId="298370E3" w:rsidR="0006511E" w:rsidRPr="00E83253" w:rsidRDefault="0006511E" w:rsidP="0006511E">
      <w:pPr>
        <w:pStyle w:val="SingleTxtG"/>
        <w:rPr>
          <w:lang w:val="fr-FR"/>
        </w:rPr>
      </w:pPr>
      <w:r w:rsidRPr="00E83253">
        <w:rPr>
          <w:lang w:val="fr-FR"/>
        </w:rPr>
        <w:t>1.</w:t>
      </w:r>
      <w:r w:rsidRPr="00E83253">
        <w:rPr>
          <w:lang w:val="fr-FR"/>
        </w:rPr>
        <w:tab/>
        <w:t>Le Groupe de travail des transports de marchandises dangereuses (ci-après dénommé le WP.15) agit dans le cadre des politiques de l</w:t>
      </w:r>
      <w:r>
        <w:rPr>
          <w:lang w:val="fr-FR"/>
        </w:rPr>
        <w:t>’</w:t>
      </w:r>
      <w:r w:rsidRPr="00E83253">
        <w:rPr>
          <w:lang w:val="fr-FR"/>
        </w:rPr>
        <w:t xml:space="preserve">Organisation des </w:t>
      </w:r>
      <w:r w:rsidR="00986945">
        <w:rPr>
          <w:lang w:val="fr-FR"/>
        </w:rPr>
        <w:t>Nations Unies</w:t>
      </w:r>
      <w:r w:rsidRPr="00E83253">
        <w:rPr>
          <w:lang w:val="fr-FR"/>
        </w:rPr>
        <w:t xml:space="preserve"> et de la Commission économique pour l</w:t>
      </w:r>
      <w:r>
        <w:rPr>
          <w:lang w:val="fr-FR"/>
        </w:rPr>
        <w:t>’</w:t>
      </w:r>
      <w:r w:rsidRPr="00E83253">
        <w:rPr>
          <w:lang w:val="fr-FR"/>
        </w:rPr>
        <w:t xml:space="preserve">Europe (ci-après dénommée la CEE), sous la supervision générale de son organe de tutelle, le Comité des transports intérieurs (ci-après dénommé le CTI), et conformément aux mandats de la CEE (E/ECE/778/Rev.5) et du CTI (E/RES/2022/2 et ECE/TRANS/316/Add.2). </w:t>
      </w:r>
    </w:p>
    <w:p w14:paraId="30C47950" w14:textId="03C0197D" w:rsidR="0006511E" w:rsidRPr="00E83253" w:rsidRDefault="0006511E" w:rsidP="0006511E">
      <w:pPr>
        <w:pStyle w:val="SingleTxtG"/>
        <w:rPr>
          <w:lang w:val="fr-FR"/>
        </w:rPr>
      </w:pPr>
      <w:r w:rsidRPr="00E83253">
        <w:rPr>
          <w:lang w:val="fr-FR"/>
        </w:rPr>
        <w:t>2.</w:t>
      </w:r>
      <w:r w:rsidRPr="00E83253">
        <w:rPr>
          <w:lang w:val="fr-FR"/>
        </w:rPr>
        <w:tab/>
        <w:t>Le WP.15 s</w:t>
      </w:r>
      <w:r>
        <w:rPr>
          <w:lang w:val="fr-FR"/>
        </w:rPr>
        <w:t>’</w:t>
      </w:r>
      <w:r w:rsidRPr="00E83253">
        <w:rPr>
          <w:lang w:val="fr-FR"/>
        </w:rPr>
        <w:t>acquitte de ses tâches conformément aux Directives aux fins de l</w:t>
      </w:r>
      <w:r>
        <w:rPr>
          <w:lang w:val="fr-FR"/>
        </w:rPr>
        <w:t>’</w:t>
      </w:r>
      <w:r w:rsidRPr="00E83253">
        <w:rPr>
          <w:lang w:val="fr-FR"/>
        </w:rPr>
        <w:t>établissement et du fonctionnement de groupes de travail sous l</w:t>
      </w:r>
      <w:r>
        <w:rPr>
          <w:lang w:val="fr-FR"/>
        </w:rPr>
        <w:t>’</w:t>
      </w:r>
      <w:r w:rsidRPr="00E83253">
        <w:rPr>
          <w:lang w:val="fr-FR"/>
        </w:rPr>
        <w:t xml:space="preserve">égide de la CEE, </w:t>
      </w:r>
      <w:r w:rsidRPr="00F4584D">
        <w:rPr>
          <w:lang w:val="fr-FR"/>
        </w:rPr>
        <w:t>telles qu’elles ont été approuvées par le Comité exécutif de la CEE à sa quatrième réunion, le 14</w:t>
      </w:r>
      <w:r w:rsidR="00F4584D">
        <w:rPr>
          <w:lang w:val="fr-FR"/>
        </w:rPr>
        <w:t> </w:t>
      </w:r>
      <w:r w:rsidRPr="00F4584D">
        <w:rPr>
          <w:lang w:val="fr-FR"/>
        </w:rPr>
        <w:t>juillet 2006 (ECE/EX/1). Ces directives définissent le statut et les caractéristiques du WP.</w:t>
      </w:r>
      <w:r w:rsidRPr="00E83253">
        <w:rPr>
          <w:lang w:val="fr-FR"/>
        </w:rPr>
        <w:t>15, y</w:t>
      </w:r>
      <w:r w:rsidR="004C07AA">
        <w:rPr>
          <w:lang w:val="fr-FR"/>
        </w:rPr>
        <w:t> </w:t>
      </w:r>
      <w:r w:rsidRPr="00E83253">
        <w:rPr>
          <w:lang w:val="fr-FR"/>
        </w:rPr>
        <w:t>compris son mandat et la prolongation de celui-ci, qui devraient faire l</w:t>
      </w:r>
      <w:r>
        <w:rPr>
          <w:lang w:val="fr-FR"/>
        </w:rPr>
        <w:t>’</w:t>
      </w:r>
      <w:r w:rsidRPr="00E83253">
        <w:rPr>
          <w:lang w:val="fr-FR"/>
        </w:rPr>
        <w:t>objet d</w:t>
      </w:r>
      <w:r>
        <w:rPr>
          <w:lang w:val="fr-FR"/>
        </w:rPr>
        <w:t>’</w:t>
      </w:r>
      <w:r w:rsidRPr="00E83253">
        <w:rPr>
          <w:lang w:val="fr-FR"/>
        </w:rPr>
        <w:t>un examen tous les cinq ans, sa composition et les membres de son bureau, ses méthodes de travail, ainsi que son secrétariat, qui est assuré par la Division des transports durables de la CEE.</w:t>
      </w:r>
    </w:p>
    <w:p w14:paraId="7C6ED111" w14:textId="77C35C40" w:rsidR="0006511E" w:rsidRPr="00E83253" w:rsidRDefault="0006511E" w:rsidP="0006511E">
      <w:pPr>
        <w:pStyle w:val="SingleTxtG"/>
        <w:rPr>
          <w:lang w:val="fr-FR"/>
        </w:rPr>
      </w:pPr>
      <w:r w:rsidRPr="00E83253">
        <w:rPr>
          <w:lang w:val="fr-FR"/>
        </w:rPr>
        <w:t>3.</w:t>
      </w:r>
      <w:r w:rsidRPr="00E83253">
        <w:rPr>
          <w:lang w:val="fr-FR"/>
        </w:rPr>
        <w:tab/>
        <w:t>Le WP.15 doit</w:t>
      </w:r>
      <w:r w:rsidR="00986945">
        <w:rPr>
          <w:lang w:val="fr-FR"/>
        </w:rPr>
        <w:t> :</w:t>
      </w:r>
    </w:p>
    <w:p w14:paraId="425785AB" w14:textId="59EF7167" w:rsidR="0006511E" w:rsidRPr="00E83253" w:rsidRDefault="0006511E" w:rsidP="00986945">
      <w:pPr>
        <w:pStyle w:val="SingleTxtG"/>
        <w:ind w:firstLine="567"/>
        <w:rPr>
          <w:lang w:val="fr-FR"/>
        </w:rPr>
      </w:pPr>
      <w:r w:rsidRPr="00E83253">
        <w:rPr>
          <w:lang w:val="fr-FR"/>
        </w:rPr>
        <w:t>a)</w:t>
      </w:r>
      <w:r w:rsidRPr="00E83253">
        <w:rPr>
          <w:lang w:val="fr-FR"/>
        </w:rPr>
        <w:tab/>
        <w:t>Développer et mettre à jour l</w:t>
      </w:r>
      <w:r>
        <w:rPr>
          <w:lang w:val="fr-FR"/>
        </w:rPr>
        <w:t>’</w:t>
      </w:r>
      <w:r w:rsidRPr="00E83253">
        <w:rPr>
          <w:lang w:val="fr-FR"/>
        </w:rPr>
        <w:t>Accord relatif au transport international de marchandises dangereuses par route (ADR), fait à Genève en 1957, et l</w:t>
      </w:r>
      <w:r>
        <w:rPr>
          <w:lang w:val="fr-FR"/>
        </w:rPr>
        <w:t>’</w:t>
      </w:r>
      <w:r w:rsidRPr="00E83253">
        <w:rPr>
          <w:lang w:val="fr-FR"/>
        </w:rPr>
        <w:t>Accord européen relatif au transport international de marchandises dangereuses par voies de navigation intérieures (ADN), fait à Genève en 2000, ainsi que d</w:t>
      </w:r>
      <w:r>
        <w:rPr>
          <w:lang w:val="fr-FR"/>
        </w:rPr>
        <w:t>’</w:t>
      </w:r>
      <w:r w:rsidRPr="00E83253">
        <w:rPr>
          <w:lang w:val="fr-FR"/>
        </w:rPr>
        <w:t>autres instruments juridiques pertinents traitant du transport des marchandises dangereuses dont le CTI pourrait lui confier la responsabilité</w:t>
      </w:r>
      <w:r w:rsidR="00986945">
        <w:rPr>
          <w:lang w:val="fr-FR"/>
        </w:rPr>
        <w:t> ;</w:t>
      </w:r>
    </w:p>
    <w:p w14:paraId="32AFBAC7" w14:textId="74360D78" w:rsidR="0006511E" w:rsidRPr="00E83253" w:rsidRDefault="0006511E" w:rsidP="00986945">
      <w:pPr>
        <w:pStyle w:val="SingleTxtG"/>
        <w:ind w:firstLine="567"/>
        <w:rPr>
          <w:lang w:val="fr-FR"/>
        </w:rPr>
      </w:pPr>
      <w:r w:rsidRPr="00E83253">
        <w:rPr>
          <w:lang w:val="fr-FR"/>
        </w:rPr>
        <w:t>b)</w:t>
      </w:r>
      <w:r w:rsidRPr="00E83253">
        <w:rPr>
          <w:lang w:val="fr-FR"/>
        </w:rPr>
        <w:tab/>
        <w:t>Prendre et mettre en œuvre des mesures visant à accroître la sécurité et la sûreté des transports intérieurs de marchandises dangereuses et à protéger l</w:t>
      </w:r>
      <w:r>
        <w:rPr>
          <w:lang w:val="fr-FR"/>
        </w:rPr>
        <w:t>’</w:t>
      </w:r>
      <w:r w:rsidRPr="00E83253">
        <w:rPr>
          <w:lang w:val="fr-FR"/>
        </w:rPr>
        <w:t>environnement au cours de ces transports, y</w:t>
      </w:r>
      <w:r w:rsidR="004C07AA">
        <w:rPr>
          <w:lang w:val="fr-FR"/>
        </w:rPr>
        <w:t> </w:t>
      </w:r>
      <w:r w:rsidRPr="00E83253">
        <w:rPr>
          <w:lang w:val="fr-FR"/>
        </w:rPr>
        <w:t>compris élaborer des normes, des recommandations relatives aux pratiques et des documents d</w:t>
      </w:r>
      <w:r>
        <w:rPr>
          <w:lang w:val="fr-FR"/>
        </w:rPr>
        <w:t>’</w:t>
      </w:r>
      <w:r w:rsidRPr="00E83253">
        <w:rPr>
          <w:lang w:val="fr-FR"/>
        </w:rPr>
        <w:t>orientation concernant les transports qui n</w:t>
      </w:r>
      <w:r>
        <w:rPr>
          <w:lang w:val="fr-FR"/>
        </w:rPr>
        <w:t>’</w:t>
      </w:r>
      <w:r w:rsidRPr="00E83253">
        <w:rPr>
          <w:lang w:val="fr-FR"/>
        </w:rPr>
        <w:t>entrent pas dans le champ d</w:t>
      </w:r>
      <w:r>
        <w:rPr>
          <w:lang w:val="fr-FR"/>
        </w:rPr>
        <w:t>’</w:t>
      </w:r>
      <w:r w:rsidRPr="00E83253">
        <w:rPr>
          <w:lang w:val="fr-FR"/>
        </w:rPr>
        <w:t>application du RID, de l</w:t>
      </w:r>
      <w:r>
        <w:rPr>
          <w:lang w:val="fr-FR"/>
        </w:rPr>
        <w:t>’</w:t>
      </w:r>
      <w:r w:rsidRPr="00E83253">
        <w:rPr>
          <w:lang w:val="fr-FR"/>
        </w:rPr>
        <w:t>ADR et de l</w:t>
      </w:r>
      <w:r>
        <w:rPr>
          <w:lang w:val="fr-FR"/>
        </w:rPr>
        <w:t>’</w:t>
      </w:r>
      <w:r w:rsidRPr="00E83253">
        <w:rPr>
          <w:lang w:val="fr-FR"/>
        </w:rPr>
        <w:t>ADN</w:t>
      </w:r>
      <w:r w:rsidR="00986945">
        <w:rPr>
          <w:lang w:val="fr-FR"/>
        </w:rPr>
        <w:t> ;</w:t>
      </w:r>
    </w:p>
    <w:p w14:paraId="1A9D2CFA" w14:textId="14044F22" w:rsidR="0006511E" w:rsidRPr="00E83253" w:rsidRDefault="0006511E" w:rsidP="00986945">
      <w:pPr>
        <w:pStyle w:val="SingleTxtG"/>
        <w:ind w:firstLine="567"/>
        <w:rPr>
          <w:lang w:val="fr-FR"/>
        </w:rPr>
      </w:pPr>
      <w:r w:rsidRPr="00E83253">
        <w:rPr>
          <w:lang w:val="fr-FR"/>
        </w:rPr>
        <w:t>c)</w:t>
      </w:r>
      <w:r w:rsidRPr="00E83253">
        <w:rPr>
          <w:lang w:val="fr-FR"/>
        </w:rPr>
        <w:tab/>
        <w:t>Promouvoir la facilitation du transport international des marchandises dangereuses par une harmonisation des prescriptions et règles y relatives ainsi que des procédures administratives et de la documentation auxquelles ce transport est soumis</w:t>
      </w:r>
      <w:r w:rsidR="00986945">
        <w:rPr>
          <w:lang w:val="fr-FR"/>
        </w:rPr>
        <w:t> ;</w:t>
      </w:r>
    </w:p>
    <w:p w14:paraId="1AD32DA4" w14:textId="6B40DF46" w:rsidR="0006511E" w:rsidRPr="00E83253" w:rsidRDefault="0006511E" w:rsidP="00986945">
      <w:pPr>
        <w:pStyle w:val="SingleTxtG"/>
        <w:ind w:firstLine="567"/>
        <w:rPr>
          <w:lang w:val="fr-FR"/>
        </w:rPr>
      </w:pPr>
      <w:r w:rsidRPr="00E83253">
        <w:rPr>
          <w:lang w:val="fr-FR"/>
        </w:rPr>
        <w:t>d)</w:t>
      </w:r>
      <w:r w:rsidRPr="00E83253">
        <w:rPr>
          <w:lang w:val="fr-FR"/>
        </w:rPr>
        <w:tab/>
        <w:t>Favoriser l</w:t>
      </w:r>
      <w:r>
        <w:rPr>
          <w:lang w:val="fr-FR"/>
        </w:rPr>
        <w:t>’</w:t>
      </w:r>
      <w:r w:rsidRPr="00E83253">
        <w:rPr>
          <w:lang w:val="fr-FR"/>
        </w:rPr>
        <w:t>adhésion de nouveaux pays aux accords mentionnés ci</w:t>
      </w:r>
      <w:r w:rsidRPr="00E83253">
        <w:rPr>
          <w:lang w:val="fr-FR"/>
        </w:rPr>
        <w:noBreakHyphen/>
        <w:t>dessus</w:t>
      </w:r>
      <w:r w:rsidR="00986945">
        <w:rPr>
          <w:lang w:val="fr-FR"/>
        </w:rPr>
        <w:t> ;</w:t>
      </w:r>
    </w:p>
    <w:p w14:paraId="328AB69C" w14:textId="53BEAAFE" w:rsidR="0006511E" w:rsidRPr="00E83253" w:rsidRDefault="0006511E" w:rsidP="00986945">
      <w:pPr>
        <w:pStyle w:val="SingleTxtG"/>
        <w:ind w:firstLine="567"/>
        <w:rPr>
          <w:lang w:val="fr-FR"/>
        </w:rPr>
      </w:pPr>
      <w:r w:rsidRPr="00E83253">
        <w:rPr>
          <w:lang w:val="fr-FR"/>
        </w:rPr>
        <w:t>e)</w:t>
      </w:r>
      <w:r w:rsidRPr="00E83253">
        <w:rPr>
          <w:lang w:val="fr-FR"/>
        </w:rPr>
        <w:tab/>
        <w:t>Assurer l</w:t>
      </w:r>
      <w:r>
        <w:rPr>
          <w:lang w:val="fr-FR"/>
        </w:rPr>
        <w:t>’</w:t>
      </w:r>
      <w:r w:rsidRPr="00E83253">
        <w:rPr>
          <w:lang w:val="fr-FR"/>
        </w:rPr>
        <w:t>harmonisation de l</w:t>
      </w:r>
      <w:r>
        <w:rPr>
          <w:lang w:val="fr-FR"/>
        </w:rPr>
        <w:t>’</w:t>
      </w:r>
      <w:r w:rsidRPr="00E83253">
        <w:rPr>
          <w:lang w:val="fr-FR"/>
        </w:rPr>
        <w:t>ADR et de l</w:t>
      </w:r>
      <w:r>
        <w:rPr>
          <w:lang w:val="fr-FR"/>
        </w:rPr>
        <w:t>’</w:t>
      </w:r>
      <w:r w:rsidRPr="00E83253">
        <w:rPr>
          <w:lang w:val="fr-FR"/>
        </w:rPr>
        <w:t>ADN avec d</w:t>
      </w:r>
      <w:r>
        <w:rPr>
          <w:lang w:val="fr-FR"/>
        </w:rPr>
        <w:t>’</w:t>
      </w:r>
      <w:r w:rsidRPr="00E83253">
        <w:rPr>
          <w:lang w:val="fr-FR"/>
        </w:rPr>
        <w:t>autres instruments juridiques pertinents régissant le transport des marchandises dangereuses par d</w:t>
      </w:r>
      <w:r>
        <w:rPr>
          <w:lang w:val="fr-FR"/>
        </w:rPr>
        <w:t>’</w:t>
      </w:r>
      <w:r w:rsidRPr="00E83253">
        <w:rPr>
          <w:lang w:val="fr-FR"/>
        </w:rPr>
        <w:t>autres modes de transport sur la base des recommandations du Comité d</w:t>
      </w:r>
      <w:r>
        <w:rPr>
          <w:lang w:val="fr-FR"/>
        </w:rPr>
        <w:t>’</w:t>
      </w:r>
      <w:r w:rsidRPr="00E83253">
        <w:rPr>
          <w:lang w:val="fr-FR"/>
        </w:rPr>
        <w:t>experts du transport des marchandises dangereuses et du Système général harmonisé de classification et d</w:t>
      </w:r>
      <w:r>
        <w:rPr>
          <w:lang w:val="fr-FR"/>
        </w:rPr>
        <w:t>’</w:t>
      </w:r>
      <w:r w:rsidRPr="00E83253">
        <w:rPr>
          <w:lang w:val="fr-FR"/>
        </w:rPr>
        <w:t xml:space="preserve">étiquetage des produits chimiques du Conseil économique et social des </w:t>
      </w:r>
      <w:r w:rsidR="00986945">
        <w:rPr>
          <w:lang w:val="fr-FR"/>
        </w:rPr>
        <w:t>Nations Unies ;</w:t>
      </w:r>
    </w:p>
    <w:p w14:paraId="0E8C43D6" w14:textId="669D3020" w:rsidR="0006511E" w:rsidRPr="00E83253" w:rsidRDefault="0006511E" w:rsidP="00986945">
      <w:pPr>
        <w:pStyle w:val="SingleTxtG"/>
        <w:ind w:firstLine="567"/>
        <w:rPr>
          <w:lang w:val="fr-FR"/>
        </w:rPr>
      </w:pPr>
      <w:r w:rsidRPr="00E83253">
        <w:rPr>
          <w:lang w:val="fr-FR"/>
        </w:rPr>
        <w:t>f)</w:t>
      </w:r>
      <w:r w:rsidRPr="00E83253">
        <w:rPr>
          <w:lang w:val="fr-FR"/>
        </w:rPr>
        <w:tab/>
        <w:t>Favoriser une participation à ses activités en encourageant la coopération et la collaboration avec les pays, la Commission européenne, les organisations internationales gouvernementales et non gouvernementales concernés par les transports de marchandises dangereuses ainsi qu</w:t>
      </w:r>
      <w:r>
        <w:rPr>
          <w:lang w:val="fr-FR"/>
        </w:rPr>
        <w:t>’</w:t>
      </w:r>
      <w:r w:rsidRPr="00E83253">
        <w:rPr>
          <w:lang w:val="fr-FR"/>
        </w:rPr>
        <w:t xml:space="preserve">avec les autres commissions régionales des </w:t>
      </w:r>
      <w:r w:rsidR="00986945">
        <w:rPr>
          <w:lang w:val="fr-FR"/>
        </w:rPr>
        <w:t>Nations Unies</w:t>
      </w:r>
      <w:r w:rsidRPr="00E83253">
        <w:rPr>
          <w:lang w:val="fr-FR"/>
        </w:rPr>
        <w:t xml:space="preserve"> et d</w:t>
      </w:r>
      <w:r>
        <w:rPr>
          <w:lang w:val="fr-FR"/>
        </w:rPr>
        <w:t>’</w:t>
      </w:r>
      <w:r w:rsidRPr="00E83253">
        <w:rPr>
          <w:lang w:val="fr-FR"/>
        </w:rPr>
        <w:t xml:space="preserve">autres organisations ou organes du système des </w:t>
      </w:r>
      <w:r w:rsidR="00986945">
        <w:rPr>
          <w:lang w:val="fr-FR"/>
        </w:rPr>
        <w:t>Nations Unies</w:t>
      </w:r>
      <w:r w:rsidRPr="00E83253">
        <w:rPr>
          <w:lang w:val="fr-FR"/>
        </w:rPr>
        <w:t>, en vue notamment de discuter et de régler tout problème lié à l</w:t>
      </w:r>
      <w:r>
        <w:rPr>
          <w:lang w:val="fr-FR"/>
        </w:rPr>
        <w:t>’</w:t>
      </w:r>
      <w:r w:rsidRPr="00E83253">
        <w:rPr>
          <w:lang w:val="fr-FR"/>
        </w:rPr>
        <w:t>interprétation ou la mise en œuvre effective des prescriptions de l</w:t>
      </w:r>
      <w:r>
        <w:rPr>
          <w:lang w:val="fr-FR"/>
        </w:rPr>
        <w:t>’</w:t>
      </w:r>
      <w:r w:rsidRPr="00E83253">
        <w:rPr>
          <w:lang w:val="fr-FR"/>
        </w:rPr>
        <w:t>ADR ou de l</w:t>
      </w:r>
      <w:r>
        <w:rPr>
          <w:lang w:val="fr-FR"/>
        </w:rPr>
        <w:t>’</w:t>
      </w:r>
      <w:r w:rsidRPr="00E83253">
        <w:rPr>
          <w:lang w:val="fr-FR"/>
        </w:rPr>
        <w:t>ADN ou d</w:t>
      </w:r>
      <w:r>
        <w:rPr>
          <w:lang w:val="fr-FR"/>
        </w:rPr>
        <w:t>’</w:t>
      </w:r>
      <w:r w:rsidRPr="00E83253">
        <w:rPr>
          <w:lang w:val="fr-FR"/>
        </w:rPr>
        <w:t>autres instruments juridiques pertinents</w:t>
      </w:r>
      <w:r w:rsidR="00986945">
        <w:rPr>
          <w:lang w:val="fr-FR"/>
        </w:rPr>
        <w:t> ;</w:t>
      </w:r>
    </w:p>
    <w:p w14:paraId="36130EF5" w14:textId="03439CB7" w:rsidR="0006511E" w:rsidRPr="00E83253" w:rsidRDefault="0006511E" w:rsidP="00986945">
      <w:pPr>
        <w:pStyle w:val="SingleTxtG"/>
        <w:ind w:firstLine="567"/>
        <w:rPr>
          <w:lang w:val="fr-FR"/>
        </w:rPr>
      </w:pPr>
      <w:r w:rsidRPr="00E83253">
        <w:rPr>
          <w:lang w:val="fr-FR"/>
        </w:rPr>
        <w:t>g)</w:t>
      </w:r>
      <w:r w:rsidRPr="00E83253">
        <w:rPr>
          <w:lang w:val="fr-FR"/>
        </w:rPr>
        <w:tab/>
        <w:t>Collaborer étroitement avec les autres organes subsidiaires du CTI, notamment le Forum mondial de l</w:t>
      </w:r>
      <w:r>
        <w:rPr>
          <w:lang w:val="fr-FR"/>
        </w:rPr>
        <w:t>’</w:t>
      </w:r>
      <w:r w:rsidRPr="00E83253">
        <w:rPr>
          <w:lang w:val="fr-FR"/>
        </w:rPr>
        <w:t>harmonisation des Règlements concernant les véhicules (WP.29), le Groupe de travail des transports routiers (SC.1), le Forum mondial de la sécurité routière (WP.1), le Groupe de travail des transports par voie navigable (SC.3)</w:t>
      </w:r>
      <w:r w:rsidR="00FB6271">
        <w:rPr>
          <w:lang w:val="fr-FR"/>
        </w:rPr>
        <w:t xml:space="preserve">, </w:t>
      </w:r>
      <w:r w:rsidRPr="00E83253">
        <w:rPr>
          <w:lang w:val="fr-FR"/>
        </w:rPr>
        <w:t>le Groupe de travail des statistiques des transports (WP.6),</w:t>
      </w:r>
      <w:r w:rsidR="00FB6271">
        <w:rPr>
          <w:lang w:val="fr-FR"/>
        </w:rPr>
        <w:t xml:space="preserve"> le</w:t>
      </w:r>
      <w:r w:rsidRPr="00E83253">
        <w:rPr>
          <w:lang w:val="fr-FR"/>
        </w:rPr>
        <w:t xml:space="preserve"> Groupe de travail du transport intermodal et de la logistique (WP.24), ainsi que tout autre organe pertinent de la CEE, sur les questions d</w:t>
      </w:r>
      <w:r>
        <w:rPr>
          <w:lang w:val="fr-FR"/>
        </w:rPr>
        <w:t>’</w:t>
      </w:r>
      <w:r w:rsidRPr="00E83253">
        <w:rPr>
          <w:lang w:val="fr-FR"/>
        </w:rPr>
        <w:t>intérêt commun touchant les transports de marchandises dangereuses</w:t>
      </w:r>
      <w:r w:rsidR="00986945">
        <w:rPr>
          <w:lang w:val="fr-FR"/>
        </w:rPr>
        <w:t> ;</w:t>
      </w:r>
    </w:p>
    <w:p w14:paraId="143198E9" w14:textId="2E9DC8B6" w:rsidR="0006511E" w:rsidRPr="00E83253" w:rsidRDefault="0006511E" w:rsidP="00986945">
      <w:pPr>
        <w:pStyle w:val="SingleTxtG"/>
        <w:ind w:firstLine="567"/>
        <w:rPr>
          <w:lang w:val="fr-FR"/>
        </w:rPr>
      </w:pPr>
      <w:r w:rsidRPr="00E83253">
        <w:rPr>
          <w:lang w:val="fr-FR"/>
        </w:rPr>
        <w:lastRenderedPageBreak/>
        <w:t>h)</w:t>
      </w:r>
      <w:r w:rsidRPr="00E83253">
        <w:rPr>
          <w:lang w:val="fr-FR"/>
        </w:rPr>
        <w:tab/>
        <w:t>Définir et mettre en œuvre un programme de travail ayant trait à ses activités</w:t>
      </w:r>
      <w:r w:rsidR="00986945">
        <w:rPr>
          <w:lang w:val="fr-FR"/>
        </w:rPr>
        <w:t> ;</w:t>
      </w:r>
    </w:p>
    <w:p w14:paraId="4DC3D632" w14:textId="38177FA6" w:rsidR="0006511E" w:rsidRPr="00E83253" w:rsidRDefault="0006511E" w:rsidP="00986945">
      <w:pPr>
        <w:pStyle w:val="SingleTxtG"/>
        <w:ind w:firstLine="567"/>
        <w:rPr>
          <w:lang w:val="fr-FR"/>
        </w:rPr>
      </w:pPr>
      <w:r w:rsidRPr="00E83253">
        <w:rPr>
          <w:lang w:val="fr-FR"/>
        </w:rPr>
        <w:t>i)</w:t>
      </w:r>
      <w:r w:rsidRPr="00E83253">
        <w:rPr>
          <w:lang w:val="fr-FR"/>
        </w:rPr>
        <w:tab/>
        <w:t>Créer une ambiance de travail qui facilite l</w:t>
      </w:r>
      <w:r>
        <w:rPr>
          <w:lang w:val="fr-FR"/>
        </w:rPr>
        <w:t>’</w:t>
      </w:r>
      <w:r w:rsidRPr="00E83253">
        <w:rPr>
          <w:lang w:val="fr-FR"/>
        </w:rPr>
        <w:t>exécution par les Parties contractantes de leurs obligations énoncées dans les instruments juridiques concernés par les activités du groupe, et les échanges de vues concernant l</w:t>
      </w:r>
      <w:r>
        <w:rPr>
          <w:lang w:val="fr-FR"/>
        </w:rPr>
        <w:t>’</w:t>
      </w:r>
      <w:r w:rsidRPr="00E83253">
        <w:rPr>
          <w:lang w:val="fr-FR"/>
        </w:rPr>
        <w:t>interprétation de ces instruments ou le règlement de problèmes liés à leur mise en œuvre effective</w:t>
      </w:r>
      <w:r w:rsidR="00986945">
        <w:rPr>
          <w:lang w:val="fr-FR"/>
        </w:rPr>
        <w:t> ;</w:t>
      </w:r>
    </w:p>
    <w:p w14:paraId="6CFD14CD" w14:textId="77777777" w:rsidR="0006511E" w:rsidRPr="00E83253" w:rsidRDefault="0006511E" w:rsidP="00986945">
      <w:pPr>
        <w:pStyle w:val="SingleTxtG"/>
        <w:ind w:firstLine="567"/>
        <w:rPr>
          <w:lang w:val="fr-FR"/>
        </w:rPr>
      </w:pPr>
      <w:r w:rsidRPr="00E83253">
        <w:rPr>
          <w:lang w:val="fr-FR"/>
        </w:rPr>
        <w:t>j)</w:t>
      </w:r>
      <w:r w:rsidRPr="00E83253">
        <w:rPr>
          <w:lang w:val="fr-FR"/>
        </w:rPr>
        <w:tab/>
        <w:t>Veiller à la régularité et à la transparence des séances.</w:t>
      </w:r>
    </w:p>
    <w:p w14:paraId="4413F81B" w14:textId="248F0F05" w:rsidR="00986945" w:rsidRDefault="0006511E" w:rsidP="0006511E">
      <w:pPr>
        <w:pStyle w:val="SingleTxtG"/>
        <w:rPr>
          <w:lang w:val="fr-FR"/>
        </w:rPr>
      </w:pPr>
      <w:r w:rsidRPr="00E83253">
        <w:rPr>
          <w:lang w:val="fr-FR"/>
        </w:rPr>
        <w:t>4.</w:t>
      </w:r>
      <w:r w:rsidRPr="00E83253">
        <w:rPr>
          <w:lang w:val="fr-FR"/>
        </w:rPr>
        <w:tab/>
        <w:t xml:space="preserve">Le présent mandat et le </w:t>
      </w:r>
      <w:r>
        <w:rPr>
          <w:lang w:val="fr-FR"/>
        </w:rPr>
        <w:t>r</w:t>
      </w:r>
      <w:r w:rsidRPr="00E83253">
        <w:rPr>
          <w:lang w:val="fr-FR"/>
        </w:rPr>
        <w:t>èglement intérieur s</w:t>
      </w:r>
      <w:r>
        <w:rPr>
          <w:lang w:val="fr-FR"/>
        </w:rPr>
        <w:t>’</w:t>
      </w:r>
      <w:r w:rsidRPr="00E83253">
        <w:rPr>
          <w:lang w:val="fr-FR"/>
        </w:rPr>
        <w:t>appliquent au WP.15 et ne modifient pas les dispositions des instruments juridiques pertinents.</w:t>
      </w:r>
    </w:p>
    <w:p w14:paraId="1F3FFB33" w14:textId="77777777" w:rsidR="00986945" w:rsidRDefault="00986945">
      <w:pPr>
        <w:suppressAutoHyphens w:val="0"/>
        <w:kinsoku/>
        <w:overflowPunct/>
        <w:autoSpaceDE/>
        <w:autoSpaceDN/>
        <w:adjustRightInd/>
        <w:snapToGrid/>
        <w:spacing w:after="200" w:line="276" w:lineRule="auto"/>
        <w:rPr>
          <w:lang w:val="fr-FR"/>
        </w:rPr>
      </w:pPr>
      <w:r>
        <w:rPr>
          <w:lang w:val="fr-FR"/>
        </w:rPr>
        <w:br w:type="page"/>
      </w:r>
    </w:p>
    <w:p w14:paraId="4D21F28F" w14:textId="74F664B1" w:rsidR="0006511E" w:rsidRPr="00E83253" w:rsidRDefault="00986945" w:rsidP="00986945">
      <w:pPr>
        <w:pStyle w:val="HChG"/>
        <w:rPr>
          <w:lang w:val="fr-FR"/>
        </w:rPr>
      </w:pPr>
      <w:r>
        <w:rPr>
          <w:lang w:val="fr-FR"/>
        </w:rPr>
        <w:lastRenderedPageBreak/>
        <w:t>Annexe </w:t>
      </w:r>
      <w:r w:rsidR="0006511E" w:rsidRPr="00E83253">
        <w:rPr>
          <w:lang w:val="fr-FR"/>
        </w:rPr>
        <w:t>II</w:t>
      </w:r>
    </w:p>
    <w:p w14:paraId="2A632E1E" w14:textId="783CDB8B" w:rsidR="0006511E" w:rsidRPr="00E83253" w:rsidRDefault="00986945" w:rsidP="00986945">
      <w:pPr>
        <w:pStyle w:val="HChG"/>
        <w:rPr>
          <w:lang w:val="fr-FR"/>
        </w:rPr>
      </w:pPr>
      <w:r>
        <w:rPr>
          <w:lang w:val="fr-FR"/>
        </w:rPr>
        <w:tab/>
      </w:r>
      <w:r>
        <w:rPr>
          <w:lang w:val="fr-FR"/>
        </w:rPr>
        <w:tab/>
      </w:r>
      <w:r w:rsidR="0006511E" w:rsidRPr="00E83253">
        <w:rPr>
          <w:lang w:val="fr-FR"/>
        </w:rPr>
        <w:t xml:space="preserve">Règlement intérieur du groupe de travail des transports </w:t>
      </w:r>
      <w:r>
        <w:rPr>
          <w:lang w:val="fr-FR"/>
        </w:rPr>
        <w:br/>
      </w:r>
      <w:r w:rsidR="0006511E" w:rsidRPr="00E83253">
        <w:rPr>
          <w:lang w:val="fr-FR"/>
        </w:rPr>
        <w:t xml:space="preserve">de marchandises dangereuses </w:t>
      </w:r>
    </w:p>
    <w:p w14:paraId="39ED0A64" w14:textId="2D98DA77" w:rsidR="0006511E" w:rsidRDefault="00986945" w:rsidP="00986945">
      <w:pPr>
        <w:pStyle w:val="H1G"/>
        <w:rPr>
          <w:lang w:val="fr-FR"/>
        </w:rPr>
      </w:pPr>
      <w:r>
        <w:rPr>
          <w:lang w:val="fr-FR"/>
        </w:rPr>
        <w:tab/>
      </w:r>
      <w:r>
        <w:rPr>
          <w:lang w:val="fr-FR"/>
        </w:rPr>
        <w:tab/>
      </w:r>
      <w:r w:rsidR="0006511E" w:rsidRPr="00E83253">
        <w:rPr>
          <w:lang w:val="fr-FR"/>
        </w:rPr>
        <w:t>Chapitre I</w:t>
      </w:r>
      <w:r>
        <w:rPr>
          <w:lang w:val="fr-FR"/>
        </w:rPr>
        <w:t> − </w:t>
      </w:r>
      <w:r w:rsidR="0006511E" w:rsidRPr="00E83253">
        <w:rPr>
          <w:lang w:val="fr-FR"/>
        </w:rPr>
        <w:t>Participation</w:t>
      </w:r>
    </w:p>
    <w:p w14:paraId="55B481D5" w14:textId="175A1AFA" w:rsidR="0006511E" w:rsidRDefault="00986945" w:rsidP="00986945">
      <w:pPr>
        <w:pStyle w:val="H23G"/>
        <w:rPr>
          <w:lang w:val="fr-FR"/>
        </w:rPr>
      </w:pPr>
      <w:r>
        <w:rPr>
          <w:lang w:val="fr-FR"/>
        </w:rPr>
        <w:tab/>
      </w:r>
      <w:r>
        <w:rPr>
          <w:lang w:val="fr-FR"/>
        </w:rPr>
        <w:tab/>
      </w:r>
      <w:r w:rsidR="006B2B2D">
        <w:rPr>
          <w:lang w:val="fr-FR"/>
        </w:rPr>
        <w:t>Article </w:t>
      </w:r>
      <w:r w:rsidR="0006511E" w:rsidRPr="00E83253">
        <w:rPr>
          <w:lang w:val="fr-FR"/>
        </w:rPr>
        <w:t>1</w:t>
      </w:r>
    </w:p>
    <w:p w14:paraId="08E5AA9D" w14:textId="67EFF14F" w:rsidR="0006511E" w:rsidRDefault="0006511E" w:rsidP="00986945">
      <w:pPr>
        <w:pStyle w:val="SingleTxtG"/>
        <w:ind w:firstLine="567"/>
        <w:rPr>
          <w:lang w:val="fr-FR"/>
        </w:rPr>
      </w:pPr>
      <w:r w:rsidRPr="00E83253">
        <w:rPr>
          <w:lang w:val="fr-FR"/>
        </w:rPr>
        <w:tab/>
        <w:t>a)</w:t>
      </w:r>
      <w:r w:rsidRPr="00E83253">
        <w:rPr>
          <w:lang w:val="fr-FR"/>
        </w:rPr>
        <w:tab/>
        <w:t>Sont considérés comme participants de plein droit au WP.15 les pays membres de la CEE.</w:t>
      </w:r>
    </w:p>
    <w:p w14:paraId="6DCF0187" w14:textId="4CD9666A" w:rsidR="0006511E" w:rsidRDefault="0006511E" w:rsidP="00986945">
      <w:pPr>
        <w:pStyle w:val="SingleTxtG"/>
        <w:ind w:firstLine="567"/>
        <w:rPr>
          <w:lang w:val="fr-FR"/>
        </w:rPr>
      </w:pPr>
      <w:r w:rsidRPr="00E83253">
        <w:rPr>
          <w:lang w:val="fr-FR"/>
        </w:rPr>
        <w:tab/>
        <w:t>b)</w:t>
      </w:r>
      <w:r w:rsidRPr="00E83253">
        <w:rPr>
          <w:lang w:val="fr-FR"/>
        </w:rPr>
        <w:tab/>
        <w:t>Les pays non</w:t>
      </w:r>
      <w:r w:rsidR="004B0224">
        <w:rPr>
          <w:lang w:val="fr-FR"/>
        </w:rPr>
        <w:t xml:space="preserve"> </w:t>
      </w:r>
      <w:r w:rsidRPr="00E83253">
        <w:rPr>
          <w:lang w:val="fr-FR"/>
        </w:rPr>
        <w:t xml:space="preserve">membres de la CEE, qui relèvent du </w:t>
      </w:r>
      <w:r w:rsidR="00986945">
        <w:rPr>
          <w:lang w:val="fr-FR"/>
        </w:rPr>
        <w:t>paragraphe </w:t>
      </w:r>
      <w:r w:rsidRPr="00E83253">
        <w:rPr>
          <w:lang w:val="fr-FR"/>
        </w:rPr>
        <w:t>11</w:t>
      </w:r>
      <w:r w:rsidRPr="00D52AC8">
        <w:rPr>
          <w:rStyle w:val="Appelnotedebasdep"/>
        </w:rPr>
        <w:footnoteReference w:id="3"/>
      </w:r>
      <w:r w:rsidRPr="00E83253">
        <w:rPr>
          <w:lang w:val="fr-FR"/>
        </w:rPr>
        <w:t xml:space="preserve"> du mandat de la CEE, peuvent participer à titre consultatif au WP.15 sur toute question présentant un intérêt particulier pour ces pays. Ces pays peuvent toutefois participer de plein droit aux sessions du WP.15 consacrées à des questions relatives à un instrument juridique auquel ils sont Parties contractantes.</w:t>
      </w:r>
    </w:p>
    <w:p w14:paraId="397A9699" w14:textId="31F9087C" w:rsidR="0006511E" w:rsidRDefault="0006511E" w:rsidP="00986945">
      <w:pPr>
        <w:pStyle w:val="SingleTxtG"/>
        <w:ind w:firstLine="567"/>
        <w:rPr>
          <w:lang w:val="fr-FR"/>
        </w:rPr>
      </w:pPr>
      <w:r w:rsidRPr="00E83253">
        <w:rPr>
          <w:lang w:val="fr-FR"/>
        </w:rPr>
        <w:tab/>
        <w:t>c)</w:t>
      </w:r>
      <w:r w:rsidRPr="00E83253">
        <w:rPr>
          <w:lang w:val="fr-FR"/>
        </w:rPr>
        <w:tab/>
        <w:t>Conformément aux paragraphes 12</w:t>
      </w:r>
      <w:r w:rsidRPr="00D52AC8">
        <w:rPr>
          <w:rStyle w:val="Appelnotedebasdep"/>
        </w:rPr>
        <w:footnoteReference w:id="4"/>
      </w:r>
      <w:r w:rsidRPr="00E83253">
        <w:rPr>
          <w:lang w:val="fr-FR"/>
        </w:rPr>
        <w:t xml:space="preserve"> et 13</w:t>
      </w:r>
      <w:r w:rsidRPr="00D52AC8">
        <w:rPr>
          <w:rStyle w:val="Appelnotedebasdep"/>
        </w:rPr>
        <w:footnoteReference w:id="5"/>
      </w:r>
      <w:r w:rsidRPr="00E83253">
        <w:rPr>
          <w:lang w:val="fr-FR"/>
        </w:rPr>
        <w:t xml:space="preserve"> du mandat de la CEE, les institutions spécialisées, les organisations intergouvernementales et les organisations </w:t>
      </w:r>
      <w:r w:rsidR="00FB6271">
        <w:rPr>
          <w:lang w:val="fr-FR"/>
        </w:rPr>
        <w:t>non gouvernementales</w:t>
      </w:r>
      <w:r w:rsidRPr="00E83253">
        <w:rPr>
          <w:lang w:val="fr-FR"/>
        </w:rPr>
        <w:t xml:space="preserve"> dotées du statut consultatif par le Conseil économique et social peuvent participer à titre consultatif aux discussions que le WP.15 pourra consacrer à toute question présentant un intérêt pour lesdites institutions ou organisations.</w:t>
      </w:r>
    </w:p>
    <w:p w14:paraId="2EF03D7B" w14:textId="2F125780" w:rsidR="0006511E" w:rsidRDefault="0006511E" w:rsidP="00986945">
      <w:pPr>
        <w:pStyle w:val="SingleTxtG"/>
        <w:ind w:firstLine="567"/>
        <w:rPr>
          <w:lang w:val="fr-FR"/>
        </w:rPr>
      </w:pPr>
      <w:r w:rsidRPr="00E83253">
        <w:rPr>
          <w:lang w:val="fr-FR"/>
        </w:rPr>
        <w:tab/>
        <w:t>d)</w:t>
      </w:r>
      <w:r w:rsidRPr="00E83253">
        <w:rPr>
          <w:lang w:val="fr-FR"/>
        </w:rPr>
        <w:tab/>
        <w:t xml:space="preserve">Les organisations </w:t>
      </w:r>
      <w:r w:rsidR="00FB6271">
        <w:rPr>
          <w:lang w:val="fr-FR"/>
        </w:rPr>
        <w:t>non gouvernementales</w:t>
      </w:r>
      <w:r w:rsidRPr="00E83253">
        <w:rPr>
          <w:lang w:val="fr-FR"/>
        </w:rPr>
        <w:t xml:space="preserve"> qui ne sont pas dotées du statut consultatif par le Conseil économique et social peuvent, sous réserve de l</w:t>
      </w:r>
      <w:r>
        <w:rPr>
          <w:lang w:val="fr-FR"/>
        </w:rPr>
        <w:t>’</w:t>
      </w:r>
      <w:r w:rsidRPr="00E83253">
        <w:rPr>
          <w:lang w:val="fr-FR"/>
        </w:rPr>
        <w:t>approbation du WP.15 et du respect des principes énoncés dans les parties I et II de la résolution 1996/31 du Conseil économique et social, participer à titre consultatif aux discussions que le WP.15 pourra consacrer à toute question présentant un intérêt pour ces organisations.</w:t>
      </w:r>
    </w:p>
    <w:p w14:paraId="51735F9D" w14:textId="320A63ED" w:rsidR="0006511E" w:rsidRDefault="0006511E" w:rsidP="00986945">
      <w:pPr>
        <w:pStyle w:val="SingleTxtG"/>
        <w:ind w:firstLine="567"/>
        <w:rPr>
          <w:lang w:val="fr-FR"/>
        </w:rPr>
      </w:pPr>
      <w:r w:rsidRPr="00E83253">
        <w:rPr>
          <w:lang w:val="fr-FR"/>
        </w:rPr>
        <w:tab/>
        <w:t>e)</w:t>
      </w:r>
      <w:r w:rsidRPr="00E83253">
        <w:rPr>
          <w:lang w:val="fr-FR"/>
        </w:rPr>
        <w:tab/>
        <w:t>Les consultations avec les institutions spécialisées et l</w:t>
      </w:r>
      <w:r>
        <w:rPr>
          <w:lang w:val="fr-FR"/>
        </w:rPr>
        <w:t>’</w:t>
      </w:r>
      <w:r w:rsidRPr="00E83253">
        <w:rPr>
          <w:lang w:val="fr-FR"/>
        </w:rPr>
        <w:t>Agence internationale de l</w:t>
      </w:r>
      <w:r>
        <w:rPr>
          <w:lang w:val="fr-FR"/>
        </w:rPr>
        <w:t>’</w:t>
      </w:r>
      <w:r w:rsidRPr="00E83253">
        <w:rPr>
          <w:lang w:val="fr-FR"/>
        </w:rPr>
        <w:t>énergie atomique seront menées conformément à l</w:t>
      </w:r>
      <w:r>
        <w:rPr>
          <w:lang w:val="fr-FR"/>
        </w:rPr>
        <w:t>’</w:t>
      </w:r>
      <w:r w:rsidR="006B2B2D">
        <w:rPr>
          <w:lang w:val="fr-FR"/>
        </w:rPr>
        <w:t>article </w:t>
      </w:r>
      <w:r w:rsidRPr="00E83253">
        <w:rPr>
          <w:lang w:val="fr-FR"/>
        </w:rPr>
        <w:t>51 du Règlement intérieur de la CEE.</w:t>
      </w:r>
    </w:p>
    <w:p w14:paraId="6185C137" w14:textId="4B348550" w:rsidR="0006511E" w:rsidRPr="00E83253" w:rsidRDefault="0006511E" w:rsidP="0072220F">
      <w:pPr>
        <w:pStyle w:val="SingleTxtG"/>
        <w:ind w:firstLine="567"/>
        <w:rPr>
          <w:color w:val="000000"/>
          <w:szCs w:val="22"/>
          <w:lang w:val="fr-FR"/>
        </w:rPr>
      </w:pPr>
      <w:r w:rsidRPr="00E83253">
        <w:rPr>
          <w:lang w:val="fr-FR"/>
        </w:rPr>
        <w:tab/>
        <w:t>f)</w:t>
      </w:r>
      <w:r w:rsidRPr="00E83253">
        <w:rPr>
          <w:lang w:val="fr-FR"/>
        </w:rPr>
        <w:tab/>
        <w:t xml:space="preserve">Les consultations avec les organisations </w:t>
      </w:r>
      <w:r w:rsidR="00FB6271">
        <w:rPr>
          <w:lang w:val="fr-FR"/>
        </w:rPr>
        <w:t>non gouvernementales</w:t>
      </w:r>
      <w:r w:rsidRPr="00E83253">
        <w:rPr>
          <w:lang w:val="fr-FR"/>
        </w:rPr>
        <w:t xml:space="preserve"> seront menées conformément aux </w:t>
      </w:r>
      <w:r w:rsidR="0072220F">
        <w:rPr>
          <w:lang w:val="fr-FR"/>
        </w:rPr>
        <w:t>articles </w:t>
      </w:r>
      <w:r w:rsidRPr="00E83253">
        <w:rPr>
          <w:lang w:val="fr-FR"/>
        </w:rPr>
        <w:t xml:space="preserve">52 et 53 du Règlement intérieur de la CEE. Les organisations </w:t>
      </w:r>
      <w:r w:rsidR="00FB6271">
        <w:rPr>
          <w:lang w:val="fr-FR"/>
        </w:rPr>
        <w:t>non gouvernementales</w:t>
      </w:r>
      <w:r w:rsidRPr="00E83253">
        <w:rPr>
          <w:lang w:val="fr-FR"/>
        </w:rPr>
        <w:t xml:space="preserve"> dotées d</w:t>
      </w:r>
      <w:r>
        <w:rPr>
          <w:lang w:val="fr-FR"/>
        </w:rPr>
        <w:t>’</w:t>
      </w:r>
      <w:r w:rsidRPr="00E83253">
        <w:rPr>
          <w:lang w:val="fr-FR"/>
        </w:rPr>
        <w:t xml:space="preserve">un statut consultatif en vertu du </w:t>
      </w:r>
      <w:r w:rsidR="00986945">
        <w:rPr>
          <w:lang w:val="fr-FR"/>
        </w:rPr>
        <w:t>paragraphe </w:t>
      </w:r>
      <w:r w:rsidRPr="00E83253">
        <w:rPr>
          <w:lang w:val="fr-FR"/>
        </w:rPr>
        <w:t xml:space="preserve">d) seront assimilées à des organisations </w:t>
      </w:r>
      <w:r w:rsidR="00FB6271">
        <w:rPr>
          <w:lang w:val="fr-FR"/>
        </w:rPr>
        <w:t>non gouvernementales</w:t>
      </w:r>
      <w:r w:rsidRPr="00E83253">
        <w:rPr>
          <w:lang w:val="fr-FR"/>
        </w:rPr>
        <w:t xml:space="preserve"> qui sont inscrites sur la liste.</w:t>
      </w:r>
    </w:p>
    <w:p w14:paraId="65D7D5E8" w14:textId="3EED9C6A" w:rsidR="0006511E" w:rsidRPr="00E83253" w:rsidRDefault="00986945" w:rsidP="00986945">
      <w:pPr>
        <w:pStyle w:val="H1G"/>
        <w:rPr>
          <w:color w:val="000000"/>
          <w:szCs w:val="22"/>
          <w:lang w:val="fr-FR"/>
        </w:rPr>
      </w:pPr>
      <w:r>
        <w:rPr>
          <w:lang w:val="fr-FR"/>
        </w:rPr>
        <w:tab/>
      </w:r>
      <w:r>
        <w:rPr>
          <w:lang w:val="fr-FR"/>
        </w:rPr>
        <w:tab/>
      </w:r>
      <w:r w:rsidR="0006511E" w:rsidRPr="00E83253">
        <w:rPr>
          <w:lang w:val="fr-FR"/>
        </w:rPr>
        <w:t>Chapitre II</w:t>
      </w:r>
      <w:r>
        <w:rPr>
          <w:lang w:val="fr-FR"/>
        </w:rPr>
        <w:t> − </w:t>
      </w:r>
      <w:r w:rsidR="0006511E" w:rsidRPr="00E83253">
        <w:rPr>
          <w:lang w:val="fr-FR"/>
        </w:rPr>
        <w:t>Sessions</w:t>
      </w:r>
    </w:p>
    <w:p w14:paraId="2435FF6C" w14:textId="798AA6FB" w:rsidR="0006511E" w:rsidRDefault="00986945" w:rsidP="00986945">
      <w:pPr>
        <w:pStyle w:val="H23G"/>
        <w:rPr>
          <w:lang w:val="fr-FR"/>
        </w:rPr>
      </w:pPr>
      <w:r>
        <w:rPr>
          <w:lang w:val="fr-FR"/>
        </w:rPr>
        <w:tab/>
      </w:r>
      <w:r>
        <w:rPr>
          <w:lang w:val="fr-FR"/>
        </w:rPr>
        <w:tab/>
      </w:r>
      <w:r w:rsidR="006B2B2D">
        <w:rPr>
          <w:lang w:val="fr-FR"/>
        </w:rPr>
        <w:t>Article </w:t>
      </w:r>
      <w:r w:rsidR="0006511E" w:rsidRPr="00E83253">
        <w:rPr>
          <w:lang w:val="fr-FR"/>
        </w:rPr>
        <w:t>2</w:t>
      </w:r>
    </w:p>
    <w:p w14:paraId="4DCE66C7" w14:textId="0B948068" w:rsidR="0006511E" w:rsidRPr="00E83253" w:rsidRDefault="0006511E" w:rsidP="0072220F">
      <w:pPr>
        <w:pStyle w:val="SingleTxtG"/>
        <w:ind w:firstLine="567"/>
        <w:rPr>
          <w:color w:val="000000"/>
          <w:szCs w:val="22"/>
          <w:lang w:val="fr-FR"/>
        </w:rPr>
      </w:pPr>
      <w:r w:rsidRPr="00E83253">
        <w:rPr>
          <w:lang w:val="fr-FR"/>
        </w:rPr>
        <w:tab/>
        <w:t>Les sessions ont lieu aux dates fixées par le secrétariat de la CEE conformément au programme de travail.</w:t>
      </w:r>
    </w:p>
    <w:p w14:paraId="0249B005" w14:textId="226B1B68" w:rsidR="0006511E" w:rsidRDefault="0072220F" w:rsidP="00986945">
      <w:pPr>
        <w:pStyle w:val="H23G"/>
        <w:rPr>
          <w:lang w:val="fr-FR"/>
        </w:rPr>
      </w:pPr>
      <w:r>
        <w:rPr>
          <w:lang w:val="fr-FR"/>
        </w:rPr>
        <w:lastRenderedPageBreak/>
        <w:tab/>
      </w:r>
      <w:r>
        <w:rPr>
          <w:lang w:val="fr-FR"/>
        </w:rPr>
        <w:tab/>
      </w:r>
      <w:r w:rsidR="006B2B2D">
        <w:rPr>
          <w:lang w:val="fr-FR"/>
        </w:rPr>
        <w:t>Article </w:t>
      </w:r>
      <w:r w:rsidR="0006511E" w:rsidRPr="00E83253">
        <w:rPr>
          <w:lang w:val="fr-FR"/>
        </w:rPr>
        <w:t>3</w:t>
      </w:r>
    </w:p>
    <w:p w14:paraId="725EF454" w14:textId="05A2A317" w:rsidR="0006511E" w:rsidRPr="00E83253" w:rsidRDefault="0006511E" w:rsidP="0072220F">
      <w:pPr>
        <w:pStyle w:val="SingleTxtG"/>
        <w:ind w:firstLine="567"/>
        <w:rPr>
          <w:color w:val="000000"/>
          <w:szCs w:val="22"/>
          <w:lang w:val="fr-FR"/>
        </w:rPr>
      </w:pPr>
      <w:r w:rsidRPr="00E83253">
        <w:rPr>
          <w:lang w:val="fr-FR"/>
        </w:rPr>
        <w:t>Les sessions ont ordinairement lieu à l</w:t>
      </w:r>
      <w:r>
        <w:rPr>
          <w:lang w:val="fr-FR"/>
        </w:rPr>
        <w:t>’</w:t>
      </w:r>
      <w:r w:rsidRPr="00E83253">
        <w:rPr>
          <w:lang w:val="fr-FR"/>
        </w:rPr>
        <w:t xml:space="preserve">Office des </w:t>
      </w:r>
      <w:r w:rsidR="00986945">
        <w:rPr>
          <w:lang w:val="fr-FR"/>
        </w:rPr>
        <w:t>Nations Unies</w:t>
      </w:r>
      <w:r w:rsidRPr="00E83253">
        <w:rPr>
          <w:lang w:val="fr-FR"/>
        </w:rPr>
        <w:t xml:space="preserve"> à Genève. Si le WP.15 décide de tenir une session particulière ailleurs, les règles et règlements pertinents de l</w:t>
      </w:r>
      <w:r>
        <w:rPr>
          <w:lang w:val="fr-FR"/>
        </w:rPr>
        <w:t>’</w:t>
      </w:r>
      <w:r w:rsidRPr="00E83253">
        <w:rPr>
          <w:lang w:val="fr-FR"/>
        </w:rPr>
        <w:t>ONU sont applicables.</w:t>
      </w:r>
    </w:p>
    <w:p w14:paraId="3FD039E5" w14:textId="674875FB" w:rsidR="0006511E" w:rsidRDefault="0072220F" w:rsidP="00986945">
      <w:pPr>
        <w:pStyle w:val="H23G"/>
        <w:rPr>
          <w:lang w:val="fr-FR"/>
        </w:rPr>
      </w:pPr>
      <w:r>
        <w:rPr>
          <w:lang w:val="fr-FR"/>
        </w:rPr>
        <w:tab/>
      </w:r>
      <w:r>
        <w:rPr>
          <w:lang w:val="fr-FR"/>
        </w:rPr>
        <w:tab/>
      </w:r>
      <w:r w:rsidR="006B2B2D">
        <w:rPr>
          <w:lang w:val="fr-FR"/>
        </w:rPr>
        <w:t>Article </w:t>
      </w:r>
      <w:r w:rsidR="0006511E" w:rsidRPr="00E83253">
        <w:rPr>
          <w:lang w:val="fr-FR"/>
        </w:rPr>
        <w:t>4</w:t>
      </w:r>
    </w:p>
    <w:p w14:paraId="3249D7F0" w14:textId="27C1ADCB" w:rsidR="0006511E" w:rsidRDefault="0006511E" w:rsidP="0072220F">
      <w:pPr>
        <w:pStyle w:val="SingleTxtG"/>
        <w:ind w:firstLine="567"/>
        <w:rPr>
          <w:lang w:val="fr-FR"/>
        </w:rPr>
      </w:pPr>
      <w:r w:rsidRPr="00E83253">
        <w:rPr>
          <w:lang w:val="fr-FR"/>
        </w:rPr>
        <w:tab/>
        <w:t>a)</w:t>
      </w:r>
      <w:r w:rsidRPr="00E83253">
        <w:rPr>
          <w:lang w:val="fr-FR"/>
        </w:rPr>
        <w:tab/>
        <w:t>Douze (12) semaines au moins avant le commencement d</w:t>
      </w:r>
      <w:r>
        <w:rPr>
          <w:lang w:val="fr-FR"/>
        </w:rPr>
        <w:t>’</w:t>
      </w:r>
      <w:r w:rsidRPr="00E83253">
        <w:rPr>
          <w:lang w:val="fr-FR"/>
        </w:rPr>
        <w:t>une session, le secrétariat fait connaître la date d</w:t>
      </w:r>
      <w:r>
        <w:rPr>
          <w:lang w:val="fr-FR"/>
        </w:rPr>
        <w:t>’</w:t>
      </w:r>
      <w:r w:rsidRPr="00E83253">
        <w:rPr>
          <w:lang w:val="fr-FR"/>
        </w:rPr>
        <w:t>ouverture de la session et communique un exemplaire de l</w:t>
      </w:r>
      <w:r>
        <w:rPr>
          <w:lang w:val="fr-FR"/>
        </w:rPr>
        <w:t>’</w:t>
      </w:r>
      <w:r w:rsidRPr="00E83253">
        <w:rPr>
          <w:lang w:val="fr-FR"/>
        </w:rPr>
        <w:t xml:space="preserve">ordre du jour provisoire par le biais du site </w:t>
      </w:r>
      <w:r w:rsidR="00FB6271">
        <w:rPr>
          <w:lang w:val="fr-FR"/>
        </w:rPr>
        <w:t>W</w:t>
      </w:r>
      <w:r w:rsidRPr="00E83253">
        <w:rPr>
          <w:lang w:val="fr-FR"/>
        </w:rPr>
        <w:t>eb de la CEE</w:t>
      </w:r>
      <w:r w:rsidR="00AC0DEE">
        <w:rPr>
          <w:rStyle w:val="Appelnotedebasdep"/>
        </w:rPr>
        <w:footnoteReference w:id="6"/>
      </w:r>
      <w:r w:rsidRPr="00E83253">
        <w:rPr>
          <w:lang w:val="fr-FR"/>
        </w:rPr>
        <w:t xml:space="preserve">. </w:t>
      </w:r>
    </w:p>
    <w:p w14:paraId="55EDF28B" w14:textId="77777777" w:rsidR="0006511E" w:rsidRDefault="0006511E" w:rsidP="0072220F">
      <w:pPr>
        <w:pStyle w:val="SingleTxtG"/>
        <w:ind w:firstLine="567"/>
        <w:rPr>
          <w:lang w:val="fr-FR"/>
        </w:rPr>
      </w:pPr>
      <w:r w:rsidRPr="00E83253">
        <w:rPr>
          <w:lang w:val="fr-FR"/>
        </w:rPr>
        <w:tab/>
        <w:t>b)</w:t>
      </w:r>
      <w:r w:rsidRPr="00E83253">
        <w:rPr>
          <w:lang w:val="fr-FR"/>
        </w:rPr>
        <w:tab/>
        <w:t>Les documents de base préparés par tout participant doivent être soumis au secrétariat par voie électronique au plus tard douze (12) semaines avant la date d</w:t>
      </w:r>
      <w:r>
        <w:rPr>
          <w:lang w:val="fr-FR"/>
        </w:rPr>
        <w:t>’</w:t>
      </w:r>
      <w:r w:rsidRPr="00E83253">
        <w:rPr>
          <w:lang w:val="fr-FR"/>
        </w:rPr>
        <w:t>ouverture de la session conformément aux procédures et règles prévues par l</w:t>
      </w:r>
      <w:r>
        <w:rPr>
          <w:lang w:val="fr-FR"/>
        </w:rPr>
        <w:t>’</w:t>
      </w:r>
      <w:r w:rsidRPr="00E83253">
        <w:rPr>
          <w:lang w:val="fr-FR"/>
        </w:rPr>
        <w:t>annexe.</w:t>
      </w:r>
    </w:p>
    <w:p w14:paraId="247EAEF7" w14:textId="7D974FF3" w:rsidR="0006511E" w:rsidRDefault="0006511E" w:rsidP="0072220F">
      <w:pPr>
        <w:pStyle w:val="SingleTxtG"/>
        <w:ind w:firstLine="567"/>
        <w:rPr>
          <w:lang w:val="fr-FR"/>
        </w:rPr>
      </w:pPr>
      <w:r w:rsidRPr="00E83253">
        <w:rPr>
          <w:lang w:val="fr-FR"/>
        </w:rPr>
        <w:tab/>
        <w:t>c)</w:t>
      </w:r>
      <w:r w:rsidRPr="00E83253">
        <w:rPr>
          <w:lang w:val="fr-FR"/>
        </w:rPr>
        <w:tab/>
        <w:t>Les documents de base relatifs à chacune des questions inscrites à l</w:t>
      </w:r>
      <w:r>
        <w:rPr>
          <w:lang w:val="fr-FR"/>
        </w:rPr>
        <w:t>’</w:t>
      </w:r>
      <w:r w:rsidRPr="00E83253">
        <w:rPr>
          <w:lang w:val="fr-FR"/>
        </w:rPr>
        <w:t>ordre du jour d</w:t>
      </w:r>
      <w:r>
        <w:rPr>
          <w:lang w:val="fr-FR"/>
        </w:rPr>
        <w:t>’</w:t>
      </w:r>
      <w:r w:rsidRPr="00E83253">
        <w:rPr>
          <w:lang w:val="fr-FR"/>
        </w:rPr>
        <w:t xml:space="preserve">une session seront disponibles sur le site </w:t>
      </w:r>
      <w:r w:rsidR="00FB6271">
        <w:rPr>
          <w:lang w:val="fr-FR"/>
        </w:rPr>
        <w:t>W</w:t>
      </w:r>
      <w:r w:rsidRPr="00E83253">
        <w:rPr>
          <w:lang w:val="fr-FR"/>
        </w:rPr>
        <w:t>eb de la CEE</w:t>
      </w:r>
      <w:r w:rsidR="00AC0DEE" w:rsidRPr="00AC0DEE">
        <w:rPr>
          <w:rStyle w:val="Appelnotedebasdep"/>
        </w:rPr>
        <w:t>4</w:t>
      </w:r>
      <w:r w:rsidRPr="00E83253">
        <w:rPr>
          <w:lang w:val="fr-FR"/>
        </w:rPr>
        <w:t xml:space="preserve"> dans toutes les langues officielles de la CEE, au plus tard quarante-deux jours avant l</w:t>
      </w:r>
      <w:r>
        <w:rPr>
          <w:lang w:val="fr-FR"/>
        </w:rPr>
        <w:t>’</w:t>
      </w:r>
      <w:r w:rsidRPr="00E83253">
        <w:rPr>
          <w:lang w:val="fr-FR"/>
        </w:rPr>
        <w:t>ouverture de la session</w:t>
      </w:r>
      <w:r w:rsidR="00B373A6">
        <w:rPr>
          <w:lang w:val="fr-FR"/>
        </w:rPr>
        <w:t> </w:t>
      </w:r>
      <w:r w:rsidRPr="00E83253">
        <w:rPr>
          <w:lang w:val="fr-FR"/>
        </w:rPr>
        <w:t>; toutefois, dans des cas exceptionnels, les traductions peuvent être mises à disposition sur ce site vingt</w:t>
      </w:r>
      <w:r w:rsidR="00FB6271">
        <w:rPr>
          <w:lang w:val="fr-FR"/>
        </w:rPr>
        <w:t xml:space="preserve"> </w:t>
      </w:r>
      <w:r w:rsidRPr="00E83253">
        <w:rPr>
          <w:lang w:val="fr-FR"/>
        </w:rPr>
        <w:t>et</w:t>
      </w:r>
      <w:r w:rsidR="00FB6271">
        <w:rPr>
          <w:lang w:val="fr-FR"/>
        </w:rPr>
        <w:t xml:space="preserve"> </w:t>
      </w:r>
      <w:r w:rsidRPr="00E83253">
        <w:rPr>
          <w:lang w:val="fr-FR"/>
        </w:rPr>
        <w:t>un jours avant l</w:t>
      </w:r>
      <w:r>
        <w:rPr>
          <w:lang w:val="fr-FR"/>
        </w:rPr>
        <w:t>’</w:t>
      </w:r>
      <w:r w:rsidRPr="00E83253">
        <w:rPr>
          <w:lang w:val="fr-FR"/>
        </w:rPr>
        <w:t xml:space="preserve">ouverture de la session. </w:t>
      </w:r>
    </w:p>
    <w:p w14:paraId="2B0B05DC" w14:textId="77777777" w:rsidR="0006511E" w:rsidRDefault="0006511E" w:rsidP="0072220F">
      <w:pPr>
        <w:pStyle w:val="SingleTxtG"/>
        <w:ind w:firstLine="567"/>
        <w:rPr>
          <w:lang w:val="fr-FR"/>
        </w:rPr>
      </w:pPr>
      <w:r w:rsidRPr="00E83253">
        <w:rPr>
          <w:lang w:val="fr-FR"/>
        </w:rPr>
        <w:tab/>
        <w:t>d)</w:t>
      </w:r>
      <w:r w:rsidRPr="00E83253">
        <w:rPr>
          <w:lang w:val="fr-FR"/>
        </w:rPr>
        <w:tab/>
        <w:t>Dans des cas exceptionnels, le secrétariat peut distribuer les documents de base au cours de la session, auquel cas ces derniers ne pourront faire l</w:t>
      </w:r>
      <w:r>
        <w:rPr>
          <w:lang w:val="fr-FR"/>
        </w:rPr>
        <w:t>’</w:t>
      </w:r>
      <w:r w:rsidRPr="00E83253">
        <w:rPr>
          <w:lang w:val="fr-FR"/>
        </w:rPr>
        <w:t>objet que d</w:t>
      </w:r>
      <w:r>
        <w:rPr>
          <w:lang w:val="fr-FR"/>
        </w:rPr>
        <w:t>’</w:t>
      </w:r>
      <w:r w:rsidRPr="00E83253">
        <w:rPr>
          <w:lang w:val="fr-FR"/>
        </w:rPr>
        <w:t xml:space="preserve">un examen préliminaire, sauf décision contraire du WP.15. </w:t>
      </w:r>
    </w:p>
    <w:p w14:paraId="60EC9160" w14:textId="58A17957" w:rsidR="0006511E" w:rsidRDefault="0006511E" w:rsidP="0072220F">
      <w:pPr>
        <w:pStyle w:val="SingleTxtG"/>
        <w:ind w:firstLine="567"/>
        <w:rPr>
          <w:lang w:val="fr-FR"/>
        </w:rPr>
      </w:pPr>
      <w:r w:rsidRPr="00E83253">
        <w:rPr>
          <w:lang w:val="fr-FR"/>
        </w:rPr>
        <w:tab/>
        <w:t>e)</w:t>
      </w:r>
      <w:r w:rsidRPr="00E83253">
        <w:rPr>
          <w:lang w:val="fr-FR"/>
        </w:rPr>
        <w:tab/>
        <w:t>Tout participant, ainsi que le secrétariat, peut également soumettre des documents informels sous réserve que les procédures et règles de l</w:t>
      </w:r>
      <w:r>
        <w:rPr>
          <w:lang w:val="fr-FR"/>
        </w:rPr>
        <w:t>’</w:t>
      </w:r>
      <w:r w:rsidR="00986945">
        <w:rPr>
          <w:lang w:val="fr-FR"/>
        </w:rPr>
        <w:t>annexe</w:t>
      </w:r>
      <w:r w:rsidR="00FB6271">
        <w:rPr>
          <w:lang w:val="fr-FR"/>
        </w:rPr>
        <w:t xml:space="preserve"> </w:t>
      </w:r>
      <w:r w:rsidRPr="00E83253">
        <w:rPr>
          <w:lang w:val="fr-FR"/>
        </w:rPr>
        <w:t>soient respectées.</w:t>
      </w:r>
    </w:p>
    <w:p w14:paraId="6E920283" w14:textId="3C759359" w:rsidR="0006511E" w:rsidRDefault="0072220F" w:rsidP="00986945">
      <w:pPr>
        <w:pStyle w:val="H1G"/>
        <w:rPr>
          <w:lang w:val="fr-FR"/>
        </w:rPr>
      </w:pPr>
      <w:r>
        <w:rPr>
          <w:lang w:val="fr-FR"/>
        </w:rPr>
        <w:tab/>
      </w:r>
      <w:r>
        <w:rPr>
          <w:lang w:val="fr-FR"/>
        </w:rPr>
        <w:tab/>
      </w:r>
      <w:r w:rsidR="0006511E" w:rsidRPr="00E83253">
        <w:rPr>
          <w:lang w:val="fr-FR"/>
        </w:rPr>
        <w:t>Chapitre III</w:t>
      </w:r>
      <w:r>
        <w:rPr>
          <w:lang w:val="fr-FR"/>
        </w:rPr>
        <w:t> − </w:t>
      </w:r>
      <w:r w:rsidR="0006511E" w:rsidRPr="00E83253">
        <w:rPr>
          <w:lang w:val="fr-FR"/>
        </w:rPr>
        <w:t>Ordre du jour</w:t>
      </w:r>
    </w:p>
    <w:p w14:paraId="67851271" w14:textId="5D37B0FF" w:rsidR="0006511E" w:rsidRDefault="0072220F" w:rsidP="00986945">
      <w:pPr>
        <w:pStyle w:val="H23G"/>
        <w:rPr>
          <w:lang w:val="fr-FR"/>
        </w:rPr>
      </w:pPr>
      <w:r>
        <w:rPr>
          <w:lang w:val="fr-FR"/>
        </w:rPr>
        <w:tab/>
      </w:r>
      <w:r>
        <w:rPr>
          <w:lang w:val="fr-FR"/>
        </w:rPr>
        <w:tab/>
      </w:r>
      <w:r w:rsidR="006B2B2D">
        <w:rPr>
          <w:lang w:val="fr-FR"/>
        </w:rPr>
        <w:t>Article </w:t>
      </w:r>
      <w:r w:rsidR="0006511E" w:rsidRPr="00E83253">
        <w:rPr>
          <w:lang w:val="fr-FR"/>
        </w:rPr>
        <w:t>5</w:t>
      </w:r>
    </w:p>
    <w:p w14:paraId="551C7F00" w14:textId="35637C32" w:rsidR="0006511E" w:rsidRPr="00E83253" w:rsidRDefault="0006511E" w:rsidP="0072220F">
      <w:pPr>
        <w:pStyle w:val="SingleTxtG"/>
        <w:ind w:firstLine="567"/>
        <w:rPr>
          <w:color w:val="000000"/>
          <w:szCs w:val="22"/>
          <w:u w:val="single"/>
          <w:lang w:val="fr-FR"/>
        </w:rPr>
      </w:pPr>
      <w:r w:rsidRPr="00E83253">
        <w:rPr>
          <w:lang w:val="fr-FR"/>
        </w:rPr>
        <w:tab/>
        <w:t>L</w:t>
      </w:r>
      <w:r>
        <w:rPr>
          <w:lang w:val="fr-FR"/>
        </w:rPr>
        <w:t>’</w:t>
      </w:r>
      <w:r w:rsidRPr="00E83253">
        <w:rPr>
          <w:lang w:val="fr-FR"/>
        </w:rPr>
        <w:t>ordre du jour provisoire de chaque session est élaboré par le secrétariat en liaison avec le (la) Président(e) ou le (la) Vice-Président(e) (agissant en tant que Président(e)).</w:t>
      </w:r>
    </w:p>
    <w:p w14:paraId="4140F38C" w14:textId="3224B26B" w:rsidR="0006511E" w:rsidRDefault="0072220F" w:rsidP="00986945">
      <w:pPr>
        <w:pStyle w:val="H23G"/>
        <w:rPr>
          <w:lang w:val="fr-FR"/>
        </w:rPr>
      </w:pPr>
      <w:r>
        <w:rPr>
          <w:lang w:val="fr-FR"/>
        </w:rPr>
        <w:tab/>
      </w:r>
      <w:r>
        <w:rPr>
          <w:lang w:val="fr-FR"/>
        </w:rPr>
        <w:tab/>
      </w:r>
      <w:r w:rsidR="006B2B2D">
        <w:rPr>
          <w:lang w:val="fr-FR"/>
        </w:rPr>
        <w:t>Article </w:t>
      </w:r>
      <w:r w:rsidR="0006511E" w:rsidRPr="00E83253">
        <w:rPr>
          <w:lang w:val="fr-FR"/>
        </w:rPr>
        <w:t>6</w:t>
      </w:r>
    </w:p>
    <w:p w14:paraId="73CC25D0" w14:textId="5DB7AE5F" w:rsidR="0006511E" w:rsidRDefault="0006511E" w:rsidP="0072220F">
      <w:pPr>
        <w:pStyle w:val="SingleTxtG"/>
        <w:ind w:firstLine="567"/>
        <w:rPr>
          <w:lang w:val="fr-FR"/>
        </w:rPr>
      </w:pPr>
      <w:r w:rsidRPr="00E83253">
        <w:rPr>
          <w:lang w:val="fr-FR"/>
        </w:rPr>
        <w:t>L</w:t>
      </w:r>
      <w:r>
        <w:rPr>
          <w:lang w:val="fr-FR"/>
        </w:rPr>
        <w:t>’</w:t>
      </w:r>
      <w:r w:rsidRPr="00E83253">
        <w:rPr>
          <w:lang w:val="fr-FR"/>
        </w:rPr>
        <w:t>ordre du jour provisoire d</w:t>
      </w:r>
      <w:r>
        <w:rPr>
          <w:lang w:val="fr-FR"/>
        </w:rPr>
        <w:t>’</w:t>
      </w:r>
      <w:r w:rsidRPr="00E83253">
        <w:rPr>
          <w:lang w:val="fr-FR"/>
        </w:rPr>
        <w:t>une session peut comprendre</w:t>
      </w:r>
      <w:r w:rsidR="0072220F">
        <w:rPr>
          <w:lang w:val="fr-FR"/>
        </w:rPr>
        <w:t> </w:t>
      </w:r>
      <w:r w:rsidRPr="00E83253">
        <w:rPr>
          <w:lang w:val="fr-FR"/>
        </w:rPr>
        <w:t>:</w:t>
      </w:r>
    </w:p>
    <w:p w14:paraId="79D3823D" w14:textId="5A597D92" w:rsidR="0006511E" w:rsidRDefault="0006511E" w:rsidP="0072220F">
      <w:pPr>
        <w:pStyle w:val="SingleTxtG"/>
        <w:ind w:firstLine="567"/>
        <w:rPr>
          <w:lang w:val="fr-FR"/>
        </w:rPr>
      </w:pPr>
      <w:r w:rsidRPr="00E83253">
        <w:rPr>
          <w:lang w:val="fr-FR"/>
        </w:rPr>
        <w:t>a)</w:t>
      </w:r>
      <w:r w:rsidRPr="00E83253">
        <w:rPr>
          <w:lang w:val="fr-FR"/>
        </w:rPr>
        <w:tab/>
        <w:t>Les questions prévues au programme de travail fixé à la session précédente</w:t>
      </w:r>
      <w:r w:rsidR="00986945">
        <w:rPr>
          <w:lang w:val="fr-FR"/>
        </w:rPr>
        <w:t> ;</w:t>
      </w:r>
      <w:r w:rsidRPr="00E83253">
        <w:rPr>
          <w:lang w:val="fr-FR"/>
        </w:rPr>
        <w:t xml:space="preserve"> </w:t>
      </w:r>
    </w:p>
    <w:p w14:paraId="42384ABB" w14:textId="2B344577" w:rsidR="0006511E" w:rsidRDefault="0006511E" w:rsidP="0072220F">
      <w:pPr>
        <w:pStyle w:val="SingleTxtG"/>
        <w:ind w:firstLine="567"/>
        <w:rPr>
          <w:lang w:val="fr-FR"/>
        </w:rPr>
      </w:pPr>
      <w:r w:rsidRPr="00E83253">
        <w:rPr>
          <w:lang w:val="fr-FR"/>
        </w:rPr>
        <w:t>b)</w:t>
      </w:r>
      <w:r w:rsidRPr="00E83253">
        <w:rPr>
          <w:lang w:val="fr-FR"/>
        </w:rPr>
        <w:tab/>
        <w:t>Des questions proposées par la CEE ou le Comité des transports intérieurs</w:t>
      </w:r>
      <w:r w:rsidR="00986945">
        <w:rPr>
          <w:lang w:val="fr-FR"/>
        </w:rPr>
        <w:t> ;</w:t>
      </w:r>
    </w:p>
    <w:p w14:paraId="0497C96B" w14:textId="0F59AEB0" w:rsidR="0006511E" w:rsidRDefault="0006511E" w:rsidP="0072220F">
      <w:pPr>
        <w:pStyle w:val="SingleTxtG"/>
        <w:ind w:firstLine="567"/>
        <w:rPr>
          <w:lang w:val="fr-FR"/>
        </w:rPr>
      </w:pPr>
      <w:r w:rsidRPr="00E83253">
        <w:rPr>
          <w:lang w:val="fr-FR"/>
        </w:rPr>
        <w:tab/>
        <w:t>c)</w:t>
      </w:r>
      <w:r w:rsidRPr="00E83253">
        <w:rPr>
          <w:lang w:val="fr-FR"/>
        </w:rPr>
        <w:tab/>
        <w:t>Toute autre question proposée par un participant pour autant qu</w:t>
      </w:r>
      <w:r>
        <w:rPr>
          <w:lang w:val="fr-FR"/>
        </w:rPr>
        <w:t>’</w:t>
      </w:r>
      <w:r w:rsidRPr="00E83253">
        <w:rPr>
          <w:lang w:val="fr-FR"/>
        </w:rPr>
        <w:t>elle relève du mandat du Groupe de travail</w:t>
      </w:r>
      <w:r w:rsidR="00986945">
        <w:rPr>
          <w:lang w:val="fr-FR"/>
        </w:rPr>
        <w:t> ;</w:t>
      </w:r>
    </w:p>
    <w:p w14:paraId="5BD3102E" w14:textId="6AA95CFC" w:rsidR="0006511E" w:rsidRPr="00E83253" w:rsidRDefault="0006511E" w:rsidP="0072220F">
      <w:pPr>
        <w:pStyle w:val="SingleTxtG"/>
        <w:ind w:firstLine="567"/>
        <w:rPr>
          <w:color w:val="000000"/>
          <w:szCs w:val="22"/>
          <w:lang w:val="fr-FR"/>
        </w:rPr>
      </w:pPr>
      <w:r w:rsidRPr="00E83253">
        <w:rPr>
          <w:lang w:val="fr-FR"/>
        </w:rPr>
        <w:tab/>
        <w:t>d)</w:t>
      </w:r>
      <w:r w:rsidRPr="00E83253">
        <w:rPr>
          <w:lang w:val="fr-FR"/>
        </w:rPr>
        <w:tab/>
        <w:t>Toute autre question que le (la) Président(e) ou le (la) Vice-Président(e) ou le secrétariat juge opportun d</w:t>
      </w:r>
      <w:r>
        <w:rPr>
          <w:lang w:val="fr-FR"/>
        </w:rPr>
        <w:t>’</w:t>
      </w:r>
      <w:r w:rsidRPr="00E83253">
        <w:rPr>
          <w:lang w:val="fr-FR"/>
        </w:rPr>
        <w:t>y faire figurer.</w:t>
      </w:r>
    </w:p>
    <w:p w14:paraId="4B20A926" w14:textId="03186C09" w:rsidR="0006511E" w:rsidRDefault="0072220F" w:rsidP="0072220F">
      <w:pPr>
        <w:pStyle w:val="H23G"/>
        <w:rPr>
          <w:lang w:val="fr-FR"/>
        </w:rPr>
      </w:pPr>
      <w:r>
        <w:rPr>
          <w:lang w:val="fr-FR"/>
        </w:rPr>
        <w:tab/>
      </w:r>
      <w:r>
        <w:rPr>
          <w:lang w:val="fr-FR"/>
        </w:rPr>
        <w:tab/>
      </w:r>
      <w:r w:rsidR="006B2B2D">
        <w:rPr>
          <w:lang w:val="fr-FR"/>
        </w:rPr>
        <w:t>Article </w:t>
      </w:r>
      <w:r w:rsidR="0006511E" w:rsidRPr="00E83253">
        <w:rPr>
          <w:lang w:val="fr-FR"/>
        </w:rPr>
        <w:t>7</w:t>
      </w:r>
    </w:p>
    <w:p w14:paraId="637A69C4" w14:textId="157A40DD" w:rsidR="0006511E" w:rsidRPr="00E83253" w:rsidRDefault="0006511E" w:rsidP="0072220F">
      <w:pPr>
        <w:pStyle w:val="SingleTxtG"/>
        <w:ind w:firstLine="567"/>
        <w:rPr>
          <w:color w:val="000000"/>
          <w:szCs w:val="22"/>
          <w:lang w:val="fr-FR"/>
        </w:rPr>
      </w:pPr>
      <w:r w:rsidRPr="00E83253">
        <w:rPr>
          <w:lang w:val="fr-FR"/>
        </w:rPr>
        <w:tab/>
      </w:r>
      <w:r w:rsidRPr="0072220F">
        <w:rPr>
          <w:lang w:val="fr-FR"/>
        </w:rPr>
        <w:t>Le premier point de l’ordre du jour provisoire de chaque session est l’adoption de l’ordre du jour.</w:t>
      </w:r>
    </w:p>
    <w:p w14:paraId="6A386455" w14:textId="0C53F754" w:rsidR="0006511E" w:rsidRDefault="00986945" w:rsidP="00986945">
      <w:pPr>
        <w:pStyle w:val="H23G"/>
        <w:rPr>
          <w:lang w:val="fr-FR"/>
        </w:rPr>
      </w:pPr>
      <w:r>
        <w:rPr>
          <w:lang w:val="fr-FR"/>
        </w:rPr>
        <w:tab/>
      </w:r>
      <w:r>
        <w:rPr>
          <w:lang w:val="fr-FR"/>
        </w:rPr>
        <w:tab/>
      </w:r>
      <w:r w:rsidR="006B2B2D">
        <w:rPr>
          <w:lang w:val="fr-FR"/>
        </w:rPr>
        <w:t>Article </w:t>
      </w:r>
      <w:r w:rsidR="0006511E" w:rsidRPr="00E83253">
        <w:rPr>
          <w:lang w:val="fr-FR"/>
        </w:rPr>
        <w:t>8</w:t>
      </w:r>
    </w:p>
    <w:p w14:paraId="62204EEE" w14:textId="77777777" w:rsidR="0072220F" w:rsidRDefault="0006511E" w:rsidP="0072220F">
      <w:pPr>
        <w:pStyle w:val="SingleTxtG"/>
        <w:ind w:firstLine="567"/>
        <w:rPr>
          <w:lang w:val="fr-FR"/>
        </w:rPr>
      </w:pPr>
      <w:r w:rsidRPr="00E83253">
        <w:rPr>
          <w:lang w:val="fr-FR"/>
        </w:rPr>
        <w:t>Le WP.15 peut modifier à tout moment, au cours de la session, la séquence des points figurant à l</w:t>
      </w:r>
      <w:r>
        <w:rPr>
          <w:lang w:val="fr-FR"/>
        </w:rPr>
        <w:t>’</w:t>
      </w:r>
      <w:r w:rsidRPr="00E83253">
        <w:rPr>
          <w:lang w:val="fr-FR"/>
        </w:rPr>
        <w:t>ordre du jour.</w:t>
      </w:r>
    </w:p>
    <w:p w14:paraId="69D44153" w14:textId="0D0AB8C7" w:rsidR="0006511E" w:rsidRPr="0072220F" w:rsidRDefault="0072220F" w:rsidP="0072220F">
      <w:pPr>
        <w:pStyle w:val="H1G"/>
      </w:pPr>
      <w:r>
        <w:lastRenderedPageBreak/>
        <w:tab/>
      </w:r>
      <w:r>
        <w:tab/>
      </w:r>
      <w:r w:rsidR="0006511E" w:rsidRPr="0072220F">
        <w:t>Chapitre</w:t>
      </w:r>
      <w:r>
        <w:t> </w:t>
      </w:r>
      <w:r w:rsidR="0006511E" w:rsidRPr="0072220F">
        <w:t>IV</w:t>
      </w:r>
      <w:r>
        <w:t> − </w:t>
      </w:r>
      <w:r w:rsidR="0006511E" w:rsidRPr="0072220F">
        <w:t>Représentation</w:t>
      </w:r>
    </w:p>
    <w:p w14:paraId="01D62DAE" w14:textId="26EB082F" w:rsidR="0006511E" w:rsidRDefault="006B2B2D" w:rsidP="0072220F">
      <w:pPr>
        <w:pStyle w:val="H23G"/>
        <w:rPr>
          <w:lang w:val="fr-FR"/>
        </w:rPr>
      </w:pPr>
      <w:r>
        <w:rPr>
          <w:lang w:val="fr-FR"/>
        </w:rPr>
        <w:tab/>
      </w:r>
      <w:r>
        <w:rPr>
          <w:lang w:val="fr-FR"/>
        </w:rPr>
        <w:tab/>
        <w:t>Article </w:t>
      </w:r>
      <w:r w:rsidR="0006511E" w:rsidRPr="00E83253">
        <w:rPr>
          <w:lang w:val="fr-FR"/>
        </w:rPr>
        <w:t>9</w:t>
      </w:r>
    </w:p>
    <w:p w14:paraId="10A30D55" w14:textId="6BB997F8" w:rsidR="0006511E" w:rsidRPr="00E83253" w:rsidRDefault="0006511E" w:rsidP="006B2B2D">
      <w:pPr>
        <w:pStyle w:val="SingleTxtG"/>
        <w:ind w:firstLine="567"/>
        <w:rPr>
          <w:lang w:val="fr-FR"/>
        </w:rPr>
      </w:pPr>
      <w:r w:rsidRPr="00E83253">
        <w:rPr>
          <w:lang w:val="fr-FR"/>
        </w:rPr>
        <w:tab/>
        <w:t>Chaque participant, tel que défini à l</w:t>
      </w:r>
      <w:r>
        <w:rPr>
          <w:lang w:val="fr-FR"/>
        </w:rPr>
        <w:t>’</w:t>
      </w:r>
      <w:r w:rsidR="006B2B2D">
        <w:rPr>
          <w:lang w:val="fr-FR"/>
        </w:rPr>
        <w:t>article </w:t>
      </w:r>
      <w:r w:rsidRPr="00E83253">
        <w:rPr>
          <w:lang w:val="fr-FR"/>
        </w:rPr>
        <w:t>1, est représenté aux sessions du WP.15 par un (une) représentant(e) accrédité(e).</w:t>
      </w:r>
    </w:p>
    <w:p w14:paraId="5A43344C" w14:textId="3246C3AC" w:rsidR="0006511E" w:rsidRDefault="006B2B2D" w:rsidP="0072220F">
      <w:pPr>
        <w:pStyle w:val="H23G"/>
        <w:rPr>
          <w:lang w:val="fr-FR"/>
        </w:rPr>
      </w:pPr>
      <w:r>
        <w:rPr>
          <w:lang w:val="fr-FR"/>
        </w:rPr>
        <w:tab/>
      </w:r>
      <w:r>
        <w:rPr>
          <w:lang w:val="fr-FR"/>
        </w:rPr>
        <w:tab/>
        <w:t>Article </w:t>
      </w:r>
      <w:r w:rsidR="0006511E" w:rsidRPr="00E83253">
        <w:rPr>
          <w:lang w:val="fr-FR"/>
        </w:rPr>
        <w:t>10</w:t>
      </w:r>
    </w:p>
    <w:p w14:paraId="539810A8" w14:textId="5FCD70A7" w:rsidR="0006511E" w:rsidRPr="00E83253" w:rsidRDefault="0006511E" w:rsidP="006B2B2D">
      <w:pPr>
        <w:pStyle w:val="SingleTxtG"/>
        <w:ind w:firstLine="567"/>
        <w:rPr>
          <w:color w:val="000000"/>
          <w:szCs w:val="22"/>
          <w:lang w:val="fr-FR"/>
        </w:rPr>
      </w:pPr>
      <w:r w:rsidRPr="00E83253">
        <w:rPr>
          <w:lang w:val="fr-FR"/>
        </w:rPr>
        <w:tab/>
        <w:t>Le (la) représentant(e) peut se faire accompagner par des représentants suppléants, des conseillers ou des experts. En cas d</w:t>
      </w:r>
      <w:r>
        <w:rPr>
          <w:lang w:val="fr-FR"/>
        </w:rPr>
        <w:t>’</w:t>
      </w:r>
      <w:r w:rsidRPr="00E83253">
        <w:rPr>
          <w:lang w:val="fr-FR"/>
        </w:rPr>
        <w:t>absence, le (la) représentant(e) peut être remplacé(e) par un (une) représentant(e) suppléant.</w:t>
      </w:r>
    </w:p>
    <w:p w14:paraId="0BC3DC6B" w14:textId="7B016CFA" w:rsidR="0006511E" w:rsidRDefault="006B2B2D" w:rsidP="0072220F">
      <w:pPr>
        <w:pStyle w:val="H23G"/>
        <w:rPr>
          <w:lang w:val="fr-FR"/>
        </w:rPr>
      </w:pPr>
      <w:r>
        <w:rPr>
          <w:lang w:val="fr-FR"/>
        </w:rPr>
        <w:tab/>
      </w:r>
      <w:r>
        <w:rPr>
          <w:lang w:val="fr-FR"/>
        </w:rPr>
        <w:tab/>
        <w:t>Article </w:t>
      </w:r>
      <w:r w:rsidR="0006511E" w:rsidRPr="00E83253">
        <w:rPr>
          <w:lang w:val="fr-FR"/>
        </w:rPr>
        <w:t>11</w:t>
      </w:r>
    </w:p>
    <w:p w14:paraId="73EBB11C" w14:textId="7BFA3753" w:rsidR="0006511E" w:rsidRDefault="0006511E" w:rsidP="006B2B2D">
      <w:pPr>
        <w:pStyle w:val="SingleTxtG"/>
        <w:ind w:firstLine="567"/>
        <w:rPr>
          <w:lang w:val="fr-FR"/>
        </w:rPr>
      </w:pPr>
      <w:r w:rsidRPr="00E83253">
        <w:rPr>
          <w:lang w:val="fr-FR"/>
        </w:rPr>
        <w:t>a)</w:t>
      </w:r>
      <w:r w:rsidRPr="00E83253">
        <w:rPr>
          <w:lang w:val="fr-FR"/>
        </w:rPr>
        <w:tab/>
        <w:t>Les noms des représentants, des représentants suppléants, des conseillers et des experts sont communiqués au secrétariat de la CEE au plus tard une semaine avant l</w:t>
      </w:r>
      <w:r>
        <w:rPr>
          <w:lang w:val="fr-FR"/>
        </w:rPr>
        <w:t>’</w:t>
      </w:r>
      <w:r w:rsidRPr="00E83253">
        <w:rPr>
          <w:lang w:val="fr-FR"/>
        </w:rPr>
        <w:t xml:space="preserve">ouverture de la session. </w:t>
      </w:r>
    </w:p>
    <w:p w14:paraId="33F680E0" w14:textId="49297180" w:rsidR="0006511E" w:rsidRDefault="0006511E" w:rsidP="006B2B2D">
      <w:pPr>
        <w:pStyle w:val="SingleTxtG"/>
        <w:ind w:firstLine="567"/>
        <w:rPr>
          <w:lang w:val="fr-FR"/>
        </w:rPr>
      </w:pPr>
      <w:r w:rsidRPr="00E83253">
        <w:rPr>
          <w:lang w:val="fr-FR"/>
        </w:rPr>
        <w:t>b)</w:t>
      </w:r>
      <w:r w:rsidRPr="00E83253">
        <w:rPr>
          <w:lang w:val="fr-FR"/>
        </w:rPr>
        <w:tab/>
      </w:r>
      <w:r w:rsidRPr="00AC0DEE">
        <w:rPr>
          <w:spacing w:val="-2"/>
          <w:lang w:val="fr-FR"/>
        </w:rPr>
        <w:t xml:space="preserve">Une liste provisoire des personnes devant participer à la session est dressée par le secrétariat et mise à disposition des missions permanentes des pays participants auprès de l’Office des </w:t>
      </w:r>
      <w:r w:rsidR="00986945" w:rsidRPr="00AC0DEE">
        <w:rPr>
          <w:spacing w:val="-2"/>
          <w:lang w:val="fr-FR"/>
        </w:rPr>
        <w:t>Nations Unies</w:t>
      </w:r>
      <w:r w:rsidRPr="00AC0DEE">
        <w:rPr>
          <w:spacing w:val="-2"/>
          <w:lang w:val="fr-FR"/>
        </w:rPr>
        <w:t xml:space="preserve"> à Genève deux jours ouvrables avant l’ouverture de la session. Sauf remarque contraire formulée par la Mission permanente concernée avant l’ouverture de la session, les personnes figurant sur cette liste seront considérées comme dûment accréditées.</w:t>
      </w:r>
    </w:p>
    <w:p w14:paraId="12BAD50A" w14:textId="77777777" w:rsidR="0006511E" w:rsidRDefault="0006511E" w:rsidP="006B2B2D">
      <w:pPr>
        <w:pStyle w:val="SingleTxtG"/>
        <w:ind w:firstLine="567"/>
        <w:rPr>
          <w:lang w:val="fr-FR"/>
        </w:rPr>
      </w:pPr>
      <w:r w:rsidRPr="00E83253">
        <w:rPr>
          <w:lang w:val="fr-FR"/>
        </w:rPr>
        <w:t>c)</w:t>
      </w:r>
      <w:r w:rsidRPr="00E83253">
        <w:rPr>
          <w:lang w:val="fr-FR"/>
        </w:rPr>
        <w:tab/>
        <w:t>Une liste nominative de l</w:t>
      </w:r>
      <w:r>
        <w:rPr>
          <w:lang w:val="fr-FR"/>
        </w:rPr>
        <w:t>’</w:t>
      </w:r>
      <w:r w:rsidRPr="00E83253">
        <w:rPr>
          <w:lang w:val="fr-FR"/>
        </w:rPr>
        <w:t>ensemble des personnes ayant participé à la session est dressée par le secrétariat et est mise à leur disposition à la fin de la session.</w:t>
      </w:r>
    </w:p>
    <w:p w14:paraId="5DAF0FA7" w14:textId="5F779DCD" w:rsidR="0006511E" w:rsidRPr="00E83253" w:rsidRDefault="006B2B2D" w:rsidP="006B2B2D">
      <w:pPr>
        <w:pStyle w:val="H1G"/>
        <w:rPr>
          <w:color w:val="000000"/>
          <w:szCs w:val="22"/>
          <w:lang w:val="fr-FR"/>
        </w:rPr>
      </w:pPr>
      <w:r>
        <w:rPr>
          <w:lang w:val="fr-FR"/>
        </w:rPr>
        <w:tab/>
      </w:r>
      <w:r>
        <w:rPr>
          <w:lang w:val="fr-FR"/>
        </w:rPr>
        <w:tab/>
      </w:r>
      <w:r w:rsidR="0006511E" w:rsidRPr="00E83253">
        <w:rPr>
          <w:lang w:val="fr-FR"/>
        </w:rPr>
        <w:t>Chapitre V</w:t>
      </w:r>
      <w:r>
        <w:rPr>
          <w:lang w:val="fr-FR"/>
        </w:rPr>
        <w:t> − </w:t>
      </w:r>
      <w:r w:rsidR="0006511E" w:rsidRPr="00E83253">
        <w:rPr>
          <w:lang w:val="fr-FR"/>
        </w:rPr>
        <w:t>Bureau</w:t>
      </w:r>
    </w:p>
    <w:p w14:paraId="1FF87261" w14:textId="5B7CDA6D" w:rsidR="0006511E" w:rsidRDefault="006B2B2D" w:rsidP="0072220F">
      <w:pPr>
        <w:pStyle w:val="H23G"/>
        <w:rPr>
          <w:lang w:val="fr-FR"/>
        </w:rPr>
      </w:pPr>
      <w:r>
        <w:rPr>
          <w:lang w:val="fr-FR"/>
        </w:rPr>
        <w:tab/>
      </w:r>
      <w:r>
        <w:rPr>
          <w:lang w:val="fr-FR"/>
        </w:rPr>
        <w:tab/>
        <w:t>Article </w:t>
      </w:r>
      <w:r w:rsidR="0006511E" w:rsidRPr="00E83253">
        <w:rPr>
          <w:lang w:val="fr-FR"/>
        </w:rPr>
        <w:t>12</w:t>
      </w:r>
    </w:p>
    <w:p w14:paraId="1948BE9E" w14:textId="4C746333" w:rsidR="0006511E" w:rsidRPr="00E83253" w:rsidRDefault="0006511E" w:rsidP="006B2B2D">
      <w:pPr>
        <w:pStyle w:val="SingleTxtG"/>
        <w:ind w:firstLine="567"/>
        <w:rPr>
          <w:lang w:val="fr-FR"/>
        </w:rPr>
      </w:pPr>
      <w:r w:rsidRPr="00E83253">
        <w:rPr>
          <w:lang w:val="fr-FR"/>
        </w:rPr>
        <w:tab/>
        <w:t>Le WP.15 élit tous les ans, à la fin de la dernière session de l</w:t>
      </w:r>
      <w:r>
        <w:rPr>
          <w:lang w:val="fr-FR"/>
        </w:rPr>
        <w:t>’</w:t>
      </w:r>
      <w:r w:rsidRPr="00E83253">
        <w:rPr>
          <w:lang w:val="fr-FR"/>
        </w:rPr>
        <w:t>année, un (une) Président(e) et un (une) Vice-Président(e), choisi(e)s parmi les représentants des participants de plein droit selon l</w:t>
      </w:r>
      <w:r>
        <w:rPr>
          <w:lang w:val="fr-FR"/>
        </w:rPr>
        <w:t>’</w:t>
      </w:r>
      <w:r w:rsidR="006B2B2D">
        <w:rPr>
          <w:lang w:val="fr-FR"/>
        </w:rPr>
        <w:t>article </w:t>
      </w:r>
      <w:r w:rsidRPr="00E83253">
        <w:rPr>
          <w:lang w:val="fr-FR"/>
        </w:rPr>
        <w:t>1. Ils entrent en fonction au début de la première session de l</w:t>
      </w:r>
      <w:r>
        <w:rPr>
          <w:lang w:val="fr-FR"/>
        </w:rPr>
        <w:t>’</w:t>
      </w:r>
      <w:r w:rsidRPr="00E83253">
        <w:rPr>
          <w:lang w:val="fr-FR"/>
        </w:rPr>
        <w:t>année suivant l</w:t>
      </w:r>
      <w:r>
        <w:rPr>
          <w:lang w:val="fr-FR"/>
        </w:rPr>
        <w:t>’</w:t>
      </w:r>
      <w:r w:rsidRPr="00E83253">
        <w:rPr>
          <w:lang w:val="fr-FR"/>
        </w:rPr>
        <w:t>élection. Ils sont rééligibles.</w:t>
      </w:r>
    </w:p>
    <w:p w14:paraId="16C582E6" w14:textId="75794B84" w:rsidR="0006511E" w:rsidRDefault="006B2B2D" w:rsidP="0072220F">
      <w:pPr>
        <w:pStyle w:val="H23G"/>
        <w:rPr>
          <w:lang w:val="fr-FR"/>
        </w:rPr>
      </w:pPr>
      <w:r>
        <w:rPr>
          <w:lang w:val="fr-FR"/>
        </w:rPr>
        <w:tab/>
      </w:r>
      <w:r>
        <w:rPr>
          <w:lang w:val="fr-FR"/>
        </w:rPr>
        <w:tab/>
        <w:t>Article </w:t>
      </w:r>
      <w:r w:rsidR="0006511E" w:rsidRPr="00E83253">
        <w:rPr>
          <w:lang w:val="fr-FR"/>
        </w:rPr>
        <w:t>13</w:t>
      </w:r>
    </w:p>
    <w:p w14:paraId="323B80AE" w14:textId="77777777" w:rsidR="0006511E" w:rsidRDefault="0006511E" w:rsidP="006B2B2D">
      <w:pPr>
        <w:pStyle w:val="SingleTxtG"/>
        <w:ind w:firstLine="567"/>
        <w:rPr>
          <w:spacing w:val="20"/>
          <w:lang w:val="fr-FR"/>
        </w:rPr>
      </w:pPr>
      <w:r w:rsidRPr="00E83253">
        <w:rPr>
          <w:lang w:val="fr-FR"/>
        </w:rPr>
        <w:tab/>
        <w:t>Si le (la) Président(e) est absent lors d</w:t>
      </w:r>
      <w:r>
        <w:rPr>
          <w:lang w:val="fr-FR"/>
        </w:rPr>
        <w:t>’</w:t>
      </w:r>
      <w:r w:rsidRPr="00E83253">
        <w:rPr>
          <w:lang w:val="fr-FR"/>
        </w:rPr>
        <w:t>une session ou à une partie de la session, ou s</w:t>
      </w:r>
      <w:r>
        <w:rPr>
          <w:lang w:val="fr-FR"/>
        </w:rPr>
        <w:t>’</w:t>
      </w:r>
      <w:r w:rsidRPr="00E83253">
        <w:rPr>
          <w:lang w:val="fr-FR"/>
        </w:rPr>
        <w:t>il le demande, la présidence sera assumée par le (la) Vice-Président(e)</w:t>
      </w:r>
      <w:r w:rsidRPr="00E83253">
        <w:rPr>
          <w:spacing w:val="20"/>
          <w:lang w:val="fr-FR"/>
        </w:rPr>
        <w:t>.</w:t>
      </w:r>
    </w:p>
    <w:p w14:paraId="2FC465DC" w14:textId="0ED0D787" w:rsidR="0006511E" w:rsidRDefault="006B2B2D" w:rsidP="0072220F">
      <w:pPr>
        <w:pStyle w:val="H23G"/>
        <w:rPr>
          <w:lang w:val="fr-FR"/>
        </w:rPr>
      </w:pPr>
      <w:r>
        <w:rPr>
          <w:lang w:val="fr-FR"/>
        </w:rPr>
        <w:tab/>
      </w:r>
      <w:r>
        <w:rPr>
          <w:lang w:val="fr-FR"/>
        </w:rPr>
        <w:tab/>
        <w:t>Article </w:t>
      </w:r>
      <w:r w:rsidR="0006511E" w:rsidRPr="00E83253">
        <w:rPr>
          <w:lang w:val="fr-FR"/>
        </w:rPr>
        <w:t>14</w:t>
      </w:r>
    </w:p>
    <w:p w14:paraId="1C8469D0" w14:textId="234B3CB5" w:rsidR="0006511E" w:rsidRDefault="0006511E" w:rsidP="006B2B2D">
      <w:pPr>
        <w:pStyle w:val="SingleTxtG"/>
        <w:ind w:firstLine="567"/>
        <w:rPr>
          <w:lang w:val="fr-FR"/>
        </w:rPr>
      </w:pPr>
      <w:r w:rsidRPr="00E83253">
        <w:rPr>
          <w:lang w:val="fr-FR"/>
        </w:rPr>
        <w:tab/>
        <w:t>Si le (la) Président(e) cesse de représenter un pays participant ou n</w:t>
      </w:r>
      <w:r>
        <w:rPr>
          <w:lang w:val="fr-FR"/>
        </w:rPr>
        <w:t>’</w:t>
      </w:r>
      <w:r w:rsidRPr="00E83253">
        <w:rPr>
          <w:lang w:val="fr-FR"/>
        </w:rPr>
        <w:t>est plus en mesure de continuer à exercer ses fonctions, le (la) Vice-Président(e), désigné(e) conformément à l</w:t>
      </w:r>
      <w:r>
        <w:rPr>
          <w:lang w:val="fr-FR"/>
        </w:rPr>
        <w:t>’</w:t>
      </w:r>
      <w:r w:rsidR="006B2B2D">
        <w:rPr>
          <w:lang w:val="fr-FR"/>
        </w:rPr>
        <w:t>article </w:t>
      </w:r>
      <w:r w:rsidRPr="00E83253">
        <w:rPr>
          <w:lang w:val="fr-FR"/>
        </w:rPr>
        <w:t>12, assume la présidence jusqu</w:t>
      </w:r>
      <w:r>
        <w:rPr>
          <w:lang w:val="fr-FR"/>
        </w:rPr>
        <w:t>’</w:t>
      </w:r>
      <w:r w:rsidRPr="00E83253">
        <w:rPr>
          <w:lang w:val="fr-FR"/>
        </w:rPr>
        <w:t>au terme de la période en cours. Dans ce cas, le WP.15 élit un (une) autre Vice-Président(e) pour la période de temps restant à courir. Il en est de même lorsque le (la) Vice-Président(e) désigné(e) cesse de représenter un pays participant ou n</w:t>
      </w:r>
      <w:r>
        <w:rPr>
          <w:lang w:val="fr-FR"/>
        </w:rPr>
        <w:t>’</w:t>
      </w:r>
      <w:r w:rsidRPr="00E83253">
        <w:rPr>
          <w:lang w:val="fr-FR"/>
        </w:rPr>
        <w:t>est plus en mesure de continuer à exercer ses fonctions.</w:t>
      </w:r>
    </w:p>
    <w:p w14:paraId="7B4E7163" w14:textId="161302FA" w:rsidR="0006511E" w:rsidRDefault="006B2B2D" w:rsidP="0072220F">
      <w:pPr>
        <w:pStyle w:val="H23G"/>
        <w:rPr>
          <w:lang w:val="fr-FR"/>
        </w:rPr>
      </w:pPr>
      <w:r>
        <w:rPr>
          <w:lang w:val="fr-FR"/>
        </w:rPr>
        <w:tab/>
      </w:r>
      <w:r>
        <w:rPr>
          <w:lang w:val="fr-FR"/>
        </w:rPr>
        <w:tab/>
        <w:t>Article </w:t>
      </w:r>
      <w:r w:rsidR="0006511E" w:rsidRPr="00E83253">
        <w:rPr>
          <w:lang w:val="fr-FR"/>
        </w:rPr>
        <w:t>15</w:t>
      </w:r>
    </w:p>
    <w:p w14:paraId="0B60CDE4" w14:textId="77777777" w:rsidR="0006511E" w:rsidRDefault="0006511E" w:rsidP="006B2B2D">
      <w:pPr>
        <w:pStyle w:val="SingleTxtG"/>
        <w:ind w:firstLine="567"/>
        <w:rPr>
          <w:lang w:val="fr-FR"/>
        </w:rPr>
      </w:pPr>
      <w:r w:rsidRPr="00E83253">
        <w:rPr>
          <w:lang w:val="fr-FR"/>
        </w:rPr>
        <w:tab/>
        <w:t>Le (la) Vice-Président(e) agissant en qualité de Président(e) a les mêmes pouvoirs et exerce les mêmes fonctions que le (la) Président(e).</w:t>
      </w:r>
    </w:p>
    <w:p w14:paraId="4A980F8F" w14:textId="4E329865" w:rsidR="0006511E" w:rsidRDefault="006B2B2D" w:rsidP="0072220F">
      <w:pPr>
        <w:pStyle w:val="H23G"/>
        <w:rPr>
          <w:lang w:val="fr-FR"/>
        </w:rPr>
      </w:pPr>
      <w:r>
        <w:rPr>
          <w:lang w:val="fr-FR"/>
        </w:rPr>
        <w:tab/>
      </w:r>
      <w:r>
        <w:rPr>
          <w:lang w:val="fr-FR"/>
        </w:rPr>
        <w:tab/>
        <w:t>Article </w:t>
      </w:r>
      <w:r w:rsidR="0006511E" w:rsidRPr="00E83253">
        <w:rPr>
          <w:lang w:val="fr-FR"/>
        </w:rPr>
        <w:t>16</w:t>
      </w:r>
    </w:p>
    <w:p w14:paraId="4699B3BF" w14:textId="77777777" w:rsidR="0006511E" w:rsidRDefault="0006511E" w:rsidP="00AC0DEE">
      <w:pPr>
        <w:pStyle w:val="SingleTxtG"/>
        <w:widowControl w:val="0"/>
        <w:ind w:firstLine="567"/>
        <w:rPr>
          <w:lang w:val="fr-FR"/>
        </w:rPr>
      </w:pPr>
      <w:r w:rsidRPr="00E83253">
        <w:rPr>
          <w:lang w:val="fr-FR"/>
        </w:rPr>
        <w:tab/>
        <w:t>Le (la) Président(e) prend part au WP.15 en tant que tel (telle) et non en tant que représentant(e) de son pays. Le WP.15 admet alors qu</w:t>
      </w:r>
      <w:r>
        <w:rPr>
          <w:lang w:val="fr-FR"/>
        </w:rPr>
        <w:t>’</w:t>
      </w:r>
      <w:r w:rsidRPr="00E83253">
        <w:rPr>
          <w:lang w:val="fr-FR"/>
        </w:rPr>
        <w:t>un(e) représentant(e) suppléant représente ce participant et exerce son droit de vote. Néanmoins, s</w:t>
      </w:r>
      <w:r>
        <w:rPr>
          <w:lang w:val="fr-FR"/>
        </w:rPr>
        <w:t>’</w:t>
      </w:r>
      <w:r w:rsidRPr="00E83253">
        <w:rPr>
          <w:lang w:val="fr-FR"/>
        </w:rPr>
        <w:t>il n</w:t>
      </w:r>
      <w:r>
        <w:rPr>
          <w:lang w:val="fr-FR"/>
        </w:rPr>
        <w:t>’</w:t>
      </w:r>
      <w:r w:rsidRPr="00E83253">
        <w:rPr>
          <w:lang w:val="fr-FR"/>
        </w:rPr>
        <w:t>y a pas de représentant(e) suppléant ou si celui (celle) ci est absent(e), le (la) Président(e) peut exercer le droit de vote en tant que représentant(e) de son pays.</w:t>
      </w:r>
    </w:p>
    <w:p w14:paraId="144A75C2" w14:textId="5E824361" w:rsidR="0006511E" w:rsidRDefault="006B2B2D" w:rsidP="0072220F">
      <w:pPr>
        <w:pStyle w:val="H1G"/>
        <w:rPr>
          <w:lang w:val="fr-FR"/>
        </w:rPr>
      </w:pPr>
      <w:r>
        <w:rPr>
          <w:lang w:val="fr-FR"/>
        </w:rPr>
        <w:lastRenderedPageBreak/>
        <w:tab/>
      </w:r>
      <w:r>
        <w:rPr>
          <w:lang w:val="fr-FR"/>
        </w:rPr>
        <w:tab/>
      </w:r>
      <w:r w:rsidR="0006511E" w:rsidRPr="00E83253">
        <w:rPr>
          <w:lang w:val="fr-FR"/>
        </w:rPr>
        <w:t>Chapitre VI</w:t>
      </w:r>
      <w:r>
        <w:rPr>
          <w:lang w:val="fr-FR"/>
        </w:rPr>
        <w:t> − </w:t>
      </w:r>
      <w:r w:rsidR="0006511E" w:rsidRPr="00E83253">
        <w:rPr>
          <w:lang w:val="fr-FR"/>
        </w:rPr>
        <w:t>Secrétariat</w:t>
      </w:r>
    </w:p>
    <w:p w14:paraId="5D2DFEED" w14:textId="64831FA1" w:rsidR="0006511E" w:rsidRDefault="006B2B2D" w:rsidP="0072220F">
      <w:pPr>
        <w:pStyle w:val="H23G"/>
        <w:rPr>
          <w:lang w:val="fr-FR"/>
        </w:rPr>
      </w:pPr>
      <w:r>
        <w:rPr>
          <w:lang w:val="fr-FR"/>
        </w:rPr>
        <w:tab/>
      </w:r>
      <w:r>
        <w:rPr>
          <w:lang w:val="fr-FR"/>
        </w:rPr>
        <w:tab/>
        <w:t>Article </w:t>
      </w:r>
      <w:r w:rsidR="0006511E" w:rsidRPr="00E83253">
        <w:rPr>
          <w:lang w:val="fr-FR"/>
        </w:rPr>
        <w:t>17</w:t>
      </w:r>
    </w:p>
    <w:p w14:paraId="4899A8CF" w14:textId="77777777" w:rsidR="0006511E" w:rsidRDefault="0006511E" w:rsidP="006B2B2D">
      <w:pPr>
        <w:pStyle w:val="SingleTxtG"/>
        <w:ind w:firstLine="567"/>
        <w:rPr>
          <w:lang w:val="fr-FR"/>
        </w:rPr>
      </w:pPr>
      <w:r w:rsidRPr="00E83253">
        <w:rPr>
          <w:lang w:val="fr-FR"/>
        </w:rPr>
        <w:tab/>
        <w:t>Le (la) Secrétaire exécutif (exécutive) de la CEE agit ès qualités à toutes les sessions du WP.15. Il (elle) peut désigner un autre membre du secrétariat de la CEE pour le (la) remplacer.</w:t>
      </w:r>
    </w:p>
    <w:p w14:paraId="446F5734" w14:textId="52490558" w:rsidR="0006511E" w:rsidRDefault="006B2B2D" w:rsidP="0072220F">
      <w:pPr>
        <w:pStyle w:val="H23G"/>
        <w:rPr>
          <w:lang w:val="fr-FR"/>
        </w:rPr>
      </w:pPr>
      <w:r>
        <w:rPr>
          <w:lang w:val="fr-FR"/>
        </w:rPr>
        <w:tab/>
      </w:r>
      <w:r>
        <w:rPr>
          <w:lang w:val="fr-FR"/>
        </w:rPr>
        <w:tab/>
        <w:t>Article </w:t>
      </w:r>
      <w:r w:rsidR="0006511E" w:rsidRPr="00E83253">
        <w:rPr>
          <w:lang w:val="fr-FR"/>
        </w:rPr>
        <w:t>18</w:t>
      </w:r>
    </w:p>
    <w:p w14:paraId="7E714C77" w14:textId="77777777" w:rsidR="0006511E" w:rsidRDefault="0006511E" w:rsidP="006B2B2D">
      <w:pPr>
        <w:pStyle w:val="SingleTxtG"/>
        <w:ind w:firstLine="567"/>
        <w:rPr>
          <w:lang w:val="fr-FR"/>
        </w:rPr>
      </w:pPr>
      <w:r w:rsidRPr="00E83253">
        <w:rPr>
          <w:lang w:val="fr-FR"/>
        </w:rPr>
        <w:tab/>
        <w:t>Le secrétariat prend toutes les dispositions nécessaires en vue de l</w:t>
      </w:r>
      <w:r>
        <w:rPr>
          <w:lang w:val="fr-FR"/>
        </w:rPr>
        <w:t>’</w:t>
      </w:r>
      <w:r w:rsidRPr="00E83253">
        <w:rPr>
          <w:lang w:val="fr-FR"/>
        </w:rPr>
        <w:t>organisation et de la tenue des sessions.</w:t>
      </w:r>
    </w:p>
    <w:p w14:paraId="2713F71D" w14:textId="134742FB" w:rsidR="0006511E" w:rsidRDefault="006B2B2D" w:rsidP="0072220F">
      <w:pPr>
        <w:pStyle w:val="H23G"/>
        <w:rPr>
          <w:lang w:val="fr-FR"/>
        </w:rPr>
      </w:pPr>
      <w:r>
        <w:rPr>
          <w:lang w:val="fr-FR"/>
        </w:rPr>
        <w:tab/>
      </w:r>
      <w:r>
        <w:rPr>
          <w:lang w:val="fr-FR"/>
        </w:rPr>
        <w:tab/>
        <w:t>Article </w:t>
      </w:r>
      <w:r w:rsidR="0006511E" w:rsidRPr="00E83253">
        <w:rPr>
          <w:lang w:val="fr-FR"/>
        </w:rPr>
        <w:t>19</w:t>
      </w:r>
    </w:p>
    <w:p w14:paraId="43FBD4B9" w14:textId="77777777" w:rsidR="0006511E" w:rsidRDefault="0006511E" w:rsidP="006B2B2D">
      <w:pPr>
        <w:pStyle w:val="SingleTxtG"/>
        <w:ind w:firstLine="567"/>
        <w:rPr>
          <w:lang w:val="fr-FR"/>
        </w:rPr>
      </w:pPr>
      <w:r w:rsidRPr="00E83253">
        <w:rPr>
          <w:lang w:val="fr-FR"/>
        </w:rPr>
        <w:t xml:space="preserve">Pendant les sessions, le secrétariat aide le WP.15 à se conformer au présent </w:t>
      </w:r>
      <w:r>
        <w:rPr>
          <w:lang w:val="fr-FR"/>
        </w:rPr>
        <w:t>r</w:t>
      </w:r>
      <w:r w:rsidRPr="00E83253">
        <w:rPr>
          <w:lang w:val="fr-FR"/>
        </w:rPr>
        <w:t>èglement intérieur.</w:t>
      </w:r>
    </w:p>
    <w:p w14:paraId="7703B738" w14:textId="2D2983B8" w:rsidR="0006511E" w:rsidRDefault="006B2B2D" w:rsidP="0072220F">
      <w:pPr>
        <w:pStyle w:val="H23G"/>
        <w:rPr>
          <w:lang w:val="fr-FR"/>
        </w:rPr>
      </w:pPr>
      <w:r>
        <w:rPr>
          <w:lang w:val="fr-FR"/>
        </w:rPr>
        <w:tab/>
      </w:r>
      <w:r>
        <w:rPr>
          <w:lang w:val="fr-FR"/>
        </w:rPr>
        <w:tab/>
        <w:t>Article </w:t>
      </w:r>
      <w:r w:rsidR="0006511E" w:rsidRPr="00E83253">
        <w:rPr>
          <w:lang w:val="fr-FR"/>
        </w:rPr>
        <w:t>20</w:t>
      </w:r>
    </w:p>
    <w:p w14:paraId="6498CBC3" w14:textId="77777777" w:rsidR="0006511E" w:rsidRDefault="0006511E" w:rsidP="006B2B2D">
      <w:pPr>
        <w:pStyle w:val="SingleTxtG"/>
        <w:ind w:firstLine="567"/>
        <w:rPr>
          <w:lang w:val="fr-FR"/>
        </w:rPr>
      </w:pPr>
      <w:r w:rsidRPr="00E83253">
        <w:rPr>
          <w:lang w:val="fr-FR"/>
        </w:rPr>
        <w:tab/>
        <w:t>Le secrétariat peut présenter des exposés oraux ou écrits sur toute question examinée.</w:t>
      </w:r>
    </w:p>
    <w:p w14:paraId="13C6ADB3" w14:textId="2775AE37" w:rsidR="0006511E" w:rsidRPr="00E83253" w:rsidRDefault="006B2B2D" w:rsidP="006B2B2D">
      <w:pPr>
        <w:pStyle w:val="H1G"/>
        <w:rPr>
          <w:lang w:val="fr-FR"/>
        </w:rPr>
      </w:pPr>
      <w:r>
        <w:rPr>
          <w:lang w:val="fr-FR"/>
        </w:rPr>
        <w:tab/>
      </w:r>
      <w:r>
        <w:rPr>
          <w:lang w:val="fr-FR"/>
        </w:rPr>
        <w:tab/>
      </w:r>
      <w:r w:rsidR="0006511E" w:rsidRPr="00E83253">
        <w:rPr>
          <w:lang w:val="fr-FR"/>
        </w:rPr>
        <w:t>Chapitre VII</w:t>
      </w:r>
      <w:r>
        <w:rPr>
          <w:lang w:val="fr-FR"/>
        </w:rPr>
        <w:t> − </w:t>
      </w:r>
      <w:r w:rsidR="0006511E" w:rsidRPr="00E83253">
        <w:rPr>
          <w:lang w:val="fr-FR"/>
        </w:rPr>
        <w:t xml:space="preserve">Conduite </w:t>
      </w:r>
      <w:r w:rsidR="0006511E">
        <w:rPr>
          <w:lang w:val="fr-FR"/>
        </w:rPr>
        <w:t>d</w:t>
      </w:r>
      <w:r w:rsidR="0006511E" w:rsidRPr="00E83253">
        <w:rPr>
          <w:lang w:val="fr-FR"/>
        </w:rPr>
        <w:t xml:space="preserve">es </w:t>
      </w:r>
      <w:r w:rsidR="0006511E">
        <w:rPr>
          <w:lang w:val="fr-FR"/>
        </w:rPr>
        <w:t>d</w:t>
      </w:r>
      <w:r w:rsidR="0006511E" w:rsidRPr="00E83253">
        <w:rPr>
          <w:lang w:val="fr-FR"/>
        </w:rPr>
        <w:t>ébats</w:t>
      </w:r>
    </w:p>
    <w:p w14:paraId="48025ADB" w14:textId="418009F2" w:rsidR="0006511E" w:rsidRDefault="006B2B2D" w:rsidP="0072220F">
      <w:pPr>
        <w:pStyle w:val="H23G"/>
        <w:rPr>
          <w:lang w:val="fr-FR"/>
        </w:rPr>
      </w:pPr>
      <w:r>
        <w:rPr>
          <w:lang w:val="fr-FR"/>
        </w:rPr>
        <w:tab/>
      </w:r>
      <w:r>
        <w:rPr>
          <w:lang w:val="fr-FR"/>
        </w:rPr>
        <w:tab/>
        <w:t>Article </w:t>
      </w:r>
      <w:r w:rsidR="0006511E" w:rsidRPr="00E83253">
        <w:rPr>
          <w:lang w:val="fr-FR"/>
        </w:rPr>
        <w:t>21</w:t>
      </w:r>
    </w:p>
    <w:p w14:paraId="1D64718E" w14:textId="77777777" w:rsidR="0006511E" w:rsidRDefault="0006511E" w:rsidP="006B2B2D">
      <w:pPr>
        <w:pStyle w:val="SingleTxtG"/>
        <w:ind w:firstLine="567"/>
        <w:rPr>
          <w:lang w:val="fr-FR"/>
        </w:rPr>
      </w:pPr>
      <w:r w:rsidRPr="00E83253">
        <w:rPr>
          <w:lang w:val="fr-FR"/>
        </w:rPr>
        <w:tab/>
        <w:t>À moins qu</w:t>
      </w:r>
      <w:r>
        <w:rPr>
          <w:lang w:val="fr-FR"/>
        </w:rPr>
        <w:t>’</w:t>
      </w:r>
      <w:r w:rsidRPr="00E83253">
        <w:rPr>
          <w:lang w:val="fr-FR"/>
        </w:rPr>
        <w:t>il n</w:t>
      </w:r>
      <w:r>
        <w:rPr>
          <w:lang w:val="fr-FR"/>
        </w:rPr>
        <w:t>’</w:t>
      </w:r>
      <w:r w:rsidRPr="00E83253">
        <w:rPr>
          <w:lang w:val="fr-FR"/>
        </w:rPr>
        <w:t xml:space="preserve">en décide autrement, le WP.15 se réunit en séance privée. </w:t>
      </w:r>
    </w:p>
    <w:p w14:paraId="0FAD748D" w14:textId="7044E5C0" w:rsidR="0006511E" w:rsidRDefault="006B2B2D" w:rsidP="0072220F">
      <w:pPr>
        <w:pStyle w:val="H23G"/>
        <w:rPr>
          <w:lang w:val="fr-FR"/>
        </w:rPr>
      </w:pPr>
      <w:r>
        <w:rPr>
          <w:lang w:val="fr-FR"/>
        </w:rPr>
        <w:tab/>
      </w:r>
      <w:r>
        <w:rPr>
          <w:lang w:val="fr-FR"/>
        </w:rPr>
        <w:tab/>
        <w:t>Article </w:t>
      </w:r>
      <w:r w:rsidR="0006511E" w:rsidRPr="00E83253">
        <w:rPr>
          <w:lang w:val="fr-FR"/>
        </w:rPr>
        <w:t>22</w:t>
      </w:r>
    </w:p>
    <w:p w14:paraId="0C5D0524" w14:textId="77777777" w:rsidR="0006511E" w:rsidRDefault="0006511E" w:rsidP="006B2B2D">
      <w:pPr>
        <w:pStyle w:val="SingleTxtG"/>
        <w:ind w:firstLine="567"/>
        <w:rPr>
          <w:lang w:val="fr-FR"/>
        </w:rPr>
      </w:pPr>
      <w:r w:rsidRPr="00E83253">
        <w:rPr>
          <w:lang w:val="fr-FR"/>
        </w:rPr>
        <w:tab/>
        <w:t>Le (la) Président(e) prononce l</w:t>
      </w:r>
      <w:r>
        <w:rPr>
          <w:lang w:val="fr-FR"/>
        </w:rPr>
        <w:t>’</w:t>
      </w:r>
      <w:r w:rsidRPr="00E83253">
        <w:rPr>
          <w:lang w:val="fr-FR"/>
        </w:rPr>
        <w:t>ouverture et la clôture de chaque session, dirige les débats, assure l</w:t>
      </w:r>
      <w:r>
        <w:rPr>
          <w:lang w:val="fr-FR"/>
        </w:rPr>
        <w:t>’</w:t>
      </w:r>
      <w:r w:rsidRPr="00E83253">
        <w:rPr>
          <w:lang w:val="fr-FR"/>
        </w:rPr>
        <w:t>application du présent règlement, donne la parole, met les questions aux voix et proclame les décisions. Le (la) Président(e) peut également rappeler un orateur à l</w:t>
      </w:r>
      <w:r>
        <w:rPr>
          <w:lang w:val="fr-FR"/>
        </w:rPr>
        <w:t>’</w:t>
      </w:r>
      <w:r w:rsidRPr="00E83253">
        <w:rPr>
          <w:lang w:val="fr-FR"/>
        </w:rPr>
        <w:t>ordre lorsque celui-ci s</w:t>
      </w:r>
      <w:r>
        <w:rPr>
          <w:lang w:val="fr-FR"/>
        </w:rPr>
        <w:t>’</w:t>
      </w:r>
      <w:r w:rsidRPr="00E83253">
        <w:rPr>
          <w:lang w:val="fr-FR"/>
        </w:rPr>
        <w:t xml:space="preserve">écarte du sujet de la discussion. Il (elle) peut limiter le temps de parole de chaque orateur. </w:t>
      </w:r>
    </w:p>
    <w:p w14:paraId="3CA5A244" w14:textId="08691B8D" w:rsidR="0006511E" w:rsidRDefault="006B2B2D" w:rsidP="0072220F">
      <w:pPr>
        <w:pStyle w:val="H23G"/>
        <w:rPr>
          <w:lang w:val="fr-FR"/>
        </w:rPr>
      </w:pPr>
      <w:r>
        <w:rPr>
          <w:lang w:val="fr-FR"/>
        </w:rPr>
        <w:tab/>
      </w:r>
      <w:r>
        <w:rPr>
          <w:lang w:val="fr-FR"/>
        </w:rPr>
        <w:tab/>
        <w:t>Article </w:t>
      </w:r>
      <w:r w:rsidR="0006511E" w:rsidRPr="00E83253">
        <w:rPr>
          <w:lang w:val="fr-FR"/>
        </w:rPr>
        <w:t>23</w:t>
      </w:r>
    </w:p>
    <w:p w14:paraId="24770517" w14:textId="06541A0A" w:rsidR="0006511E" w:rsidRPr="00E83253" w:rsidRDefault="0006511E" w:rsidP="006B2B2D">
      <w:pPr>
        <w:pStyle w:val="SingleTxtG"/>
        <w:ind w:firstLine="567"/>
        <w:rPr>
          <w:color w:val="000000"/>
          <w:szCs w:val="22"/>
          <w:u w:val="single"/>
          <w:lang w:val="fr-FR"/>
        </w:rPr>
      </w:pPr>
      <w:r w:rsidRPr="00E83253">
        <w:rPr>
          <w:lang w:val="fr-FR"/>
        </w:rPr>
        <w:tab/>
        <w:t>À la fin de chaque session, le WP.15 adopte un rapport sur la base d</w:t>
      </w:r>
      <w:r>
        <w:rPr>
          <w:lang w:val="fr-FR"/>
        </w:rPr>
        <w:t>’</w:t>
      </w:r>
      <w:r w:rsidRPr="00E83253">
        <w:rPr>
          <w:lang w:val="fr-FR"/>
        </w:rPr>
        <w:t>un projet élaboré par le secrétariat.</w:t>
      </w:r>
    </w:p>
    <w:p w14:paraId="050B0931" w14:textId="52CF4DAD" w:rsidR="0006511E" w:rsidRDefault="006B2B2D" w:rsidP="0072220F">
      <w:pPr>
        <w:pStyle w:val="H23G"/>
        <w:rPr>
          <w:lang w:val="fr-FR"/>
        </w:rPr>
      </w:pPr>
      <w:r>
        <w:rPr>
          <w:lang w:val="fr-FR"/>
        </w:rPr>
        <w:tab/>
      </w:r>
      <w:r>
        <w:rPr>
          <w:lang w:val="fr-FR"/>
        </w:rPr>
        <w:tab/>
        <w:t>Article </w:t>
      </w:r>
      <w:r w:rsidR="0006511E" w:rsidRPr="00E83253">
        <w:rPr>
          <w:lang w:val="fr-FR"/>
        </w:rPr>
        <w:t>24</w:t>
      </w:r>
    </w:p>
    <w:p w14:paraId="41F8B696" w14:textId="77777777" w:rsidR="006B2B2D" w:rsidRDefault="0006511E" w:rsidP="006B2B2D">
      <w:pPr>
        <w:pStyle w:val="SingleTxtG"/>
        <w:ind w:firstLine="567"/>
        <w:rPr>
          <w:lang w:val="fr-FR"/>
        </w:rPr>
      </w:pPr>
      <w:r w:rsidRPr="00E83253">
        <w:rPr>
          <w:lang w:val="fr-FR"/>
        </w:rPr>
        <w:tab/>
        <w:t>Le (la) Président(e) peut décider, en consultation avec le secrétariat, de réduire la longueur d</w:t>
      </w:r>
      <w:r>
        <w:rPr>
          <w:lang w:val="fr-FR"/>
        </w:rPr>
        <w:t>’</w:t>
      </w:r>
      <w:r w:rsidRPr="00E83253">
        <w:rPr>
          <w:lang w:val="fr-FR"/>
        </w:rPr>
        <w:t>une session ou la reporter en cas de force majeure.</w:t>
      </w:r>
    </w:p>
    <w:p w14:paraId="3EF9F253" w14:textId="0CECC78B" w:rsidR="0006511E" w:rsidRDefault="006B2B2D" w:rsidP="006B2B2D">
      <w:pPr>
        <w:pStyle w:val="H23G"/>
        <w:rPr>
          <w:lang w:val="fr-FR"/>
        </w:rPr>
      </w:pPr>
      <w:r>
        <w:rPr>
          <w:lang w:val="fr-FR"/>
        </w:rPr>
        <w:tab/>
      </w:r>
      <w:r>
        <w:rPr>
          <w:lang w:val="fr-FR"/>
        </w:rPr>
        <w:tab/>
        <w:t>Article </w:t>
      </w:r>
      <w:r w:rsidR="0006511E" w:rsidRPr="00E83253">
        <w:rPr>
          <w:lang w:val="fr-FR"/>
        </w:rPr>
        <w:t>25</w:t>
      </w:r>
    </w:p>
    <w:p w14:paraId="15D23771" w14:textId="77777777" w:rsidR="0006511E" w:rsidRDefault="0006511E" w:rsidP="006B2B2D">
      <w:pPr>
        <w:pStyle w:val="SingleTxtG"/>
        <w:ind w:firstLine="567"/>
        <w:rPr>
          <w:lang w:val="fr-FR"/>
        </w:rPr>
      </w:pPr>
      <w:r w:rsidRPr="00E83253">
        <w:rPr>
          <w:lang w:val="fr-FR"/>
        </w:rPr>
        <w:tab/>
        <w:t>Au cours de la discussion de toute question, un(e) représentant(e) peut introduire une motion d</w:t>
      </w:r>
      <w:r>
        <w:rPr>
          <w:lang w:val="fr-FR"/>
        </w:rPr>
        <w:t>’</w:t>
      </w:r>
      <w:r w:rsidRPr="00E83253">
        <w:rPr>
          <w:lang w:val="fr-FR"/>
        </w:rPr>
        <w:t xml:space="preserve">ordre. </w:t>
      </w:r>
      <w:r w:rsidRPr="006B2B2D">
        <w:t>Dans</w:t>
      </w:r>
      <w:r w:rsidRPr="00E83253">
        <w:rPr>
          <w:lang w:val="fr-FR"/>
        </w:rPr>
        <w:t xml:space="preserve"> ce cas, le (la) Président(e) prend immédiatement une décision. Si elle est contestée, le (la) Président(e) la soumet aussitôt au vote. Cette décision reste acquise si la majorité ne se prononce pas contre elle.</w:t>
      </w:r>
    </w:p>
    <w:p w14:paraId="396AEC46" w14:textId="612E8A3E" w:rsidR="0006511E" w:rsidRDefault="006B2B2D" w:rsidP="006B2B2D">
      <w:pPr>
        <w:pStyle w:val="H23G"/>
        <w:rPr>
          <w:lang w:val="fr-FR"/>
        </w:rPr>
      </w:pPr>
      <w:r>
        <w:rPr>
          <w:lang w:val="fr-FR"/>
        </w:rPr>
        <w:tab/>
      </w:r>
      <w:r>
        <w:rPr>
          <w:lang w:val="fr-FR"/>
        </w:rPr>
        <w:tab/>
        <w:t>Article </w:t>
      </w:r>
      <w:r w:rsidR="0006511E" w:rsidRPr="00E83253">
        <w:rPr>
          <w:lang w:val="fr-FR"/>
        </w:rPr>
        <w:t>26</w:t>
      </w:r>
    </w:p>
    <w:p w14:paraId="55F718E3" w14:textId="77777777" w:rsidR="0006511E" w:rsidRDefault="0006511E" w:rsidP="006B2B2D">
      <w:pPr>
        <w:pStyle w:val="SingleTxtG"/>
        <w:ind w:firstLine="567"/>
        <w:rPr>
          <w:lang w:val="fr-FR"/>
        </w:rPr>
      </w:pPr>
      <w:r w:rsidRPr="00E83253">
        <w:rPr>
          <w:lang w:val="fr-FR"/>
        </w:rPr>
        <w:tab/>
        <w:t xml:space="preserve">Au cours de la discussion de toute question, un(e) représentant(e) peut demander </w:t>
      </w:r>
      <w:r w:rsidRPr="006B2B2D">
        <w:t>l’ajournement</w:t>
      </w:r>
      <w:r w:rsidRPr="00E83253">
        <w:rPr>
          <w:lang w:val="fr-FR"/>
        </w:rPr>
        <w:t xml:space="preserve"> du débat. Cette motion a priorité. Outre son auteur, un(e) représentant(e) est autorisé(e) à prendre la parole pour l</w:t>
      </w:r>
      <w:r>
        <w:rPr>
          <w:lang w:val="fr-FR"/>
        </w:rPr>
        <w:t>’</w:t>
      </w:r>
      <w:r w:rsidRPr="00E83253">
        <w:rPr>
          <w:lang w:val="fr-FR"/>
        </w:rPr>
        <w:t>appuyer et un autre pour en demander le rejet.</w:t>
      </w:r>
    </w:p>
    <w:p w14:paraId="4628A4D9" w14:textId="5FC3F796" w:rsidR="0006511E" w:rsidRDefault="006B2B2D" w:rsidP="006B2B2D">
      <w:pPr>
        <w:pStyle w:val="H23G"/>
        <w:rPr>
          <w:lang w:val="fr-FR"/>
        </w:rPr>
      </w:pPr>
      <w:r>
        <w:rPr>
          <w:lang w:val="fr-FR"/>
        </w:rPr>
        <w:tab/>
      </w:r>
      <w:r>
        <w:rPr>
          <w:lang w:val="fr-FR"/>
        </w:rPr>
        <w:tab/>
        <w:t>Article </w:t>
      </w:r>
      <w:r w:rsidR="0006511E" w:rsidRPr="00E83253">
        <w:rPr>
          <w:lang w:val="fr-FR"/>
        </w:rPr>
        <w:t>27</w:t>
      </w:r>
    </w:p>
    <w:p w14:paraId="20490328" w14:textId="77777777" w:rsidR="0006511E" w:rsidRDefault="0006511E" w:rsidP="006B2B2D">
      <w:pPr>
        <w:pStyle w:val="SingleTxtG"/>
        <w:ind w:firstLine="567"/>
        <w:rPr>
          <w:lang w:val="fr-FR"/>
        </w:rPr>
      </w:pPr>
      <w:r w:rsidRPr="00E83253">
        <w:rPr>
          <w:lang w:val="fr-FR"/>
        </w:rPr>
        <w:tab/>
        <w:t xml:space="preserve">Un(e) représentant(e) peut, à tout moment, demander la clôture du débat, même si un (une) autre représentant(e) a manifesté le désir de prendre la parole. Deux représentants au plus peuvent être </w:t>
      </w:r>
      <w:r w:rsidRPr="006B2B2D">
        <w:t>autorisés</w:t>
      </w:r>
      <w:r w:rsidRPr="00E83253">
        <w:rPr>
          <w:lang w:val="fr-FR"/>
        </w:rPr>
        <w:t xml:space="preserve"> à intervenir pour s</w:t>
      </w:r>
      <w:r>
        <w:rPr>
          <w:lang w:val="fr-FR"/>
        </w:rPr>
        <w:t>’</w:t>
      </w:r>
      <w:r w:rsidRPr="00E83253">
        <w:rPr>
          <w:lang w:val="fr-FR"/>
        </w:rPr>
        <w:t>opposer à la clôture.</w:t>
      </w:r>
    </w:p>
    <w:p w14:paraId="391B11DE" w14:textId="5FF79B03" w:rsidR="0006511E" w:rsidRDefault="006B2B2D" w:rsidP="006B2B2D">
      <w:pPr>
        <w:pStyle w:val="H23G"/>
        <w:rPr>
          <w:lang w:val="fr-FR"/>
        </w:rPr>
      </w:pPr>
      <w:r>
        <w:rPr>
          <w:lang w:val="fr-FR"/>
        </w:rPr>
        <w:lastRenderedPageBreak/>
        <w:tab/>
      </w:r>
      <w:r>
        <w:rPr>
          <w:lang w:val="fr-FR"/>
        </w:rPr>
        <w:tab/>
        <w:t>Article </w:t>
      </w:r>
      <w:r w:rsidR="0006511E" w:rsidRPr="00E83253">
        <w:rPr>
          <w:lang w:val="fr-FR"/>
        </w:rPr>
        <w:t>28</w:t>
      </w:r>
    </w:p>
    <w:p w14:paraId="5E894591" w14:textId="77777777" w:rsidR="0006511E" w:rsidRDefault="0006511E" w:rsidP="006B2B2D">
      <w:pPr>
        <w:pStyle w:val="SingleTxtG"/>
        <w:ind w:firstLine="567"/>
        <w:rPr>
          <w:lang w:val="fr-FR"/>
        </w:rPr>
      </w:pPr>
      <w:r w:rsidRPr="00E83253">
        <w:rPr>
          <w:lang w:val="fr-FR"/>
        </w:rPr>
        <w:tab/>
        <w:t>Le (la) Président(e) consulte le WP.15 sur la motion de clôture. Si le WP.15 approuve la motion, le (la) Président(e) prononce la clôture du débat</w:t>
      </w:r>
    </w:p>
    <w:p w14:paraId="27E46DA8" w14:textId="34024CB0" w:rsidR="0006511E" w:rsidRDefault="006B2B2D" w:rsidP="006B2B2D">
      <w:pPr>
        <w:pStyle w:val="H23G"/>
        <w:rPr>
          <w:lang w:val="fr-FR"/>
        </w:rPr>
      </w:pPr>
      <w:r>
        <w:rPr>
          <w:lang w:val="fr-FR"/>
        </w:rPr>
        <w:tab/>
      </w:r>
      <w:r>
        <w:rPr>
          <w:lang w:val="fr-FR"/>
        </w:rPr>
        <w:tab/>
        <w:t>Article </w:t>
      </w:r>
      <w:r w:rsidR="0006511E" w:rsidRPr="00E83253">
        <w:rPr>
          <w:lang w:val="fr-FR"/>
        </w:rPr>
        <w:t>29</w:t>
      </w:r>
    </w:p>
    <w:p w14:paraId="014F9D07" w14:textId="77777777" w:rsidR="0006511E" w:rsidRDefault="0006511E" w:rsidP="006B2B2D">
      <w:pPr>
        <w:pStyle w:val="SingleTxtG"/>
        <w:ind w:firstLine="567"/>
        <w:rPr>
          <w:lang w:val="fr-FR"/>
        </w:rPr>
      </w:pPr>
      <w:r w:rsidRPr="00E83253">
        <w:rPr>
          <w:lang w:val="fr-FR"/>
        </w:rPr>
        <w:tab/>
        <w:t>Les motions et résolutions importantes sont mises aux voix dans l</w:t>
      </w:r>
      <w:r>
        <w:rPr>
          <w:lang w:val="fr-FR"/>
        </w:rPr>
        <w:t>’</w:t>
      </w:r>
      <w:r w:rsidRPr="00E83253">
        <w:rPr>
          <w:lang w:val="fr-FR"/>
        </w:rPr>
        <w:t>ordre où elles ont été présentées, à moins que le WP.15 n</w:t>
      </w:r>
      <w:r>
        <w:rPr>
          <w:lang w:val="fr-FR"/>
        </w:rPr>
        <w:t>’</w:t>
      </w:r>
      <w:r w:rsidRPr="00E83253">
        <w:rPr>
          <w:lang w:val="fr-FR"/>
        </w:rPr>
        <w:t>en décide autrement.</w:t>
      </w:r>
    </w:p>
    <w:p w14:paraId="6A4DFE1E" w14:textId="02A274D2" w:rsidR="0006511E" w:rsidRDefault="006B2B2D" w:rsidP="006B2B2D">
      <w:pPr>
        <w:pStyle w:val="H23G"/>
        <w:rPr>
          <w:lang w:val="fr-FR"/>
        </w:rPr>
      </w:pPr>
      <w:r>
        <w:rPr>
          <w:lang w:val="fr-FR"/>
        </w:rPr>
        <w:tab/>
      </w:r>
      <w:r>
        <w:rPr>
          <w:lang w:val="fr-FR"/>
        </w:rPr>
        <w:tab/>
        <w:t>Article </w:t>
      </w:r>
      <w:r w:rsidR="0006511E" w:rsidRPr="00E83253">
        <w:rPr>
          <w:lang w:val="fr-FR"/>
        </w:rPr>
        <w:t>30</w:t>
      </w:r>
    </w:p>
    <w:p w14:paraId="4D1AB6B7" w14:textId="77777777" w:rsidR="0006511E" w:rsidRDefault="0006511E" w:rsidP="006B2B2D">
      <w:pPr>
        <w:pStyle w:val="SingleTxtG"/>
        <w:ind w:firstLine="567"/>
        <w:rPr>
          <w:lang w:val="fr-FR"/>
        </w:rPr>
      </w:pPr>
      <w:r w:rsidRPr="00E83253">
        <w:rPr>
          <w:lang w:val="fr-FR"/>
        </w:rPr>
        <w:tab/>
        <w:t>Lorsqu</w:t>
      </w:r>
      <w:r>
        <w:rPr>
          <w:lang w:val="fr-FR"/>
        </w:rPr>
        <w:t>’</w:t>
      </w:r>
      <w:r w:rsidRPr="00E83253">
        <w:rPr>
          <w:lang w:val="fr-FR"/>
        </w:rPr>
        <w:t>un amendement comporte une révision, une addition ou une suppression intéressant une proposition, le WP.15 vote d</w:t>
      </w:r>
      <w:r>
        <w:rPr>
          <w:lang w:val="fr-FR"/>
        </w:rPr>
        <w:t>’</w:t>
      </w:r>
      <w:r w:rsidRPr="00E83253">
        <w:rPr>
          <w:lang w:val="fr-FR"/>
        </w:rPr>
        <w:t>abord sur cet amendement et, s</w:t>
      </w:r>
      <w:r>
        <w:rPr>
          <w:lang w:val="fr-FR"/>
        </w:rPr>
        <w:t>’</w:t>
      </w:r>
      <w:r w:rsidRPr="00E83253">
        <w:rPr>
          <w:lang w:val="fr-FR"/>
        </w:rPr>
        <w:t xml:space="preserve">il est adopté, vote ensuite sur la </w:t>
      </w:r>
      <w:r w:rsidRPr="006B2B2D">
        <w:t>proposition</w:t>
      </w:r>
      <w:r w:rsidRPr="00E83253">
        <w:rPr>
          <w:lang w:val="fr-FR"/>
        </w:rPr>
        <w:t xml:space="preserve"> modifiée.</w:t>
      </w:r>
    </w:p>
    <w:p w14:paraId="7EF41547" w14:textId="1441F578" w:rsidR="0006511E" w:rsidRDefault="006B2B2D" w:rsidP="006B2B2D">
      <w:pPr>
        <w:pStyle w:val="H23G"/>
        <w:rPr>
          <w:lang w:val="fr-FR"/>
        </w:rPr>
      </w:pPr>
      <w:r>
        <w:rPr>
          <w:lang w:val="fr-FR"/>
        </w:rPr>
        <w:tab/>
      </w:r>
      <w:r>
        <w:rPr>
          <w:lang w:val="fr-FR"/>
        </w:rPr>
        <w:tab/>
        <w:t>Article </w:t>
      </w:r>
      <w:r w:rsidR="0006511E" w:rsidRPr="00E83253">
        <w:rPr>
          <w:lang w:val="fr-FR"/>
        </w:rPr>
        <w:t>31</w:t>
      </w:r>
    </w:p>
    <w:p w14:paraId="74E13E2D" w14:textId="77777777" w:rsidR="0006511E" w:rsidRPr="00E83253" w:rsidRDefault="0006511E" w:rsidP="006B2B2D">
      <w:pPr>
        <w:pStyle w:val="SingleTxtG"/>
        <w:ind w:firstLine="567"/>
        <w:rPr>
          <w:lang w:val="fr-FR"/>
        </w:rPr>
      </w:pPr>
      <w:r w:rsidRPr="00E83253">
        <w:rPr>
          <w:lang w:val="fr-FR"/>
        </w:rPr>
        <w:t>Si deux ou plusieurs amendements à une proposition sont présentés, le WP.15 vote d</w:t>
      </w:r>
      <w:r>
        <w:rPr>
          <w:lang w:val="fr-FR"/>
        </w:rPr>
        <w:t>’</w:t>
      </w:r>
      <w:r w:rsidRPr="00E83253">
        <w:rPr>
          <w:lang w:val="fr-FR"/>
        </w:rPr>
        <w:t>abord sur celui qui s</w:t>
      </w:r>
      <w:r>
        <w:rPr>
          <w:lang w:val="fr-FR"/>
        </w:rPr>
        <w:t>’</w:t>
      </w:r>
      <w:r w:rsidRPr="00E83253">
        <w:rPr>
          <w:lang w:val="fr-FR"/>
        </w:rPr>
        <w:t>éloigne le plus, quant au fond, de la proposition primitive. Il vote ensuite, s</w:t>
      </w:r>
      <w:r>
        <w:rPr>
          <w:lang w:val="fr-FR"/>
        </w:rPr>
        <w:t>’</w:t>
      </w:r>
      <w:r w:rsidRPr="00E83253">
        <w:rPr>
          <w:lang w:val="fr-FR"/>
        </w:rPr>
        <w:t xml:space="preserve">il y a lieu, sur </w:t>
      </w:r>
      <w:r w:rsidRPr="006B2B2D">
        <w:t>l’amendement</w:t>
      </w:r>
      <w:r w:rsidRPr="00E83253">
        <w:rPr>
          <w:lang w:val="fr-FR"/>
        </w:rPr>
        <w:t xml:space="preserve"> qui, après celui-ci, s</w:t>
      </w:r>
      <w:r>
        <w:rPr>
          <w:lang w:val="fr-FR"/>
        </w:rPr>
        <w:t>’</w:t>
      </w:r>
      <w:r w:rsidRPr="00E83253">
        <w:rPr>
          <w:lang w:val="fr-FR"/>
        </w:rPr>
        <w:t>éloigne le plus de ladite proposition, et ainsi de suite jusqu</w:t>
      </w:r>
      <w:r>
        <w:rPr>
          <w:lang w:val="fr-FR"/>
        </w:rPr>
        <w:t>’</w:t>
      </w:r>
      <w:r w:rsidRPr="00E83253">
        <w:rPr>
          <w:lang w:val="fr-FR"/>
        </w:rPr>
        <w:t>à ce que tous les amendements aient été mis aux voix.</w:t>
      </w:r>
    </w:p>
    <w:p w14:paraId="001B2815" w14:textId="68FBC726" w:rsidR="0006511E" w:rsidRDefault="006B2B2D" w:rsidP="006B2B2D">
      <w:pPr>
        <w:pStyle w:val="H23G"/>
        <w:rPr>
          <w:lang w:val="fr-FR"/>
        </w:rPr>
      </w:pPr>
      <w:r>
        <w:rPr>
          <w:lang w:val="fr-FR"/>
        </w:rPr>
        <w:tab/>
      </w:r>
      <w:r>
        <w:rPr>
          <w:lang w:val="fr-FR"/>
        </w:rPr>
        <w:tab/>
        <w:t>Article </w:t>
      </w:r>
      <w:r w:rsidR="0006511E" w:rsidRPr="00E83253">
        <w:rPr>
          <w:lang w:val="fr-FR"/>
        </w:rPr>
        <w:t>32</w:t>
      </w:r>
    </w:p>
    <w:p w14:paraId="2CDD581D" w14:textId="77777777" w:rsidR="0006511E" w:rsidRDefault="0006511E" w:rsidP="006B2B2D">
      <w:pPr>
        <w:pStyle w:val="SingleTxtG"/>
        <w:ind w:firstLine="567"/>
        <w:rPr>
          <w:lang w:val="fr-FR"/>
        </w:rPr>
      </w:pPr>
      <w:r w:rsidRPr="00E83253">
        <w:rPr>
          <w:lang w:val="fr-FR"/>
        </w:rPr>
        <w:tab/>
        <w:t>Le WP.15 peut décider, à la demande d</w:t>
      </w:r>
      <w:r>
        <w:rPr>
          <w:lang w:val="fr-FR"/>
        </w:rPr>
        <w:t>’</w:t>
      </w:r>
      <w:r w:rsidRPr="00E83253">
        <w:rPr>
          <w:lang w:val="fr-FR"/>
        </w:rPr>
        <w:t>un(e) représentant(e), qu</w:t>
      </w:r>
      <w:r>
        <w:rPr>
          <w:lang w:val="fr-FR"/>
        </w:rPr>
        <w:t>’</w:t>
      </w:r>
      <w:r w:rsidRPr="00E83253">
        <w:rPr>
          <w:lang w:val="fr-FR"/>
        </w:rPr>
        <w:t xml:space="preserve">une motion ou résolution sera mise </w:t>
      </w:r>
      <w:r w:rsidRPr="006B2B2D">
        <w:t>aux</w:t>
      </w:r>
      <w:r w:rsidRPr="00E83253">
        <w:rPr>
          <w:lang w:val="fr-FR"/>
        </w:rPr>
        <w:t xml:space="preserve"> voix par sections. Dans ce cas, le texte constitué par l</w:t>
      </w:r>
      <w:r>
        <w:rPr>
          <w:lang w:val="fr-FR"/>
        </w:rPr>
        <w:t>’</w:t>
      </w:r>
      <w:r w:rsidRPr="00E83253">
        <w:rPr>
          <w:lang w:val="fr-FR"/>
        </w:rPr>
        <w:t>ensemble des sections adoptées est ensuite mis aux voix dans son ensemble.</w:t>
      </w:r>
    </w:p>
    <w:p w14:paraId="497A2594" w14:textId="7AEA606E" w:rsidR="0006511E" w:rsidRDefault="006B2B2D" w:rsidP="006B2B2D">
      <w:pPr>
        <w:pStyle w:val="H23G"/>
        <w:rPr>
          <w:lang w:val="fr-FR"/>
        </w:rPr>
      </w:pPr>
      <w:r>
        <w:rPr>
          <w:lang w:val="fr-FR"/>
        </w:rPr>
        <w:tab/>
      </w:r>
      <w:r>
        <w:rPr>
          <w:lang w:val="fr-FR"/>
        </w:rPr>
        <w:tab/>
        <w:t>Article </w:t>
      </w:r>
      <w:r w:rsidR="0006511E" w:rsidRPr="00E83253">
        <w:rPr>
          <w:lang w:val="fr-FR"/>
        </w:rPr>
        <w:t>33</w:t>
      </w:r>
    </w:p>
    <w:p w14:paraId="6E0087F6" w14:textId="77777777" w:rsidR="0006511E" w:rsidRDefault="0006511E" w:rsidP="006B2B2D">
      <w:pPr>
        <w:pStyle w:val="SingleTxtG"/>
        <w:ind w:firstLine="567"/>
        <w:rPr>
          <w:lang w:val="fr-FR"/>
        </w:rPr>
      </w:pPr>
      <w:r w:rsidRPr="00E83253">
        <w:rPr>
          <w:lang w:val="fr-FR"/>
        </w:rPr>
        <w:tab/>
        <w:t xml:space="preserve">Chaque </w:t>
      </w:r>
      <w:r w:rsidRPr="006B2B2D">
        <w:t>représentant</w:t>
      </w:r>
      <w:r w:rsidRPr="00E83253">
        <w:rPr>
          <w:lang w:val="fr-FR"/>
        </w:rPr>
        <w:t>(e) a le droit de déclarer sa position et peut demander qu</w:t>
      </w:r>
      <w:r>
        <w:rPr>
          <w:lang w:val="fr-FR"/>
        </w:rPr>
        <w:t>’</w:t>
      </w:r>
      <w:r w:rsidRPr="00E83253">
        <w:rPr>
          <w:lang w:val="fr-FR"/>
        </w:rPr>
        <w:t>elle soit reflétée, sous une forme résumée, dans le rapport de la session.</w:t>
      </w:r>
    </w:p>
    <w:p w14:paraId="2A48C811" w14:textId="515A3534" w:rsidR="0006511E" w:rsidRPr="00E83253" w:rsidRDefault="006B2B2D" w:rsidP="006B2B2D">
      <w:pPr>
        <w:pStyle w:val="H1G"/>
        <w:rPr>
          <w:color w:val="000000"/>
          <w:sz w:val="22"/>
          <w:szCs w:val="22"/>
          <w:lang w:val="fr-FR"/>
        </w:rPr>
      </w:pPr>
      <w:r>
        <w:rPr>
          <w:lang w:val="fr-FR"/>
        </w:rPr>
        <w:tab/>
      </w:r>
      <w:r>
        <w:rPr>
          <w:lang w:val="fr-FR"/>
        </w:rPr>
        <w:tab/>
      </w:r>
      <w:r w:rsidR="0006511E" w:rsidRPr="00E83253">
        <w:rPr>
          <w:lang w:val="fr-FR"/>
        </w:rPr>
        <w:t>Chapitre VIII</w:t>
      </w:r>
      <w:r>
        <w:rPr>
          <w:lang w:val="fr-FR"/>
        </w:rPr>
        <w:t> − </w:t>
      </w:r>
      <w:r w:rsidR="0006511E" w:rsidRPr="00E83253">
        <w:rPr>
          <w:lang w:val="fr-FR"/>
        </w:rPr>
        <w:t>Vote</w:t>
      </w:r>
    </w:p>
    <w:p w14:paraId="453002C7" w14:textId="7C6A9337" w:rsidR="0006511E" w:rsidRDefault="006B2B2D" w:rsidP="006B2B2D">
      <w:pPr>
        <w:pStyle w:val="H23G"/>
        <w:rPr>
          <w:lang w:val="fr-FR"/>
        </w:rPr>
      </w:pPr>
      <w:r>
        <w:rPr>
          <w:lang w:val="fr-FR"/>
        </w:rPr>
        <w:tab/>
      </w:r>
      <w:r>
        <w:rPr>
          <w:lang w:val="fr-FR"/>
        </w:rPr>
        <w:tab/>
        <w:t>Article </w:t>
      </w:r>
      <w:r w:rsidR="0006511E" w:rsidRPr="00E83253">
        <w:rPr>
          <w:lang w:val="fr-FR"/>
        </w:rPr>
        <w:t>34</w:t>
      </w:r>
    </w:p>
    <w:p w14:paraId="5DE75486" w14:textId="77777777" w:rsidR="0006511E" w:rsidRDefault="0006511E" w:rsidP="006B2B2D">
      <w:pPr>
        <w:pStyle w:val="SingleTxtG"/>
        <w:ind w:firstLine="567"/>
        <w:rPr>
          <w:lang w:val="fr-FR"/>
        </w:rPr>
      </w:pPr>
      <w:r w:rsidRPr="00E83253">
        <w:rPr>
          <w:lang w:val="fr-FR"/>
        </w:rPr>
        <w:tab/>
        <w:t xml:space="preserve">Les </w:t>
      </w:r>
      <w:r w:rsidRPr="006B2B2D">
        <w:t>participants</w:t>
      </w:r>
      <w:r w:rsidRPr="00E83253">
        <w:rPr>
          <w:lang w:val="fr-FR"/>
        </w:rPr>
        <w:t xml:space="preserve"> de plein droit disposent d</w:t>
      </w:r>
      <w:r>
        <w:rPr>
          <w:lang w:val="fr-FR"/>
        </w:rPr>
        <w:t>’</w:t>
      </w:r>
      <w:r w:rsidRPr="00E83253">
        <w:rPr>
          <w:lang w:val="fr-FR"/>
        </w:rPr>
        <w:t xml:space="preserve">une voix dans le vote au sein du WP.15. </w:t>
      </w:r>
    </w:p>
    <w:p w14:paraId="09A5A344" w14:textId="24DD6645" w:rsidR="0006511E" w:rsidRDefault="006B2B2D" w:rsidP="006B2B2D">
      <w:pPr>
        <w:pStyle w:val="H23G"/>
        <w:rPr>
          <w:lang w:val="fr-FR"/>
        </w:rPr>
      </w:pPr>
      <w:r>
        <w:rPr>
          <w:lang w:val="fr-FR"/>
        </w:rPr>
        <w:tab/>
      </w:r>
      <w:r>
        <w:rPr>
          <w:lang w:val="fr-FR"/>
        </w:rPr>
        <w:tab/>
        <w:t>Article </w:t>
      </w:r>
      <w:r w:rsidR="0006511E" w:rsidRPr="00E83253">
        <w:rPr>
          <w:lang w:val="fr-FR"/>
        </w:rPr>
        <w:t>35</w:t>
      </w:r>
    </w:p>
    <w:p w14:paraId="32752A9E" w14:textId="1D0CA406" w:rsidR="0006511E" w:rsidRDefault="0006511E" w:rsidP="006B2B2D">
      <w:pPr>
        <w:pStyle w:val="SingleTxtG"/>
        <w:ind w:firstLine="567"/>
        <w:rPr>
          <w:lang w:val="fr-FR"/>
        </w:rPr>
      </w:pPr>
      <w:r w:rsidRPr="00E83253">
        <w:rPr>
          <w:lang w:val="fr-FR"/>
        </w:rPr>
        <w:tab/>
        <w:t>Les décisions du WP.15 sont prises, prioritairement, sur la base d</w:t>
      </w:r>
      <w:r>
        <w:rPr>
          <w:lang w:val="fr-FR"/>
        </w:rPr>
        <w:t>’</w:t>
      </w:r>
      <w:r w:rsidRPr="00E83253">
        <w:rPr>
          <w:lang w:val="fr-FR"/>
        </w:rPr>
        <w:t xml:space="preserve">un consensus. </w:t>
      </w:r>
      <w:r w:rsidR="00366B3D">
        <w:rPr>
          <w:lang w:val="fr-FR"/>
        </w:rPr>
        <w:t>À </w:t>
      </w:r>
      <w:r w:rsidRPr="00E83253">
        <w:rPr>
          <w:lang w:val="fr-FR"/>
        </w:rPr>
        <w:t xml:space="preserve">défaut, elles sont prises à la majorité des participants de plein droit, présents et votants. Les décisions relatives à </w:t>
      </w:r>
      <w:r w:rsidRPr="006B2B2D">
        <w:t>un</w:t>
      </w:r>
      <w:r w:rsidRPr="00E83253">
        <w:rPr>
          <w:lang w:val="fr-FR"/>
        </w:rPr>
        <w:t xml:space="preserve"> instrument juridique en vigueur ne doivent être prises qu</w:t>
      </w:r>
      <w:r>
        <w:rPr>
          <w:lang w:val="fr-FR"/>
        </w:rPr>
        <w:t>’</w:t>
      </w:r>
      <w:r w:rsidRPr="00E83253">
        <w:rPr>
          <w:lang w:val="fr-FR"/>
        </w:rPr>
        <w:t>en présence d</w:t>
      </w:r>
      <w:r>
        <w:rPr>
          <w:lang w:val="fr-FR"/>
        </w:rPr>
        <w:t>’</w:t>
      </w:r>
      <w:r w:rsidRPr="00E83253">
        <w:rPr>
          <w:lang w:val="fr-FR"/>
        </w:rPr>
        <w:t>au moins un tiers des Parties contractantes, et à condition que le nombre de voix positives soit au moins égal au tiers des participants de plein droit représentés lors du vote.</w:t>
      </w:r>
    </w:p>
    <w:p w14:paraId="53F0AABE" w14:textId="5E337D43" w:rsidR="0006511E" w:rsidRDefault="006B2B2D" w:rsidP="006B2B2D">
      <w:pPr>
        <w:pStyle w:val="H23G"/>
        <w:rPr>
          <w:lang w:val="fr-FR"/>
        </w:rPr>
      </w:pPr>
      <w:r>
        <w:rPr>
          <w:lang w:val="fr-FR"/>
        </w:rPr>
        <w:tab/>
      </w:r>
      <w:r>
        <w:rPr>
          <w:lang w:val="fr-FR"/>
        </w:rPr>
        <w:tab/>
        <w:t>Article </w:t>
      </w:r>
      <w:r w:rsidR="0006511E" w:rsidRPr="00E83253">
        <w:rPr>
          <w:lang w:val="fr-FR"/>
        </w:rPr>
        <w:t>36</w:t>
      </w:r>
    </w:p>
    <w:p w14:paraId="52D30F78" w14:textId="77777777" w:rsidR="0006511E" w:rsidRDefault="0006511E" w:rsidP="006B2B2D">
      <w:pPr>
        <w:pStyle w:val="SingleTxtG"/>
        <w:ind w:firstLine="567"/>
        <w:rPr>
          <w:lang w:val="fr-FR"/>
        </w:rPr>
      </w:pPr>
      <w:r w:rsidRPr="00E83253">
        <w:rPr>
          <w:lang w:val="fr-FR"/>
        </w:rPr>
        <w:tab/>
        <w:t>Les votes du WP.15 ont lieu normalement à main levée. Si un(e) représentant(e) demande qu</w:t>
      </w:r>
      <w:r>
        <w:rPr>
          <w:lang w:val="fr-FR"/>
        </w:rPr>
        <w:t>’</w:t>
      </w:r>
      <w:r w:rsidRPr="00E83253">
        <w:rPr>
          <w:lang w:val="fr-FR"/>
        </w:rPr>
        <w:t xml:space="preserve">il soit </w:t>
      </w:r>
      <w:r w:rsidRPr="006B2B2D">
        <w:t>procédé</w:t>
      </w:r>
      <w:r w:rsidRPr="00E83253">
        <w:rPr>
          <w:lang w:val="fr-FR"/>
        </w:rPr>
        <w:t xml:space="preserve"> à un scrutin par appel nominal, il en sera ainsi fait, et les noms des participants seront appelés dans l</w:t>
      </w:r>
      <w:r>
        <w:rPr>
          <w:lang w:val="fr-FR"/>
        </w:rPr>
        <w:t>’</w:t>
      </w:r>
      <w:r w:rsidRPr="00E83253">
        <w:rPr>
          <w:lang w:val="fr-FR"/>
        </w:rPr>
        <w:t>ordre alphabétique anglais.</w:t>
      </w:r>
    </w:p>
    <w:p w14:paraId="06053D46" w14:textId="164E7FBD" w:rsidR="0006511E" w:rsidRDefault="006B2B2D" w:rsidP="006B2B2D">
      <w:pPr>
        <w:pStyle w:val="H23G"/>
        <w:rPr>
          <w:lang w:val="fr-FR"/>
        </w:rPr>
      </w:pPr>
      <w:r>
        <w:rPr>
          <w:lang w:val="fr-FR"/>
        </w:rPr>
        <w:tab/>
      </w:r>
      <w:r>
        <w:rPr>
          <w:lang w:val="fr-FR"/>
        </w:rPr>
        <w:tab/>
        <w:t>Article </w:t>
      </w:r>
      <w:r w:rsidR="0006511E" w:rsidRPr="00E83253">
        <w:rPr>
          <w:lang w:val="fr-FR"/>
        </w:rPr>
        <w:t>37</w:t>
      </w:r>
    </w:p>
    <w:p w14:paraId="120C4F45" w14:textId="77777777" w:rsidR="0006511E" w:rsidRDefault="0006511E" w:rsidP="006B2B2D">
      <w:pPr>
        <w:pStyle w:val="SingleTxtG"/>
        <w:ind w:firstLine="567"/>
        <w:rPr>
          <w:lang w:val="fr-FR"/>
        </w:rPr>
      </w:pPr>
      <w:r w:rsidRPr="00E83253">
        <w:rPr>
          <w:b/>
          <w:lang w:val="fr-FR"/>
        </w:rPr>
        <w:tab/>
      </w:r>
      <w:r w:rsidRPr="00E83253">
        <w:rPr>
          <w:lang w:val="fr-FR"/>
        </w:rPr>
        <w:t>Toutes les élections se feront au scrutin secret à moins que, en l</w:t>
      </w:r>
      <w:r>
        <w:rPr>
          <w:lang w:val="fr-FR"/>
        </w:rPr>
        <w:t>’</w:t>
      </w:r>
      <w:r w:rsidRPr="00E83253">
        <w:rPr>
          <w:lang w:val="fr-FR"/>
        </w:rPr>
        <w:t>absence de toute objection, le WP.15 ne décide de nommer un(e) ou plusieurs candidat(s)(es) agréé(s)(es) sans procéder à un vote.</w:t>
      </w:r>
    </w:p>
    <w:p w14:paraId="10F0AF8F" w14:textId="483675E7" w:rsidR="0006511E" w:rsidRDefault="006B2B2D" w:rsidP="006B2B2D">
      <w:pPr>
        <w:pStyle w:val="H23G"/>
        <w:rPr>
          <w:lang w:val="fr-FR"/>
        </w:rPr>
      </w:pPr>
      <w:r>
        <w:rPr>
          <w:lang w:val="fr-FR"/>
        </w:rPr>
        <w:lastRenderedPageBreak/>
        <w:tab/>
      </w:r>
      <w:r>
        <w:rPr>
          <w:lang w:val="fr-FR"/>
        </w:rPr>
        <w:tab/>
        <w:t>Article </w:t>
      </w:r>
      <w:r w:rsidR="0006511E" w:rsidRPr="00E83253">
        <w:rPr>
          <w:lang w:val="fr-FR"/>
        </w:rPr>
        <w:t>38</w:t>
      </w:r>
    </w:p>
    <w:p w14:paraId="7C8BC069" w14:textId="77777777" w:rsidR="0006511E" w:rsidRDefault="0006511E" w:rsidP="006B2B2D">
      <w:pPr>
        <w:pStyle w:val="SingleTxtG"/>
        <w:ind w:firstLine="567"/>
        <w:rPr>
          <w:lang w:val="fr-FR"/>
        </w:rPr>
      </w:pPr>
      <w:r w:rsidRPr="00E83253">
        <w:rPr>
          <w:lang w:val="fr-FR"/>
        </w:rPr>
        <w:tab/>
        <w:t>Si, lors d</w:t>
      </w:r>
      <w:r>
        <w:rPr>
          <w:lang w:val="fr-FR"/>
        </w:rPr>
        <w:t>’</w:t>
      </w:r>
      <w:r w:rsidRPr="00E83253">
        <w:rPr>
          <w:lang w:val="fr-FR"/>
        </w:rPr>
        <w:t>un vote relatif à une question autre qu</w:t>
      </w:r>
      <w:r>
        <w:rPr>
          <w:lang w:val="fr-FR"/>
        </w:rPr>
        <w:t>’</w:t>
      </w:r>
      <w:r w:rsidRPr="00E83253">
        <w:rPr>
          <w:lang w:val="fr-FR"/>
        </w:rPr>
        <w:t xml:space="preserve">une élection, il y a partage égal des voix, le WP.15 </w:t>
      </w:r>
      <w:r w:rsidRPr="006B2B2D">
        <w:t>procède</w:t>
      </w:r>
      <w:r w:rsidRPr="00E83253">
        <w:rPr>
          <w:lang w:val="fr-FR"/>
        </w:rPr>
        <w:t xml:space="preserve"> à un second vote à la séance suivante. S</w:t>
      </w:r>
      <w:r>
        <w:rPr>
          <w:lang w:val="fr-FR"/>
        </w:rPr>
        <w:t>’</w:t>
      </w:r>
      <w:r w:rsidRPr="00E83253">
        <w:rPr>
          <w:lang w:val="fr-FR"/>
        </w:rPr>
        <w:t>il y a de nouveau partage égal des voix, la proposition est considérée comme rejetée.</w:t>
      </w:r>
    </w:p>
    <w:p w14:paraId="6E0EDE1C" w14:textId="6BBB0B28" w:rsidR="0006511E" w:rsidRDefault="006B2B2D" w:rsidP="006B2B2D">
      <w:pPr>
        <w:pStyle w:val="H1G"/>
        <w:rPr>
          <w:lang w:val="fr-FR"/>
        </w:rPr>
      </w:pPr>
      <w:r>
        <w:rPr>
          <w:lang w:val="fr-FR"/>
        </w:rPr>
        <w:tab/>
      </w:r>
      <w:r>
        <w:rPr>
          <w:lang w:val="fr-FR"/>
        </w:rPr>
        <w:tab/>
      </w:r>
      <w:r w:rsidR="0006511E" w:rsidRPr="00E83253">
        <w:rPr>
          <w:lang w:val="fr-FR"/>
        </w:rPr>
        <w:t>Chapitre IX</w:t>
      </w:r>
      <w:r>
        <w:rPr>
          <w:lang w:val="fr-FR"/>
        </w:rPr>
        <w:t> − </w:t>
      </w:r>
      <w:r w:rsidR="0006511E" w:rsidRPr="00E83253">
        <w:rPr>
          <w:lang w:val="fr-FR"/>
        </w:rPr>
        <w:t>Langues</w:t>
      </w:r>
    </w:p>
    <w:p w14:paraId="012DE5A9" w14:textId="24CC4653" w:rsidR="0006511E" w:rsidRDefault="006B2B2D" w:rsidP="006B2B2D">
      <w:pPr>
        <w:pStyle w:val="H23G"/>
        <w:rPr>
          <w:lang w:val="fr-FR"/>
        </w:rPr>
      </w:pPr>
      <w:r>
        <w:rPr>
          <w:lang w:val="fr-FR"/>
        </w:rPr>
        <w:tab/>
      </w:r>
      <w:r>
        <w:rPr>
          <w:lang w:val="fr-FR"/>
        </w:rPr>
        <w:tab/>
        <w:t>Article </w:t>
      </w:r>
      <w:r w:rsidR="0006511E" w:rsidRPr="00E83253">
        <w:rPr>
          <w:lang w:val="fr-FR"/>
        </w:rPr>
        <w:t>39</w:t>
      </w:r>
    </w:p>
    <w:p w14:paraId="58D03B17" w14:textId="78B57F2F" w:rsidR="0006511E" w:rsidRDefault="0006511E" w:rsidP="006B2B2D">
      <w:pPr>
        <w:pStyle w:val="SingleTxtG"/>
        <w:ind w:firstLine="567"/>
        <w:rPr>
          <w:lang w:val="fr-FR"/>
        </w:rPr>
      </w:pPr>
      <w:r w:rsidRPr="00E83253">
        <w:rPr>
          <w:lang w:val="fr-FR"/>
        </w:rPr>
        <w:tab/>
        <w:t>L</w:t>
      </w:r>
      <w:r>
        <w:rPr>
          <w:lang w:val="fr-FR"/>
        </w:rPr>
        <w:t>’</w:t>
      </w:r>
      <w:r w:rsidRPr="00E83253">
        <w:rPr>
          <w:lang w:val="fr-FR"/>
        </w:rPr>
        <w:t>anglais, le français et le russe sont les langues de travail du WP.15. Les</w:t>
      </w:r>
      <w:r w:rsidR="00366B3D">
        <w:rPr>
          <w:lang w:val="fr-FR"/>
        </w:rPr>
        <w:t> </w:t>
      </w:r>
      <w:r w:rsidRPr="00E83253">
        <w:rPr>
          <w:lang w:val="fr-FR"/>
        </w:rPr>
        <w:t>interventions faites dans l</w:t>
      </w:r>
      <w:r>
        <w:rPr>
          <w:lang w:val="fr-FR"/>
        </w:rPr>
        <w:t>’</w:t>
      </w:r>
      <w:r w:rsidRPr="00E83253">
        <w:rPr>
          <w:lang w:val="fr-FR"/>
        </w:rPr>
        <w:t xml:space="preserve">une des langues de travail sont interprétées dans les deux autres langues. </w:t>
      </w:r>
    </w:p>
    <w:p w14:paraId="4777D220" w14:textId="560DC9A8" w:rsidR="0006511E" w:rsidRDefault="006B2B2D" w:rsidP="006B2B2D">
      <w:pPr>
        <w:pStyle w:val="H1G"/>
        <w:rPr>
          <w:lang w:val="fr-FR"/>
        </w:rPr>
      </w:pPr>
      <w:r>
        <w:rPr>
          <w:lang w:val="fr-FR"/>
        </w:rPr>
        <w:tab/>
      </w:r>
      <w:r>
        <w:rPr>
          <w:lang w:val="fr-FR"/>
        </w:rPr>
        <w:tab/>
      </w:r>
      <w:r w:rsidR="0006511E" w:rsidRPr="00E83253">
        <w:rPr>
          <w:lang w:val="fr-FR"/>
        </w:rPr>
        <w:t>Chapitre X</w:t>
      </w:r>
      <w:r>
        <w:rPr>
          <w:lang w:val="fr-FR"/>
        </w:rPr>
        <w:t> − </w:t>
      </w:r>
      <w:r w:rsidR="0006511E" w:rsidRPr="00E83253">
        <w:rPr>
          <w:lang w:val="fr-FR"/>
        </w:rPr>
        <w:t xml:space="preserve">Sessions spéciales du groupe de travail </w:t>
      </w:r>
      <w:r>
        <w:rPr>
          <w:lang w:val="fr-FR"/>
        </w:rPr>
        <w:br/>
      </w:r>
      <w:r w:rsidR="0006511E" w:rsidRPr="00E83253">
        <w:rPr>
          <w:lang w:val="fr-FR"/>
        </w:rPr>
        <w:t>et groupes officieux</w:t>
      </w:r>
    </w:p>
    <w:p w14:paraId="4E3ACFE3" w14:textId="53874B42" w:rsidR="0006511E" w:rsidRDefault="006B2B2D" w:rsidP="006B2B2D">
      <w:pPr>
        <w:pStyle w:val="H23G"/>
        <w:rPr>
          <w:lang w:val="fr-FR"/>
        </w:rPr>
      </w:pPr>
      <w:r>
        <w:rPr>
          <w:lang w:val="fr-FR"/>
        </w:rPr>
        <w:tab/>
      </w:r>
      <w:r>
        <w:rPr>
          <w:lang w:val="fr-FR"/>
        </w:rPr>
        <w:tab/>
        <w:t>Article </w:t>
      </w:r>
      <w:r w:rsidR="0006511E" w:rsidRPr="00E83253">
        <w:rPr>
          <w:lang w:val="fr-FR"/>
        </w:rPr>
        <w:t>40</w:t>
      </w:r>
    </w:p>
    <w:p w14:paraId="41461AE5" w14:textId="77777777" w:rsidR="0006511E" w:rsidRDefault="0006511E" w:rsidP="006B2B2D">
      <w:pPr>
        <w:pStyle w:val="SingleTxtG"/>
        <w:ind w:firstLine="567"/>
        <w:rPr>
          <w:lang w:val="fr-FR"/>
        </w:rPr>
      </w:pPr>
      <w:r w:rsidRPr="00E83253">
        <w:rPr>
          <w:lang w:val="fr-FR"/>
        </w:rPr>
        <w:tab/>
        <w:t>Les modifications de l</w:t>
      </w:r>
      <w:r>
        <w:rPr>
          <w:lang w:val="fr-FR"/>
        </w:rPr>
        <w:t>’</w:t>
      </w:r>
      <w:r w:rsidRPr="00E83253">
        <w:rPr>
          <w:lang w:val="fr-FR"/>
        </w:rPr>
        <w:t>ADR et de l</w:t>
      </w:r>
      <w:r>
        <w:rPr>
          <w:lang w:val="fr-FR"/>
        </w:rPr>
        <w:t>’</w:t>
      </w:r>
      <w:r w:rsidRPr="00E83253">
        <w:rPr>
          <w:lang w:val="fr-FR"/>
        </w:rPr>
        <w:t>ADN, pour lesquelles une harmonisation avec les dispositions concernant le transport des marchandises dangereuses par chemin de fer est nécessaire ou appropriée, sont préparées par la Réunion commune de la Commission d</w:t>
      </w:r>
      <w:r>
        <w:rPr>
          <w:lang w:val="fr-FR"/>
        </w:rPr>
        <w:t>’</w:t>
      </w:r>
      <w:r w:rsidRPr="00E83253">
        <w:rPr>
          <w:lang w:val="fr-FR"/>
        </w:rPr>
        <w:t>experts du RID de l</w:t>
      </w:r>
      <w:r>
        <w:rPr>
          <w:lang w:val="fr-FR"/>
        </w:rPr>
        <w:t>’</w:t>
      </w:r>
      <w:r w:rsidRPr="00E83253">
        <w:rPr>
          <w:lang w:val="fr-FR"/>
        </w:rPr>
        <w:t>Organisation intergouvernementale pour les transports internationaux ferroviaires (OTIF) et du WP.15 (Réunion commune RID/ADR/ADN) (WP.15/AC.1). Il est entendu que la coopération établie de longue date entre la CEE et l</w:t>
      </w:r>
      <w:r>
        <w:rPr>
          <w:lang w:val="fr-FR"/>
        </w:rPr>
        <w:t>’</w:t>
      </w:r>
      <w:r w:rsidRPr="00E83253">
        <w:rPr>
          <w:lang w:val="fr-FR"/>
        </w:rPr>
        <w:t>OTIF pour l</w:t>
      </w:r>
      <w:r>
        <w:rPr>
          <w:lang w:val="fr-FR"/>
        </w:rPr>
        <w:t>’</w:t>
      </w:r>
      <w:r w:rsidRPr="00E83253">
        <w:rPr>
          <w:lang w:val="fr-FR"/>
        </w:rPr>
        <w:t xml:space="preserve">organisation de cette </w:t>
      </w:r>
      <w:r w:rsidRPr="006B2B2D">
        <w:t>réunion</w:t>
      </w:r>
      <w:r w:rsidRPr="00E83253">
        <w:rPr>
          <w:lang w:val="fr-FR"/>
        </w:rPr>
        <w:t xml:space="preserve"> commune peut être étendue à d</w:t>
      </w:r>
      <w:r>
        <w:rPr>
          <w:lang w:val="fr-FR"/>
        </w:rPr>
        <w:t>’</w:t>
      </w:r>
      <w:r w:rsidRPr="00E83253">
        <w:rPr>
          <w:lang w:val="fr-FR"/>
        </w:rPr>
        <w:t>autres organisations intergouvernementales compétentes qui gèrent des accords internationaux relatifs au transport international ferroviaire de marchandises dangereuses applicables dans des pays qui sont parties contractantes à l</w:t>
      </w:r>
      <w:r>
        <w:rPr>
          <w:lang w:val="fr-FR"/>
        </w:rPr>
        <w:t>’</w:t>
      </w:r>
      <w:r w:rsidRPr="00E83253">
        <w:rPr>
          <w:lang w:val="fr-FR"/>
        </w:rPr>
        <w:t>ADR ou à l</w:t>
      </w:r>
      <w:r>
        <w:rPr>
          <w:lang w:val="fr-FR"/>
        </w:rPr>
        <w:t>’</w:t>
      </w:r>
      <w:r w:rsidRPr="00E83253">
        <w:rPr>
          <w:lang w:val="fr-FR"/>
        </w:rPr>
        <w:t xml:space="preserve">ADN. </w:t>
      </w:r>
    </w:p>
    <w:p w14:paraId="6305AB1E" w14:textId="5D6DB4B6" w:rsidR="0006511E" w:rsidRDefault="006B2B2D" w:rsidP="006B2B2D">
      <w:pPr>
        <w:pStyle w:val="H23G"/>
        <w:rPr>
          <w:lang w:val="fr-FR"/>
        </w:rPr>
      </w:pPr>
      <w:r>
        <w:rPr>
          <w:lang w:val="fr-FR"/>
        </w:rPr>
        <w:tab/>
      </w:r>
      <w:r>
        <w:rPr>
          <w:lang w:val="fr-FR"/>
        </w:rPr>
        <w:tab/>
        <w:t>Article </w:t>
      </w:r>
      <w:r w:rsidR="0006511E" w:rsidRPr="00E83253">
        <w:rPr>
          <w:lang w:val="fr-FR"/>
        </w:rPr>
        <w:t>41</w:t>
      </w:r>
    </w:p>
    <w:p w14:paraId="6B829C13" w14:textId="30056322" w:rsidR="0006511E" w:rsidRDefault="0006511E" w:rsidP="006B2B2D">
      <w:pPr>
        <w:pStyle w:val="SingleTxtG"/>
        <w:ind w:firstLine="567"/>
        <w:rPr>
          <w:lang w:val="fr-FR"/>
        </w:rPr>
      </w:pPr>
      <w:r w:rsidRPr="00E83253">
        <w:rPr>
          <w:lang w:val="fr-FR"/>
        </w:rPr>
        <w:tab/>
        <w:t>Les modifications du Règlement annexé à l</w:t>
      </w:r>
      <w:r>
        <w:rPr>
          <w:lang w:val="fr-FR"/>
        </w:rPr>
        <w:t>’</w:t>
      </w:r>
      <w:r w:rsidRPr="00E83253">
        <w:rPr>
          <w:lang w:val="fr-FR"/>
        </w:rPr>
        <w:t>ADN sont préparées par la Réunion conjointe d</w:t>
      </w:r>
      <w:r>
        <w:rPr>
          <w:lang w:val="fr-FR"/>
        </w:rPr>
        <w:t>’</w:t>
      </w:r>
      <w:r w:rsidRPr="00E83253">
        <w:rPr>
          <w:lang w:val="fr-FR"/>
        </w:rPr>
        <w:t>experts sur le Règlement annexé à l</w:t>
      </w:r>
      <w:r>
        <w:rPr>
          <w:lang w:val="fr-FR"/>
        </w:rPr>
        <w:t>’</w:t>
      </w:r>
      <w:r w:rsidRPr="00E83253">
        <w:rPr>
          <w:lang w:val="fr-FR"/>
        </w:rPr>
        <w:t>Accord européen relatif au transport international des marchandises dangereuses par voies de navigation intérieure (ADN) (Comité de sécurité de l</w:t>
      </w:r>
      <w:r>
        <w:rPr>
          <w:lang w:val="fr-FR"/>
        </w:rPr>
        <w:t>’</w:t>
      </w:r>
      <w:r w:rsidRPr="00E83253">
        <w:rPr>
          <w:lang w:val="fr-FR"/>
        </w:rPr>
        <w:t xml:space="preserve">ADN) organisée conjointement par la Commission centrale pour la navigation sur le Rhin (CCNR) et la CEE au cours de sessions spéciales du WP.15 (WP.15/AC.2). Il est entendu que, </w:t>
      </w:r>
      <w:r w:rsidRPr="006B2B2D">
        <w:t>conformément</w:t>
      </w:r>
      <w:r w:rsidRPr="00E83253">
        <w:rPr>
          <w:lang w:val="fr-FR"/>
        </w:rPr>
        <w:t xml:space="preserve"> à la Résolution adoptée le 25</w:t>
      </w:r>
      <w:r w:rsidR="002F04B5">
        <w:rPr>
          <w:lang w:val="fr-FR"/>
        </w:rPr>
        <w:t> </w:t>
      </w:r>
      <w:r w:rsidRPr="00E83253">
        <w:rPr>
          <w:lang w:val="fr-FR"/>
        </w:rPr>
        <w:t>mai 2000 par la Conférence diplomatique en vue de l</w:t>
      </w:r>
      <w:r>
        <w:rPr>
          <w:lang w:val="fr-FR"/>
        </w:rPr>
        <w:t>’</w:t>
      </w:r>
      <w:r w:rsidRPr="00E83253">
        <w:rPr>
          <w:lang w:val="fr-FR"/>
        </w:rPr>
        <w:t>adoption d</w:t>
      </w:r>
      <w:r>
        <w:rPr>
          <w:lang w:val="fr-FR"/>
        </w:rPr>
        <w:t>’</w:t>
      </w:r>
      <w:r w:rsidRPr="00E83253">
        <w:rPr>
          <w:lang w:val="fr-FR"/>
        </w:rPr>
        <w:t>un Accord européen relatif au transport international des marchandises dangereuses par voies de navigation intérieures (ADN), la coopération pour l</w:t>
      </w:r>
      <w:r>
        <w:rPr>
          <w:lang w:val="fr-FR"/>
        </w:rPr>
        <w:t>’</w:t>
      </w:r>
      <w:r w:rsidRPr="00E83253">
        <w:rPr>
          <w:lang w:val="fr-FR"/>
        </w:rPr>
        <w:t>organisation de cette réunion conjointe d</w:t>
      </w:r>
      <w:r>
        <w:rPr>
          <w:lang w:val="fr-FR"/>
        </w:rPr>
        <w:t>’</w:t>
      </w:r>
      <w:r w:rsidRPr="00E83253">
        <w:rPr>
          <w:lang w:val="fr-FR"/>
        </w:rPr>
        <w:t xml:space="preserve">experts pourra être étendue à la Commission du Danube. </w:t>
      </w:r>
    </w:p>
    <w:p w14:paraId="0CAA809D" w14:textId="16B7CDE3" w:rsidR="0006511E" w:rsidRDefault="006B2B2D" w:rsidP="006B2B2D">
      <w:pPr>
        <w:pStyle w:val="H23G"/>
        <w:rPr>
          <w:lang w:val="fr-FR"/>
        </w:rPr>
      </w:pPr>
      <w:r>
        <w:rPr>
          <w:lang w:val="fr-FR"/>
        </w:rPr>
        <w:tab/>
      </w:r>
      <w:r>
        <w:rPr>
          <w:lang w:val="fr-FR"/>
        </w:rPr>
        <w:tab/>
        <w:t>Article </w:t>
      </w:r>
      <w:r w:rsidR="0006511E" w:rsidRPr="00E83253">
        <w:rPr>
          <w:lang w:val="fr-FR"/>
        </w:rPr>
        <w:t>42</w:t>
      </w:r>
    </w:p>
    <w:p w14:paraId="0414B652" w14:textId="77777777" w:rsidR="0006511E" w:rsidRDefault="0006511E" w:rsidP="006B2B2D">
      <w:pPr>
        <w:pStyle w:val="SingleTxtG"/>
        <w:ind w:firstLine="567"/>
        <w:rPr>
          <w:lang w:val="fr-FR"/>
        </w:rPr>
      </w:pPr>
      <w:r w:rsidRPr="00E83253">
        <w:rPr>
          <w:lang w:val="fr-FR"/>
        </w:rPr>
        <w:tab/>
        <w:t xml:space="preserve">Les </w:t>
      </w:r>
      <w:r w:rsidRPr="006B2B2D">
        <w:t>règles</w:t>
      </w:r>
      <w:r w:rsidRPr="00E83253">
        <w:rPr>
          <w:lang w:val="fr-FR"/>
        </w:rPr>
        <w:t xml:space="preserve"> de procédure du présent </w:t>
      </w:r>
      <w:r>
        <w:rPr>
          <w:lang w:val="fr-FR"/>
        </w:rPr>
        <w:t>r</w:t>
      </w:r>
      <w:r w:rsidRPr="00E83253">
        <w:rPr>
          <w:lang w:val="fr-FR"/>
        </w:rPr>
        <w:t>èglement s</w:t>
      </w:r>
      <w:r>
        <w:rPr>
          <w:lang w:val="fr-FR"/>
        </w:rPr>
        <w:t>’</w:t>
      </w:r>
      <w:r w:rsidRPr="00E83253">
        <w:rPr>
          <w:lang w:val="fr-FR"/>
        </w:rPr>
        <w:t xml:space="preserve">appliquent </w:t>
      </w:r>
      <w:r w:rsidRPr="002F04B5">
        <w:rPr>
          <w:i/>
          <w:iCs/>
          <w:lang w:val="fr-FR"/>
        </w:rPr>
        <w:t>mutatis mutandis</w:t>
      </w:r>
      <w:r w:rsidRPr="00E83253">
        <w:rPr>
          <w:lang w:val="fr-FR"/>
        </w:rPr>
        <w:t xml:space="preserve"> aux sessions spéciales du WP.15</w:t>
      </w:r>
      <w:r w:rsidRPr="00D52AC8">
        <w:rPr>
          <w:rStyle w:val="Appelnotedebasdep"/>
        </w:rPr>
        <w:footnoteReference w:id="7"/>
      </w:r>
      <w:r w:rsidRPr="00E83253">
        <w:rPr>
          <w:lang w:val="fr-FR"/>
        </w:rPr>
        <w:t>.</w:t>
      </w:r>
    </w:p>
    <w:p w14:paraId="6F238AD9" w14:textId="699CD573" w:rsidR="0006511E" w:rsidRDefault="006B2B2D" w:rsidP="006B2B2D">
      <w:pPr>
        <w:pStyle w:val="H23G"/>
        <w:rPr>
          <w:lang w:val="fr-FR"/>
        </w:rPr>
      </w:pPr>
      <w:r>
        <w:rPr>
          <w:lang w:val="fr-FR"/>
        </w:rPr>
        <w:tab/>
      </w:r>
      <w:r>
        <w:rPr>
          <w:lang w:val="fr-FR"/>
        </w:rPr>
        <w:tab/>
        <w:t>Article </w:t>
      </w:r>
      <w:r w:rsidR="0006511E" w:rsidRPr="00E83253">
        <w:rPr>
          <w:lang w:val="fr-FR"/>
        </w:rPr>
        <w:t>43</w:t>
      </w:r>
    </w:p>
    <w:p w14:paraId="4192ACCE" w14:textId="67765078" w:rsidR="0006511E" w:rsidRDefault="0006511E" w:rsidP="006B2B2D">
      <w:pPr>
        <w:pStyle w:val="SingleTxtG"/>
        <w:ind w:firstLine="567"/>
      </w:pPr>
      <w:r w:rsidRPr="00E83253">
        <w:tab/>
        <w:t>Entre les sessions, le WP.15 peut se faire assister dans ses tâches par des groupes officieux. La création et la tenue des réunions de ces groupes nécessitent l</w:t>
      </w:r>
      <w:r>
        <w:t>’</w:t>
      </w:r>
      <w:r w:rsidRPr="00E83253">
        <w:t>accueil et l</w:t>
      </w:r>
      <w:r>
        <w:t>’</w:t>
      </w:r>
      <w:r w:rsidRPr="00E83253">
        <w:t>invitation d</w:t>
      </w:r>
      <w:r>
        <w:t>’</w:t>
      </w:r>
      <w:r w:rsidRPr="00E83253">
        <w:t>un participant au WP.15 tel que défini à l</w:t>
      </w:r>
      <w:r>
        <w:t>’</w:t>
      </w:r>
      <w:r w:rsidR="006B2B2D">
        <w:t>article </w:t>
      </w:r>
      <w:r w:rsidRPr="00E83253">
        <w:t xml:space="preserve">1. </w:t>
      </w:r>
    </w:p>
    <w:p w14:paraId="0F303186" w14:textId="1BC90058" w:rsidR="0006511E" w:rsidRDefault="006B2B2D" w:rsidP="006B2B2D">
      <w:pPr>
        <w:pStyle w:val="H1G"/>
        <w:rPr>
          <w:color w:val="000000"/>
          <w:szCs w:val="22"/>
          <w:lang w:val="fr-FR"/>
        </w:rPr>
      </w:pPr>
      <w:r>
        <w:rPr>
          <w:lang w:val="fr-FR"/>
        </w:rPr>
        <w:lastRenderedPageBreak/>
        <w:tab/>
      </w:r>
      <w:r>
        <w:rPr>
          <w:lang w:val="fr-FR"/>
        </w:rPr>
        <w:tab/>
      </w:r>
      <w:r w:rsidR="0006511E" w:rsidRPr="00E83253">
        <w:rPr>
          <w:lang w:val="fr-FR"/>
        </w:rPr>
        <w:t>Chapitre XI</w:t>
      </w:r>
      <w:r>
        <w:rPr>
          <w:lang w:val="fr-FR"/>
        </w:rPr>
        <w:t> − </w:t>
      </w:r>
      <w:r w:rsidR="0006511E" w:rsidRPr="00E83253">
        <w:rPr>
          <w:color w:val="000000"/>
          <w:szCs w:val="22"/>
          <w:lang w:val="fr-FR"/>
        </w:rPr>
        <w:t>Amendements</w:t>
      </w:r>
    </w:p>
    <w:p w14:paraId="46E8A664" w14:textId="53F4A0C3" w:rsidR="0006511E" w:rsidRDefault="006B2B2D" w:rsidP="006B2B2D">
      <w:pPr>
        <w:pStyle w:val="H23G"/>
        <w:rPr>
          <w:lang w:val="fr-FR"/>
        </w:rPr>
      </w:pPr>
      <w:r>
        <w:rPr>
          <w:lang w:val="fr-FR"/>
        </w:rPr>
        <w:tab/>
      </w:r>
      <w:r>
        <w:rPr>
          <w:lang w:val="fr-FR"/>
        </w:rPr>
        <w:tab/>
        <w:t>Article </w:t>
      </w:r>
      <w:r w:rsidR="0006511E" w:rsidRPr="00E83253">
        <w:rPr>
          <w:lang w:val="fr-FR"/>
        </w:rPr>
        <w:t>44</w:t>
      </w:r>
    </w:p>
    <w:p w14:paraId="66441375" w14:textId="59364C3F" w:rsidR="0006511E" w:rsidRPr="00E83253" w:rsidRDefault="0006511E" w:rsidP="006B2B2D">
      <w:pPr>
        <w:pStyle w:val="SingleTxtG"/>
        <w:ind w:firstLine="567"/>
        <w:rPr>
          <w:lang w:val="fr-FR"/>
        </w:rPr>
      </w:pPr>
      <w:r w:rsidRPr="00E83253">
        <w:rPr>
          <w:lang w:val="fr-FR"/>
        </w:rPr>
        <w:tab/>
        <w:t xml:space="preserve">Tout </w:t>
      </w:r>
      <w:r w:rsidR="006B2B2D">
        <w:rPr>
          <w:lang w:val="fr-FR"/>
        </w:rPr>
        <w:t>article </w:t>
      </w:r>
      <w:r w:rsidRPr="00E83253">
        <w:rPr>
          <w:lang w:val="fr-FR"/>
        </w:rPr>
        <w:t xml:space="preserve">du présent </w:t>
      </w:r>
      <w:r>
        <w:rPr>
          <w:lang w:val="fr-FR"/>
        </w:rPr>
        <w:t>r</w:t>
      </w:r>
      <w:r w:rsidRPr="00E83253">
        <w:rPr>
          <w:lang w:val="fr-FR"/>
        </w:rPr>
        <w:t>èglement peut être modifié conformément à l</w:t>
      </w:r>
      <w:r>
        <w:rPr>
          <w:lang w:val="fr-FR"/>
        </w:rPr>
        <w:t>’</w:t>
      </w:r>
      <w:r w:rsidR="006B2B2D">
        <w:rPr>
          <w:lang w:val="fr-FR"/>
        </w:rPr>
        <w:t>article </w:t>
      </w:r>
      <w:r w:rsidRPr="00E83253">
        <w:rPr>
          <w:lang w:val="fr-FR"/>
        </w:rPr>
        <w:t>35. Toute modification doit cependant être approuvée par le Comité des transports intérieurs et entérinée par le Comité exécutif de la CEE.</w:t>
      </w:r>
    </w:p>
    <w:p w14:paraId="35E2E6BD" w14:textId="77777777" w:rsidR="00BB51D9" w:rsidRDefault="00BB51D9" w:rsidP="00AF0CB5">
      <w:pPr>
        <w:rPr>
          <w:lang w:val="fr-FR"/>
        </w:rPr>
        <w:sectPr w:rsidR="00BB51D9" w:rsidSect="0006511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1A8E822B" w14:textId="77777777" w:rsidR="00BB51D9" w:rsidRDefault="00BB51D9" w:rsidP="006B2B2D">
      <w:pPr>
        <w:pStyle w:val="HChG"/>
        <w:rPr>
          <w:lang w:val="fr-FR"/>
        </w:rPr>
      </w:pPr>
      <w:r w:rsidRPr="00E83253">
        <w:rPr>
          <w:lang w:val="fr-FR"/>
        </w:rPr>
        <w:lastRenderedPageBreak/>
        <w:t>Annexe</w:t>
      </w:r>
    </w:p>
    <w:p w14:paraId="6824714D" w14:textId="771A84D4" w:rsidR="00BB51D9" w:rsidRDefault="006B2B2D" w:rsidP="006B2B2D">
      <w:pPr>
        <w:pStyle w:val="HChG"/>
        <w:rPr>
          <w:lang w:val="fr-FR"/>
        </w:rPr>
      </w:pPr>
      <w:r>
        <w:rPr>
          <w:lang w:val="fr-FR"/>
        </w:rPr>
        <w:tab/>
      </w:r>
      <w:r>
        <w:rPr>
          <w:lang w:val="fr-FR"/>
        </w:rPr>
        <w:tab/>
      </w:r>
      <w:r w:rsidR="00BB51D9" w:rsidRPr="00E83253">
        <w:rPr>
          <w:lang w:val="fr-FR"/>
        </w:rPr>
        <w:t xml:space="preserve">Règles concernant les documents à soumettre </w:t>
      </w:r>
      <w:r>
        <w:rPr>
          <w:lang w:val="fr-FR"/>
        </w:rPr>
        <w:br/>
      </w:r>
      <w:r w:rsidR="00BB51D9" w:rsidRPr="00E83253">
        <w:rPr>
          <w:lang w:val="fr-FR"/>
        </w:rPr>
        <w:t>au Groupe de travail</w:t>
      </w:r>
    </w:p>
    <w:p w14:paraId="591B9454" w14:textId="11C80811" w:rsidR="00BB51D9" w:rsidRDefault="006B2B2D" w:rsidP="006B2B2D">
      <w:pPr>
        <w:pStyle w:val="H4G"/>
        <w:rPr>
          <w:lang w:val="fr-FR"/>
        </w:rPr>
      </w:pPr>
      <w:r>
        <w:rPr>
          <w:lang w:val="fr-FR"/>
        </w:rPr>
        <w:tab/>
      </w:r>
      <w:r>
        <w:rPr>
          <w:lang w:val="fr-FR"/>
        </w:rPr>
        <w:tab/>
      </w:r>
      <w:r w:rsidR="00BB51D9" w:rsidRPr="00E83253">
        <w:rPr>
          <w:lang w:val="fr-FR"/>
        </w:rPr>
        <w:t>Documents officiels</w:t>
      </w:r>
    </w:p>
    <w:p w14:paraId="12162FF0" w14:textId="77777777" w:rsidR="00BB51D9" w:rsidRDefault="00BB51D9" w:rsidP="006B2B2D">
      <w:pPr>
        <w:pStyle w:val="SingleTxtG"/>
        <w:rPr>
          <w:lang w:val="fr-FR"/>
        </w:rPr>
      </w:pPr>
      <w:r w:rsidRPr="00E83253">
        <w:rPr>
          <w:lang w:val="fr-FR"/>
        </w:rPr>
        <w:t>1.</w:t>
      </w:r>
      <w:r w:rsidRPr="00E83253">
        <w:rPr>
          <w:lang w:val="fr-FR"/>
        </w:rPr>
        <w:tab/>
        <w:t>Les documents à examiner au titre de chaque point de l</w:t>
      </w:r>
      <w:r>
        <w:rPr>
          <w:lang w:val="fr-FR"/>
        </w:rPr>
        <w:t>’</w:t>
      </w:r>
      <w:r w:rsidRPr="00E83253">
        <w:rPr>
          <w:lang w:val="fr-FR"/>
        </w:rPr>
        <w:t>ordre du jour d</w:t>
      </w:r>
      <w:r>
        <w:rPr>
          <w:lang w:val="fr-FR"/>
        </w:rPr>
        <w:t>’</w:t>
      </w:r>
      <w:r w:rsidRPr="00E83253">
        <w:rPr>
          <w:lang w:val="fr-FR"/>
        </w:rPr>
        <w:t>une session doivent être communiqués dès que possible afin qu</w:t>
      </w:r>
      <w:r>
        <w:rPr>
          <w:lang w:val="fr-FR"/>
        </w:rPr>
        <w:t>’</w:t>
      </w:r>
      <w:r w:rsidRPr="00E83253">
        <w:rPr>
          <w:lang w:val="fr-FR"/>
        </w:rPr>
        <w:t xml:space="preserve">ils </w:t>
      </w:r>
      <w:r w:rsidRPr="00E83253">
        <w:rPr>
          <w:u w:val="single"/>
          <w:lang w:val="fr-FR"/>
        </w:rPr>
        <w:t>parviennent</w:t>
      </w:r>
      <w:r w:rsidRPr="00E83253">
        <w:rPr>
          <w:lang w:val="fr-FR"/>
        </w:rPr>
        <w:t xml:space="preserve"> au secrétariat au moins </w:t>
      </w:r>
      <w:r w:rsidRPr="00E83253">
        <w:rPr>
          <w:u w:val="single"/>
          <w:lang w:val="fr-FR"/>
        </w:rPr>
        <w:t>12 semaines</w:t>
      </w:r>
      <w:r w:rsidRPr="00E83253">
        <w:rPr>
          <w:lang w:val="fr-FR"/>
        </w:rPr>
        <w:t xml:space="preserve"> avant l</w:t>
      </w:r>
      <w:r>
        <w:rPr>
          <w:lang w:val="fr-FR"/>
        </w:rPr>
        <w:t>’</w:t>
      </w:r>
      <w:r w:rsidRPr="00E83253">
        <w:rPr>
          <w:lang w:val="fr-FR"/>
        </w:rPr>
        <w:t>ouverture de la session ou, s</w:t>
      </w:r>
      <w:r>
        <w:rPr>
          <w:lang w:val="fr-FR"/>
        </w:rPr>
        <w:t>’</w:t>
      </w:r>
      <w:r w:rsidRPr="00E83253">
        <w:rPr>
          <w:lang w:val="fr-FR"/>
        </w:rPr>
        <w:t xml:space="preserve">ils sont transmis simultanément en anglais, en français </w:t>
      </w:r>
      <w:r w:rsidRPr="00E83253">
        <w:rPr>
          <w:u w:val="single"/>
          <w:lang w:val="fr-FR"/>
        </w:rPr>
        <w:t>et</w:t>
      </w:r>
      <w:r w:rsidRPr="00E83253">
        <w:rPr>
          <w:lang w:val="fr-FR"/>
        </w:rPr>
        <w:t xml:space="preserve"> en russe, au moins 6 semaines avant.</w:t>
      </w:r>
    </w:p>
    <w:p w14:paraId="7839C05C" w14:textId="77777777" w:rsidR="00BB51D9" w:rsidRDefault="00BB51D9" w:rsidP="006B2B2D">
      <w:pPr>
        <w:pStyle w:val="SingleTxtG"/>
        <w:rPr>
          <w:color w:val="000000"/>
          <w:szCs w:val="22"/>
          <w:lang w:val="fr-FR"/>
        </w:rPr>
      </w:pPr>
      <w:r w:rsidRPr="00E83253">
        <w:rPr>
          <w:color w:val="000000"/>
          <w:szCs w:val="22"/>
          <w:lang w:val="fr-FR"/>
        </w:rPr>
        <w:t>2.</w:t>
      </w:r>
      <w:r w:rsidRPr="00E83253">
        <w:rPr>
          <w:color w:val="000000"/>
          <w:szCs w:val="22"/>
          <w:lang w:val="fr-FR"/>
        </w:rPr>
        <w:tab/>
        <w:t>Ils doivent être communiqués au secrétariat par courrier électronique.</w:t>
      </w:r>
    </w:p>
    <w:p w14:paraId="5A956FC6" w14:textId="77777777" w:rsidR="00BB51D9" w:rsidRDefault="00BB51D9" w:rsidP="006B2B2D">
      <w:pPr>
        <w:pStyle w:val="SingleTxtG"/>
        <w:rPr>
          <w:color w:val="000000"/>
          <w:szCs w:val="22"/>
          <w:lang w:val="fr-FR"/>
        </w:rPr>
      </w:pPr>
      <w:r w:rsidRPr="00E83253">
        <w:rPr>
          <w:color w:val="000000"/>
          <w:szCs w:val="22"/>
          <w:lang w:val="fr-FR"/>
        </w:rPr>
        <w:t>3.</w:t>
      </w:r>
      <w:r w:rsidRPr="00E83253">
        <w:rPr>
          <w:color w:val="000000"/>
          <w:szCs w:val="22"/>
          <w:lang w:val="fr-FR"/>
        </w:rPr>
        <w:tab/>
        <w:t>Les documents, y compris les rapports des groupes de travail, doivent être aussi brefs et concis que possible et ne pas avoir plus de 20 pages, sauf dans des cas exceptionnels où de longs passages de textes réglementaires ou de recommandations font l</w:t>
      </w:r>
      <w:r>
        <w:rPr>
          <w:color w:val="000000"/>
          <w:szCs w:val="22"/>
          <w:lang w:val="fr-FR"/>
        </w:rPr>
        <w:t>’</w:t>
      </w:r>
      <w:r w:rsidRPr="00E83253">
        <w:rPr>
          <w:color w:val="000000"/>
          <w:szCs w:val="22"/>
          <w:lang w:val="fr-FR"/>
        </w:rPr>
        <w:t>objet de propositions de projets d</w:t>
      </w:r>
      <w:r>
        <w:rPr>
          <w:color w:val="000000"/>
          <w:szCs w:val="22"/>
          <w:lang w:val="fr-FR"/>
        </w:rPr>
        <w:t>’</w:t>
      </w:r>
      <w:r w:rsidRPr="00E83253">
        <w:rPr>
          <w:color w:val="000000"/>
          <w:szCs w:val="22"/>
          <w:lang w:val="fr-FR"/>
        </w:rPr>
        <w:t>amendement.</w:t>
      </w:r>
    </w:p>
    <w:p w14:paraId="31EDDD91" w14:textId="3B498487" w:rsidR="00BB51D9" w:rsidRDefault="00BB51D9" w:rsidP="006B2B2D">
      <w:pPr>
        <w:pStyle w:val="SingleTxtG"/>
        <w:rPr>
          <w:color w:val="000000"/>
          <w:szCs w:val="22"/>
          <w:lang w:val="fr-FR"/>
        </w:rPr>
      </w:pPr>
      <w:r w:rsidRPr="00E83253">
        <w:rPr>
          <w:color w:val="000000"/>
          <w:szCs w:val="22"/>
          <w:lang w:val="fr-FR"/>
        </w:rPr>
        <w:t>4.</w:t>
      </w:r>
      <w:r w:rsidRPr="00E83253">
        <w:rPr>
          <w:color w:val="000000"/>
          <w:szCs w:val="22"/>
          <w:lang w:val="fr-FR"/>
        </w:rPr>
        <w:tab/>
        <w:t>Tous les documents contenant des propositions d</w:t>
      </w:r>
      <w:r>
        <w:rPr>
          <w:color w:val="000000"/>
          <w:szCs w:val="22"/>
          <w:lang w:val="fr-FR"/>
        </w:rPr>
        <w:t>’</w:t>
      </w:r>
      <w:r w:rsidRPr="00E83253">
        <w:rPr>
          <w:color w:val="000000"/>
          <w:szCs w:val="22"/>
          <w:lang w:val="fr-FR"/>
        </w:rPr>
        <w:t>amendement à des textes réglementaires ou à des recommandations doivent respecter la présentation normalisée reproduite à l</w:t>
      </w:r>
      <w:r>
        <w:rPr>
          <w:color w:val="000000"/>
          <w:szCs w:val="22"/>
          <w:lang w:val="fr-FR"/>
        </w:rPr>
        <w:t>’</w:t>
      </w:r>
      <w:r w:rsidRPr="00E83253">
        <w:rPr>
          <w:color w:val="000000"/>
          <w:szCs w:val="22"/>
          <w:lang w:val="fr-FR"/>
        </w:rPr>
        <w:t xml:space="preserve">appendice </w:t>
      </w:r>
      <w:r>
        <w:rPr>
          <w:color w:val="000000"/>
          <w:szCs w:val="22"/>
          <w:lang w:val="fr-FR"/>
        </w:rPr>
        <w:t>des</w:t>
      </w:r>
      <w:r w:rsidRPr="00E83253">
        <w:rPr>
          <w:color w:val="000000"/>
          <w:szCs w:val="22"/>
          <w:lang w:val="fr-FR"/>
        </w:rPr>
        <w:t xml:space="preserve"> présentes règles, comporter un bref résumé et, le cas échéant, une justification tenant compte des critères ci-après</w:t>
      </w:r>
      <w:r w:rsidR="00986945">
        <w:rPr>
          <w:color w:val="000000"/>
          <w:szCs w:val="22"/>
          <w:lang w:val="fr-FR"/>
        </w:rPr>
        <w:t> :</w:t>
      </w:r>
    </w:p>
    <w:p w14:paraId="0D59C6F7" w14:textId="38E68E30" w:rsidR="00BB51D9" w:rsidRPr="00E83253" w:rsidRDefault="00BB51D9" w:rsidP="008473A1">
      <w:pPr>
        <w:pStyle w:val="SingleTxtG"/>
        <w:tabs>
          <w:tab w:val="left" w:pos="3119"/>
        </w:tabs>
        <w:rPr>
          <w:color w:val="000000"/>
          <w:szCs w:val="22"/>
          <w:lang w:val="fr-FR"/>
        </w:rPr>
      </w:pPr>
      <w:r w:rsidRPr="00E83253">
        <w:rPr>
          <w:color w:val="000000"/>
          <w:szCs w:val="22"/>
          <w:lang w:val="fr-FR"/>
        </w:rPr>
        <w:t>Sécurité</w:t>
      </w:r>
      <w:r w:rsidR="00986945">
        <w:rPr>
          <w:color w:val="000000"/>
          <w:szCs w:val="22"/>
          <w:lang w:val="fr-FR"/>
        </w:rPr>
        <w:t> :</w:t>
      </w:r>
      <w:r w:rsidRPr="00E83253">
        <w:rPr>
          <w:color w:val="000000"/>
          <w:szCs w:val="22"/>
          <w:lang w:val="fr-FR"/>
        </w:rPr>
        <w:tab/>
        <w:t>Quelles sont les incidences sur la sécurité ?</w:t>
      </w:r>
    </w:p>
    <w:p w14:paraId="4832A98D" w14:textId="5D2F0928" w:rsidR="00BB51D9" w:rsidRPr="00E83253" w:rsidRDefault="00BB51D9" w:rsidP="008473A1">
      <w:pPr>
        <w:pStyle w:val="SingleTxtG"/>
        <w:tabs>
          <w:tab w:val="left" w:pos="3119"/>
        </w:tabs>
        <w:ind w:left="3119" w:hanging="1985"/>
        <w:rPr>
          <w:color w:val="000000"/>
          <w:szCs w:val="22"/>
          <w:lang w:val="fr-FR"/>
        </w:rPr>
      </w:pPr>
      <w:r w:rsidRPr="00E83253">
        <w:rPr>
          <w:color w:val="000000"/>
          <w:szCs w:val="22"/>
          <w:lang w:val="fr-FR"/>
        </w:rPr>
        <w:t>Faisabilité</w:t>
      </w:r>
      <w:r w:rsidR="00986945">
        <w:rPr>
          <w:color w:val="000000"/>
          <w:szCs w:val="22"/>
          <w:lang w:val="fr-FR"/>
        </w:rPr>
        <w:t> :</w:t>
      </w:r>
      <w:r w:rsidRPr="00E83253">
        <w:rPr>
          <w:color w:val="000000"/>
          <w:szCs w:val="22"/>
          <w:lang w:val="fr-FR"/>
        </w:rPr>
        <w:tab/>
        <w:t>Quel est le secteur d</w:t>
      </w:r>
      <w:r>
        <w:rPr>
          <w:color w:val="000000"/>
          <w:szCs w:val="22"/>
          <w:lang w:val="fr-FR"/>
        </w:rPr>
        <w:t>’</w:t>
      </w:r>
      <w:r w:rsidRPr="00E83253">
        <w:rPr>
          <w:color w:val="000000"/>
          <w:szCs w:val="22"/>
          <w:lang w:val="fr-FR"/>
        </w:rPr>
        <w:t>entreprise ou le service public concerné par l</w:t>
      </w:r>
      <w:r>
        <w:rPr>
          <w:color w:val="000000"/>
          <w:szCs w:val="22"/>
          <w:lang w:val="fr-FR"/>
        </w:rPr>
        <w:t>’</w:t>
      </w:r>
      <w:r w:rsidRPr="00E83253">
        <w:rPr>
          <w:color w:val="000000"/>
          <w:szCs w:val="22"/>
          <w:lang w:val="fr-FR"/>
        </w:rPr>
        <w:t>amendement proposé ?</w:t>
      </w:r>
    </w:p>
    <w:p w14:paraId="5A9F6C6C" w14:textId="202B2410" w:rsidR="00BB51D9" w:rsidRPr="00E83253" w:rsidRDefault="008473A1" w:rsidP="008473A1">
      <w:pPr>
        <w:pStyle w:val="SingleTxtG"/>
        <w:tabs>
          <w:tab w:val="left" w:pos="3119"/>
        </w:tabs>
        <w:ind w:left="3119" w:hanging="1985"/>
        <w:rPr>
          <w:color w:val="000000"/>
          <w:szCs w:val="22"/>
          <w:lang w:val="fr-FR"/>
        </w:rPr>
      </w:pPr>
      <w:r>
        <w:rPr>
          <w:color w:val="000000"/>
          <w:szCs w:val="22"/>
          <w:lang w:val="fr-FR"/>
        </w:rPr>
        <w:tab/>
      </w:r>
      <w:r w:rsidR="00BB51D9" w:rsidRPr="00E83253">
        <w:rPr>
          <w:color w:val="000000"/>
          <w:szCs w:val="22"/>
          <w:lang w:val="fr-FR"/>
        </w:rPr>
        <w:t>Quelles en sont les conséquences sur le plan des avantages et des inconvénients ? Faut-il prévoir une période transitoire ?</w:t>
      </w:r>
    </w:p>
    <w:p w14:paraId="310F6226" w14:textId="36467B29" w:rsidR="00BB51D9" w:rsidRDefault="00BB51D9" w:rsidP="008473A1">
      <w:pPr>
        <w:pStyle w:val="SingleTxtG"/>
        <w:tabs>
          <w:tab w:val="left" w:pos="3119"/>
        </w:tabs>
        <w:ind w:left="3119" w:hanging="1985"/>
        <w:rPr>
          <w:color w:val="000000"/>
          <w:szCs w:val="22"/>
          <w:lang w:val="fr-FR"/>
        </w:rPr>
      </w:pPr>
      <w:r w:rsidRPr="00E83253">
        <w:rPr>
          <w:color w:val="000000"/>
          <w:szCs w:val="22"/>
          <w:lang w:val="fr-FR"/>
        </w:rPr>
        <w:t>Application effective</w:t>
      </w:r>
      <w:r w:rsidR="00986945">
        <w:rPr>
          <w:color w:val="000000"/>
          <w:szCs w:val="22"/>
          <w:lang w:val="fr-FR"/>
        </w:rPr>
        <w:t> :</w:t>
      </w:r>
      <w:r w:rsidRPr="00E83253">
        <w:rPr>
          <w:color w:val="000000"/>
          <w:szCs w:val="22"/>
          <w:lang w:val="fr-FR"/>
        </w:rPr>
        <w:tab/>
        <w:t>L</w:t>
      </w:r>
      <w:r>
        <w:rPr>
          <w:color w:val="000000"/>
          <w:szCs w:val="22"/>
          <w:lang w:val="fr-FR"/>
        </w:rPr>
        <w:t>’</w:t>
      </w:r>
      <w:r w:rsidRPr="00E83253">
        <w:rPr>
          <w:color w:val="000000"/>
          <w:szCs w:val="22"/>
          <w:lang w:val="fr-FR"/>
        </w:rPr>
        <w:t>application des modifications peut-elle être observée ou contrôlée ?</w:t>
      </w:r>
    </w:p>
    <w:p w14:paraId="36350966" w14:textId="2808AA50" w:rsidR="00BB51D9" w:rsidRDefault="00BB51D9" w:rsidP="008473A1">
      <w:pPr>
        <w:pStyle w:val="SingleTxtG"/>
        <w:ind w:firstLine="567"/>
        <w:rPr>
          <w:color w:val="000000"/>
          <w:szCs w:val="22"/>
          <w:lang w:val="fr-FR"/>
        </w:rPr>
      </w:pPr>
      <w:r w:rsidRPr="00E83253">
        <w:rPr>
          <w:color w:val="000000"/>
          <w:szCs w:val="22"/>
          <w:lang w:val="fr-FR"/>
        </w:rPr>
        <w:t>Cette règle ne vaut pas dans le cas de modifications de forme, d</w:t>
      </w:r>
      <w:r>
        <w:rPr>
          <w:color w:val="000000"/>
          <w:szCs w:val="22"/>
          <w:lang w:val="fr-FR"/>
        </w:rPr>
        <w:t>’</w:t>
      </w:r>
      <w:r w:rsidRPr="00E83253">
        <w:rPr>
          <w:color w:val="000000"/>
          <w:szCs w:val="22"/>
          <w:lang w:val="fr-FR"/>
        </w:rPr>
        <w:t>amendements proposés par un groupe de travail ou d</w:t>
      </w:r>
      <w:r>
        <w:rPr>
          <w:color w:val="000000"/>
          <w:szCs w:val="22"/>
          <w:lang w:val="fr-FR"/>
        </w:rPr>
        <w:t>’</w:t>
      </w:r>
      <w:r w:rsidRPr="00E83253">
        <w:rPr>
          <w:color w:val="000000"/>
          <w:szCs w:val="22"/>
          <w:lang w:val="fr-FR"/>
        </w:rPr>
        <w:t>amendements proposés dans un souci d</w:t>
      </w:r>
      <w:r>
        <w:rPr>
          <w:color w:val="000000"/>
          <w:szCs w:val="22"/>
          <w:lang w:val="fr-FR"/>
        </w:rPr>
        <w:t>’</w:t>
      </w:r>
      <w:r w:rsidRPr="00E83253">
        <w:rPr>
          <w:color w:val="000000"/>
          <w:szCs w:val="22"/>
          <w:lang w:val="fr-FR"/>
        </w:rPr>
        <w:t xml:space="preserve">harmonisation avec les Recommandations des </w:t>
      </w:r>
      <w:r w:rsidR="00986945">
        <w:rPr>
          <w:color w:val="000000"/>
          <w:szCs w:val="22"/>
          <w:lang w:val="fr-FR"/>
        </w:rPr>
        <w:t>Nations Unies</w:t>
      </w:r>
      <w:r w:rsidRPr="00E83253">
        <w:rPr>
          <w:color w:val="000000"/>
          <w:szCs w:val="22"/>
          <w:lang w:val="fr-FR"/>
        </w:rPr>
        <w:t xml:space="preserve"> relatives au transport des marchandises dangereuses ou avec d</w:t>
      </w:r>
      <w:r>
        <w:rPr>
          <w:color w:val="000000"/>
          <w:szCs w:val="22"/>
          <w:lang w:val="fr-FR"/>
        </w:rPr>
        <w:t>’</w:t>
      </w:r>
      <w:r w:rsidRPr="00E83253">
        <w:rPr>
          <w:color w:val="000000"/>
          <w:szCs w:val="22"/>
          <w:lang w:val="fr-FR"/>
        </w:rPr>
        <w:t>autres textes réglementaires.</w:t>
      </w:r>
    </w:p>
    <w:p w14:paraId="2BB64D5F" w14:textId="2CA9C553" w:rsidR="00BB51D9" w:rsidRDefault="00BB51D9" w:rsidP="006B2B2D">
      <w:pPr>
        <w:pStyle w:val="SingleTxtG"/>
        <w:rPr>
          <w:color w:val="000000"/>
          <w:szCs w:val="22"/>
          <w:lang w:val="fr-FR"/>
        </w:rPr>
      </w:pPr>
      <w:r w:rsidRPr="00E83253">
        <w:rPr>
          <w:color w:val="000000"/>
          <w:szCs w:val="22"/>
          <w:lang w:val="fr-FR"/>
        </w:rPr>
        <w:t>5.</w:t>
      </w:r>
      <w:r w:rsidRPr="00E83253">
        <w:rPr>
          <w:color w:val="000000"/>
          <w:szCs w:val="22"/>
          <w:lang w:val="fr-FR"/>
        </w:rPr>
        <w:tab/>
        <w:t>Le secrétariat peut décider</w:t>
      </w:r>
      <w:r w:rsidR="00986945">
        <w:rPr>
          <w:color w:val="000000"/>
          <w:szCs w:val="22"/>
          <w:lang w:val="fr-FR"/>
        </w:rPr>
        <w:t> :</w:t>
      </w:r>
    </w:p>
    <w:p w14:paraId="0BC2FBA6" w14:textId="446605CA" w:rsidR="00BB51D9" w:rsidRDefault="00BB51D9" w:rsidP="008473A1">
      <w:pPr>
        <w:pStyle w:val="SingleTxtG"/>
        <w:ind w:firstLine="567"/>
        <w:rPr>
          <w:color w:val="000000"/>
          <w:szCs w:val="22"/>
          <w:lang w:val="fr-FR"/>
        </w:rPr>
      </w:pPr>
      <w:r w:rsidRPr="00E83253">
        <w:rPr>
          <w:color w:val="000000"/>
          <w:szCs w:val="22"/>
          <w:lang w:val="fr-FR"/>
        </w:rPr>
        <w:t>a)</w:t>
      </w:r>
      <w:r w:rsidRPr="00E83253">
        <w:rPr>
          <w:color w:val="000000"/>
          <w:szCs w:val="22"/>
          <w:lang w:val="fr-FR"/>
        </w:rPr>
        <w:tab/>
      </w:r>
      <w:r w:rsidR="002F04B5">
        <w:rPr>
          <w:color w:val="000000"/>
          <w:szCs w:val="22"/>
          <w:lang w:val="fr-FR"/>
        </w:rPr>
        <w:t>D</w:t>
      </w:r>
      <w:r w:rsidRPr="00E83253">
        <w:rPr>
          <w:color w:val="000000"/>
          <w:szCs w:val="22"/>
          <w:lang w:val="fr-FR"/>
        </w:rPr>
        <w:t>e reporter à la session suivante les documents qui ne sont pas parvenus 12 semaines avant l</w:t>
      </w:r>
      <w:r>
        <w:rPr>
          <w:color w:val="000000"/>
          <w:szCs w:val="22"/>
          <w:lang w:val="fr-FR"/>
        </w:rPr>
        <w:t>’</w:t>
      </w:r>
      <w:r w:rsidRPr="00E83253">
        <w:rPr>
          <w:color w:val="000000"/>
          <w:szCs w:val="22"/>
          <w:lang w:val="fr-FR"/>
        </w:rPr>
        <w:t>ouverture d</w:t>
      </w:r>
      <w:r>
        <w:rPr>
          <w:color w:val="000000"/>
          <w:szCs w:val="22"/>
          <w:lang w:val="fr-FR"/>
        </w:rPr>
        <w:t>’</w:t>
      </w:r>
      <w:r w:rsidRPr="00E83253">
        <w:rPr>
          <w:color w:val="000000"/>
          <w:szCs w:val="22"/>
          <w:lang w:val="fr-FR"/>
        </w:rPr>
        <w:t>une session</w:t>
      </w:r>
      <w:r w:rsidR="008473A1">
        <w:rPr>
          <w:color w:val="000000"/>
          <w:szCs w:val="22"/>
          <w:lang w:val="fr-FR"/>
        </w:rPr>
        <w:t> </w:t>
      </w:r>
      <w:r w:rsidRPr="00E83253">
        <w:rPr>
          <w:color w:val="000000"/>
          <w:szCs w:val="22"/>
          <w:lang w:val="fr-FR"/>
        </w:rPr>
        <w:t>;</w:t>
      </w:r>
    </w:p>
    <w:p w14:paraId="523CC361" w14:textId="208C333C" w:rsidR="00BB51D9" w:rsidRDefault="00BB51D9" w:rsidP="008473A1">
      <w:pPr>
        <w:pStyle w:val="SingleTxtG"/>
        <w:ind w:firstLine="567"/>
        <w:rPr>
          <w:color w:val="000000"/>
          <w:szCs w:val="22"/>
          <w:lang w:val="fr-FR"/>
        </w:rPr>
      </w:pPr>
      <w:r w:rsidRPr="00E83253">
        <w:rPr>
          <w:color w:val="000000"/>
          <w:szCs w:val="22"/>
          <w:lang w:val="fr-FR"/>
        </w:rPr>
        <w:t>b)</w:t>
      </w:r>
      <w:r w:rsidRPr="00E83253">
        <w:rPr>
          <w:color w:val="000000"/>
          <w:szCs w:val="22"/>
          <w:lang w:val="fr-FR"/>
        </w:rPr>
        <w:tab/>
      </w:r>
      <w:r w:rsidR="002F04B5">
        <w:rPr>
          <w:color w:val="000000"/>
          <w:szCs w:val="22"/>
          <w:lang w:val="fr-FR"/>
        </w:rPr>
        <w:t>D</w:t>
      </w:r>
      <w:r w:rsidRPr="00E83253">
        <w:rPr>
          <w:color w:val="000000"/>
          <w:szCs w:val="22"/>
          <w:lang w:val="fr-FR"/>
        </w:rPr>
        <w:t>e ne traduire que des parties des documents de plus de 20 pages, afin de ne pas retarder leur distribution, lorsqu</w:t>
      </w:r>
      <w:r>
        <w:rPr>
          <w:color w:val="000000"/>
          <w:szCs w:val="22"/>
          <w:lang w:val="fr-FR"/>
        </w:rPr>
        <w:t>’</w:t>
      </w:r>
      <w:r w:rsidRPr="00E83253">
        <w:rPr>
          <w:color w:val="000000"/>
          <w:szCs w:val="22"/>
          <w:lang w:val="fr-FR"/>
        </w:rPr>
        <w:t>ils contiennent de longues annexes techniques explicatives ou des tableaux qu</w:t>
      </w:r>
      <w:r>
        <w:rPr>
          <w:color w:val="000000"/>
          <w:szCs w:val="22"/>
          <w:lang w:val="fr-FR"/>
        </w:rPr>
        <w:t>’</w:t>
      </w:r>
      <w:r w:rsidRPr="00E83253">
        <w:rPr>
          <w:color w:val="000000"/>
          <w:szCs w:val="22"/>
          <w:lang w:val="fr-FR"/>
        </w:rPr>
        <w:t>il n</w:t>
      </w:r>
      <w:r>
        <w:rPr>
          <w:color w:val="000000"/>
          <w:szCs w:val="22"/>
          <w:lang w:val="fr-FR"/>
        </w:rPr>
        <w:t>’</w:t>
      </w:r>
      <w:r w:rsidRPr="00E83253">
        <w:rPr>
          <w:color w:val="000000"/>
          <w:szCs w:val="22"/>
          <w:lang w:val="fr-FR"/>
        </w:rPr>
        <w:t>est pas prévu d</w:t>
      </w:r>
      <w:r>
        <w:rPr>
          <w:color w:val="000000"/>
          <w:szCs w:val="22"/>
          <w:lang w:val="fr-FR"/>
        </w:rPr>
        <w:t>’</w:t>
      </w:r>
      <w:r w:rsidRPr="00E83253">
        <w:rPr>
          <w:color w:val="000000"/>
          <w:szCs w:val="22"/>
          <w:lang w:val="fr-FR"/>
        </w:rPr>
        <w:t>inclure dans les règlements ou recommandations</w:t>
      </w:r>
      <w:r w:rsidR="008473A1">
        <w:rPr>
          <w:color w:val="000000"/>
          <w:szCs w:val="22"/>
          <w:lang w:val="fr-FR"/>
        </w:rPr>
        <w:t> </w:t>
      </w:r>
      <w:r w:rsidRPr="00E83253">
        <w:rPr>
          <w:color w:val="000000"/>
          <w:szCs w:val="22"/>
          <w:lang w:val="fr-FR"/>
        </w:rPr>
        <w:t>;</w:t>
      </w:r>
    </w:p>
    <w:p w14:paraId="0020434C" w14:textId="2CAA84E4" w:rsidR="00BB51D9" w:rsidRDefault="00BB51D9" w:rsidP="008473A1">
      <w:pPr>
        <w:pStyle w:val="SingleTxtG"/>
        <w:ind w:firstLine="567"/>
        <w:rPr>
          <w:color w:val="000000"/>
          <w:szCs w:val="22"/>
          <w:lang w:val="fr-FR"/>
        </w:rPr>
      </w:pPr>
      <w:r w:rsidRPr="00E83253">
        <w:rPr>
          <w:color w:val="000000"/>
          <w:szCs w:val="22"/>
          <w:lang w:val="fr-FR"/>
        </w:rPr>
        <w:t>c)</w:t>
      </w:r>
      <w:r w:rsidRPr="00E83253">
        <w:rPr>
          <w:color w:val="000000"/>
          <w:szCs w:val="22"/>
          <w:lang w:val="fr-FR"/>
        </w:rPr>
        <w:tab/>
      </w:r>
      <w:r w:rsidR="002F04B5">
        <w:rPr>
          <w:color w:val="000000"/>
          <w:szCs w:val="22"/>
          <w:lang w:val="fr-FR"/>
        </w:rPr>
        <w:t>D</w:t>
      </w:r>
      <w:r w:rsidRPr="00E83253">
        <w:rPr>
          <w:color w:val="000000"/>
          <w:szCs w:val="22"/>
          <w:lang w:val="fr-FR"/>
        </w:rPr>
        <w:t>e retourner le document à l</w:t>
      </w:r>
      <w:r>
        <w:rPr>
          <w:color w:val="000000"/>
          <w:szCs w:val="22"/>
          <w:lang w:val="fr-FR"/>
        </w:rPr>
        <w:t>’</w:t>
      </w:r>
      <w:r w:rsidRPr="00E83253">
        <w:rPr>
          <w:color w:val="000000"/>
          <w:szCs w:val="22"/>
          <w:lang w:val="fr-FR"/>
        </w:rPr>
        <w:t>envoyeur lorsque la présentation n</w:t>
      </w:r>
      <w:r>
        <w:rPr>
          <w:color w:val="000000"/>
          <w:szCs w:val="22"/>
          <w:lang w:val="fr-FR"/>
        </w:rPr>
        <w:t>’</w:t>
      </w:r>
      <w:r w:rsidRPr="00E83253">
        <w:rPr>
          <w:color w:val="000000"/>
          <w:szCs w:val="22"/>
          <w:lang w:val="fr-FR"/>
        </w:rPr>
        <w:t>est pas conforme à celle prévue à l</w:t>
      </w:r>
      <w:r>
        <w:rPr>
          <w:color w:val="000000"/>
          <w:szCs w:val="22"/>
          <w:lang w:val="fr-FR"/>
        </w:rPr>
        <w:t>’</w:t>
      </w:r>
      <w:r w:rsidRPr="00E83253">
        <w:rPr>
          <w:color w:val="000000"/>
          <w:szCs w:val="22"/>
          <w:lang w:val="fr-FR"/>
        </w:rPr>
        <w:t xml:space="preserve">appendice </w:t>
      </w:r>
      <w:r>
        <w:rPr>
          <w:color w:val="000000"/>
          <w:szCs w:val="22"/>
          <w:lang w:val="fr-FR"/>
        </w:rPr>
        <w:t>des</w:t>
      </w:r>
      <w:r w:rsidRPr="00E83253">
        <w:rPr>
          <w:color w:val="000000"/>
          <w:szCs w:val="22"/>
          <w:lang w:val="fr-FR"/>
        </w:rPr>
        <w:t xml:space="preserve"> présentes règles. En pareil cas, le document peut être refondu selon la présentation exigée dans la règle 4, à condition que la version révisée </w:t>
      </w:r>
      <w:r w:rsidRPr="00E83253">
        <w:rPr>
          <w:color w:val="000000"/>
          <w:szCs w:val="22"/>
          <w:u w:val="single"/>
          <w:lang w:val="fr-FR"/>
        </w:rPr>
        <w:t>parvienne</w:t>
      </w:r>
      <w:r w:rsidRPr="00E83253">
        <w:rPr>
          <w:color w:val="000000"/>
          <w:szCs w:val="22"/>
          <w:lang w:val="fr-FR"/>
        </w:rPr>
        <w:t xml:space="preserve"> au secrétariat au moins 10 semaines avant l</w:t>
      </w:r>
      <w:r>
        <w:rPr>
          <w:color w:val="000000"/>
          <w:szCs w:val="22"/>
          <w:lang w:val="fr-FR"/>
        </w:rPr>
        <w:t>’</w:t>
      </w:r>
      <w:r w:rsidRPr="00E83253">
        <w:rPr>
          <w:color w:val="000000"/>
          <w:szCs w:val="22"/>
          <w:lang w:val="fr-FR"/>
        </w:rPr>
        <w:t>ouverture de la session</w:t>
      </w:r>
      <w:r w:rsidR="002F04B5">
        <w:rPr>
          <w:color w:val="000000"/>
          <w:szCs w:val="22"/>
          <w:lang w:val="fr-FR"/>
        </w:rPr>
        <w:t> </w:t>
      </w:r>
      <w:r w:rsidRPr="00E83253">
        <w:rPr>
          <w:color w:val="000000"/>
          <w:szCs w:val="22"/>
          <w:lang w:val="fr-FR"/>
        </w:rPr>
        <w:t xml:space="preserve">; </w:t>
      </w:r>
      <w:r w:rsidR="004B0224">
        <w:rPr>
          <w:color w:val="000000"/>
          <w:szCs w:val="22"/>
          <w:lang w:val="fr-FR"/>
        </w:rPr>
        <w:t>s</w:t>
      </w:r>
      <w:r w:rsidRPr="00E83253">
        <w:rPr>
          <w:color w:val="000000"/>
          <w:szCs w:val="22"/>
          <w:lang w:val="fr-FR"/>
        </w:rPr>
        <w:t>i tel n</w:t>
      </w:r>
      <w:r>
        <w:rPr>
          <w:color w:val="000000"/>
          <w:szCs w:val="22"/>
          <w:lang w:val="fr-FR"/>
        </w:rPr>
        <w:t>’</w:t>
      </w:r>
      <w:r w:rsidRPr="00E83253">
        <w:rPr>
          <w:color w:val="000000"/>
          <w:szCs w:val="22"/>
          <w:lang w:val="fr-FR"/>
        </w:rPr>
        <w:t>est pas le cas, le document sera toutefois distribué sous sa forme initiale.</w:t>
      </w:r>
    </w:p>
    <w:p w14:paraId="70C27307" w14:textId="7EDB6A8F" w:rsidR="00BB51D9" w:rsidRDefault="008473A1" w:rsidP="002F04B5">
      <w:pPr>
        <w:pStyle w:val="H4G"/>
        <w:rPr>
          <w:lang w:val="fr-FR"/>
        </w:rPr>
      </w:pPr>
      <w:r>
        <w:rPr>
          <w:lang w:val="fr-FR"/>
        </w:rPr>
        <w:tab/>
      </w:r>
      <w:r>
        <w:rPr>
          <w:lang w:val="fr-FR"/>
        </w:rPr>
        <w:tab/>
      </w:r>
      <w:r w:rsidR="00BB51D9" w:rsidRPr="00E83253">
        <w:rPr>
          <w:lang w:val="fr-FR"/>
        </w:rPr>
        <w:t>Documents informels</w:t>
      </w:r>
    </w:p>
    <w:p w14:paraId="6EC3CB21" w14:textId="1673B9C5" w:rsidR="00BB51D9" w:rsidRDefault="00BB51D9" w:rsidP="006B2B2D">
      <w:pPr>
        <w:pStyle w:val="SingleTxtG"/>
        <w:rPr>
          <w:color w:val="000000"/>
          <w:szCs w:val="22"/>
          <w:lang w:val="fr-FR"/>
        </w:rPr>
      </w:pPr>
      <w:r w:rsidRPr="00E83253">
        <w:rPr>
          <w:color w:val="000000"/>
          <w:szCs w:val="22"/>
          <w:lang w:val="fr-FR"/>
        </w:rPr>
        <w:t>6.</w:t>
      </w:r>
      <w:r w:rsidRPr="00E83253">
        <w:rPr>
          <w:color w:val="000000"/>
          <w:szCs w:val="22"/>
          <w:lang w:val="fr-FR"/>
        </w:rPr>
        <w:tab/>
        <w:t>Un document informel peut être présenté pour examen à une session à condition</w:t>
      </w:r>
      <w:r w:rsidR="00986945">
        <w:rPr>
          <w:color w:val="000000"/>
          <w:szCs w:val="22"/>
          <w:lang w:val="fr-FR"/>
        </w:rPr>
        <w:t> :</w:t>
      </w:r>
    </w:p>
    <w:p w14:paraId="68549551" w14:textId="1CCB169F" w:rsidR="00BB51D9" w:rsidRDefault="00BB51D9" w:rsidP="008473A1">
      <w:pPr>
        <w:pStyle w:val="SingleTxtG"/>
        <w:ind w:firstLine="567"/>
        <w:rPr>
          <w:color w:val="000000"/>
          <w:szCs w:val="22"/>
          <w:lang w:val="fr-FR"/>
        </w:rPr>
      </w:pPr>
      <w:r w:rsidRPr="00E83253">
        <w:rPr>
          <w:color w:val="000000"/>
          <w:szCs w:val="22"/>
          <w:lang w:val="fr-FR"/>
        </w:rPr>
        <w:t>a)</w:t>
      </w:r>
      <w:r w:rsidRPr="00E83253">
        <w:rPr>
          <w:color w:val="000000"/>
          <w:szCs w:val="22"/>
          <w:lang w:val="fr-FR"/>
        </w:rPr>
        <w:tab/>
        <w:t>Qu</w:t>
      </w:r>
      <w:r>
        <w:rPr>
          <w:color w:val="000000"/>
          <w:szCs w:val="22"/>
          <w:lang w:val="fr-FR"/>
        </w:rPr>
        <w:t>’</w:t>
      </w:r>
      <w:r w:rsidRPr="00E83253">
        <w:rPr>
          <w:color w:val="000000"/>
          <w:szCs w:val="22"/>
          <w:lang w:val="fr-FR"/>
        </w:rPr>
        <w:t>il contienne des commentaires précis ou des renseignements supplémentaires concernant un document nouveau inscrit à l</w:t>
      </w:r>
      <w:r>
        <w:rPr>
          <w:color w:val="000000"/>
          <w:szCs w:val="22"/>
          <w:lang w:val="fr-FR"/>
        </w:rPr>
        <w:t>’</w:t>
      </w:r>
      <w:r w:rsidRPr="00E83253">
        <w:rPr>
          <w:color w:val="000000"/>
          <w:szCs w:val="22"/>
          <w:lang w:val="fr-FR"/>
        </w:rPr>
        <w:t>ordre du jour provisoire et n</w:t>
      </w:r>
      <w:r>
        <w:rPr>
          <w:color w:val="000000"/>
          <w:szCs w:val="22"/>
          <w:lang w:val="fr-FR"/>
        </w:rPr>
        <w:t>’</w:t>
      </w:r>
      <w:r w:rsidRPr="00E83253">
        <w:rPr>
          <w:color w:val="000000"/>
          <w:szCs w:val="22"/>
          <w:lang w:val="fr-FR"/>
        </w:rPr>
        <w:t>ait donc pu être présenté dans les délais voulus</w:t>
      </w:r>
      <w:r w:rsidR="00804584">
        <w:rPr>
          <w:color w:val="000000"/>
          <w:szCs w:val="22"/>
          <w:lang w:val="fr-FR"/>
        </w:rPr>
        <w:t> </w:t>
      </w:r>
      <w:r w:rsidRPr="00E83253">
        <w:rPr>
          <w:color w:val="000000"/>
          <w:szCs w:val="22"/>
          <w:lang w:val="fr-FR"/>
        </w:rPr>
        <w:t>;</w:t>
      </w:r>
    </w:p>
    <w:p w14:paraId="0FF126A9" w14:textId="362F9E0A" w:rsidR="00BB51D9" w:rsidRDefault="00BB51D9" w:rsidP="008473A1">
      <w:pPr>
        <w:pStyle w:val="SingleTxtG"/>
        <w:ind w:firstLine="567"/>
        <w:rPr>
          <w:color w:val="000000"/>
          <w:szCs w:val="22"/>
          <w:lang w:val="fr-FR"/>
        </w:rPr>
      </w:pPr>
      <w:r w:rsidRPr="00E83253">
        <w:rPr>
          <w:color w:val="000000"/>
          <w:szCs w:val="22"/>
          <w:lang w:val="fr-FR"/>
        </w:rPr>
        <w:lastRenderedPageBreak/>
        <w:t>b)</w:t>
      </w:r>
      <w:r w:rsidRPr="00E83253">
        <w:rPr>
          <w:color w:val="000000"/>
          <w:szCs w:val="22"/>
          <w:lang w:val="fr-FR"/>
        </w:rPr>
        <w:tab/>
        <w:t>Qu</w:t>
      </w:r>
      <w:r>
        <w:rPr>
          <w:color w:val="000000"/>
          <w:szCs w:val="22"/>
          <w:lang w:val="fr-FR"/>
        </w:rPr>
        <w:t>’</w:t>
      </w:r>
      <w:r w:rsidRPr="00E83253">
        <w:rPr>
          <w:color w:val="000000"/>
          <w:szCs w:val="22"/>
          <w:lang w:val="fr-FR"/>
        </w:rPr>
        <w:t>il soit uniquement présenté à titre d</w:t>
      </w:r>
      <w:r>
        <w:rPr>
          <w:color w:val="000000"/>
          <w:szCs w:val="22"/>
          <w:lang w:val="fr-FR"/>
        </w:rPr>
        <w:t>’</w:t>
      </w:r>
      <w:r w:rsidRPr="00E83253">
        <w:rPr>
          <w:color w:val="000000"/>
          <w:szCs w:val="22"/>
          <w:lang w:val="fr-FR"/>
        </w:rPr>
        <w:t>information et n</w:t>
      </w:r>
      <w:r>
        <w:rPr>
          <w:color w:val="000000"/>
          <w:szCs w:val="22"/>
          <w:lang w:val="fr-FR"/>
        </w:rPr>
        <w:t>’</w:t>
      </w:r>
      <w:r w:rsidRPr="00E83253">
        <w:rPr>
          <w:color w:val="000000"/>
          <w:szCs w:val="22"/>
          <w:lang w:val="fr-FR"/>
        </w:rPr>
        <w:t>exige pas de décision du Groupe de travail</w:t>
      </w:r>
      <w:r w:rsidR="00804584">
        <w:rPr>
          <w:color w:val="000000"/>
          <w:szCs w:val="22"/>
          <w:lang w:val="fr-FR"/>
        </w:rPr>
        <w:t> </w:t>
      </w:r>
      <w:r w:rsidRPr="00E83253">
        <w:rPr>
          <w:color w:val="000000"/>
          <w:szCs w:val="22"/>
          <w:lang w:val="fr-FR"/>
        </w:rPr>
        <w:t>;</w:t>
      </w:r>
    </w:p>
    <w:p w14:paraId="3164D9E4" w14:textId="5BCEBC06" w:rsidR="00BB51D9" w:rsidRDefault="00BB51D9" w:rsidP="008473A1">
      <w:pPr>
        <w:pStyle w:val="SingleTxtG"/>
        <w:ind w:firstLine="567"/>
        <w:rPr>
          <w:color w:val="000000"/>
          <w:szCs w:val="22"/>
          <w:lang w:val="fr-FR"/>
        </w:rPr>
      </w:pPr>
      <w:r w:rsidRPr="00E83253">
        <w:rPr>
          <w:color w:val="000000"/>
          <w:szCs w:val="22"/>
          <w:lang w:val="fr-FR"/>
        </w:rPr>
        <w:t>c)</w:t>
      </w:r>
      <w:r w:rsidRPr="00E83253">
        <w:rPr>
          <w:color w:val="000000"/>
          <w:szCs w:val="22"/>
          <w:lang w:val="fr-FR"/>
        </w:rPr>
        <w:tab/>
        <w:t>Qu</w:t>
      </w:r>
      <w:r>
        <w:rPr>
          <w:color w:val="000000"/>
          <w:szCs w:val="22"/>
          <w:lang w:val="fr-FR"/>
        </w:rPr>
        <w:t>’</w:t>
      </w:r>
      <w:r w:rsidRPr="00E83253">
        <w:rPr>
          <w:color w:val="000000"/>
          <w:szCs w:val="22"/>
          <w:lang w:val="fr-FR"/>
        </w:rPr>
        <w:t>ils vise à corriger des erreurs flagrantes dans des textes existants</w:t>
      </w:r>
      <w:r w:rsidR="00804584">
        <w:rPr>
          <w:color w:val="000000"/>
          <w:szCs w:val="22"/>
          <w:lang w:val="fr-FR"/>
        </w:rPr>
        <w:t> </w:t>
      </w:r>
      <w:r w:rsidRPr="00E83253">
        <w:rPr>
          <w:color w:val="000000"/>
          <w:szCs w:val="22"/>
          <w:lang w:val="fr-FR"/>
        </w:rPr>
        <w:t>; ou</w:t>
      </w:r>
    </w:p>
    <w:p w14:paraId="0507D806" w14:textId="3A05262A" w:rsidR="00BB51D9" w:rsidRDefault="00BB51D9" w:rsidP="008473A1">
      <w:pPr>
        <w:pStyle w:val="SingleTxtG"/>
        <w:ind w:firstLine="567"/>
        <w:rPr>
          <w:color w:val="000000"/>
          <w:szCs w:val="22"/>
          <w:lang w:val="fr-FR"/>
        </w:rPr>
      </w:pPr>
      <w:r w:rsidRPr="00E83253">
        <w:rPr>
          <w:color w:val="000000"/>
          <w:szCs w:val="22"/>
          <w:lang w:val="fr-FR"/>
        </w:rPr>
        <w:t>d)</w:t>
      </w:r>
      <w:r w:rsidRPr="00E83253">
        <w:rPr>
          <w:color w:val="000000"/>
          <w:szCs w:val="22"/>
          <w:lang w:val="fr-FR"/>
        </w:rPr>
        <w:tab/>
        <w:t>Qu</w:t>
      </w:r>
      <w:r>
        <w:rPr>
          <w:color w:val="000000"/>
          <w:szCs w:val="22"/>
          <w:lang w:val="fr-FR"/>
        </w:rPr>
        <w:t>’</w:t>
      </w:r>
      <w:r w:rsidRPr="00E83253">
        <w:rPr>
          <w:color w:val="000000"/>
          <w:szCs w:val="22"/>
          <w:lang w:val="fr-FR"/>
        </w:rPr>
        <w:t>il requiert un premier avis sur une interprétation des textes existants</w:t>
      </w:r>
      <w:r w:rsidR="00986945">
        <w:rPr>
          <w:color w:val="000000"/>
          <w:szCs w:val="22"/>
          <w:lang w:val="fr-FR"/>
        </w:rPr>
        <w:t> ;</w:t>
      </w:r>
      <w:r w:rsidRPr="00E83253">
        <w:rPr>
          <w:color w:val="000000"/>
          <w:szCs w:val="22"/>
          <w:lang w:val="fr-FR"/>
        </w:rPr>
        <w:t xml:space="preserve"> </w:t>
      </w:r>
    </w:p>
    <w:p w14:paraId="18F709A4" w14:textId="77777777" w:rsidR="00BB51D9" w:rsidRDefault="00BB51D9" w:rsidP="008473A1">
      <w:pPr>
        <w:pStyle w:val="SingleTxtG"/>
        <w:ind w:firstLine="567"/>
        <w:rPr>
          <w:color w:val="000000"/>
          <w:szCs w:val="22"/>
          <w:lang w:val="fr-FR"/>
        </w:rPr>
      </w:pPr>
      <w:r w:rsidRPr="00E83253">
        <w:rPr>
          <w:color w:val="000000"/>
          <w:szCs w:val="22"/>
          <w:lang w:val="fr-FR"/>
        </w:rPr>
        <w:t>e)</w:t>
      </w:r>
      <w:r w:rsidRPr="00E83253">
        <w:rPr>
          <w:color w:val="000000"/>
          <w:szCs w:val="22"/>
          <w:lang w:val="fr-FR"/>
        </w:rPr>
        <w:tab/>
        <w:t>Qu</w:t>
      </w:r>
      <w:r>
        <w:rPr>
          <w:color w:val="000000"/>
          <w:szCs w:val="22"/>
          <w:lang w:val="fr-FR"/>
        </w:rPr>
        <w:t>’</w:t>
      </w:r>
      <w:r w:rsidRPr="00E83253">
        <w:rPr>
          <w:color w:val="000000"/>
          <w:szCs w:val="22"/>
          <w:lang w:val="fr-FR"/>
        </w:rPr>
        <w:t>il contienne le rapport d</w:t>
      </w:r>
      <w:r>
        <w:rPr>
          <w:color w:val="000000"/>
          <w:szCs w:val="22"/>
          <w:lang w:val="fr-FR"/>
        </w:rPr>
        <w:t>’</w:t>
      </w:r>
      <w:r w:rsidRPr="00E83253">
        <w:rPr>
          <w:color w:val="000000"/>
          <w:szCs w:val="22"/>
          <w:lang w:val="fr-FR"/>
        </w:rPr>
        <w:t>un groupe de travail informel.</w:t>
      </w:r>
    </w:p>
    <w:p w14:paraId="5839998A" w14:textId="762530E7" w:rsidR="00BB51D9" w:rsidRDefault="00BB51D9" w:rsidP="006B2B2D">
      <w:pPr>
        <w:pStyle w:val="SingleTxtG"/>
        <w:rPr>
          <w:color w:val="000000"/>
          <w:szCs w:val="22"/>
          <w:lang w:val="fr-FR"/>
        </w:rPr>
      </w:pPr>
      <w:r w:rsidRPr="00E83253">
        <w:rPr>
          <w:color w:val="000000"/>
          <w:szCs w:val="22"/>
          <w:lang w:val="fr-FR"/>
        </w:rPr>
        <w:t>7.</w:t>
      </w:r>
      <w:r w:rsidRPr="00E83253">
        <w:rPr>
          <w:color w:val="000000"/>
          <w:szCs w:val="22"/>
          <w:lang w:val="fr-FR"/>
        </w:rPr>
        <w:tab/>
        <w:t>Ces documents informels doivent être transmis au secrétariat par courrier électronique, suffisamment de temps à l</w:t>
      </w:r>
      <w:r>
        <w:rPr>
          <w:color w:val="000000"/>
          <w:szCs w:val="22"/>
          <w:lang w:val="fr-FR"/>
        </w:rPr>
        <w:t>’</w:t>
      </w:r>
      <w:r w:rsidRPr="00E83253">
        <w:rPr>
          <w:color w:val="000000"/>
          <w:szCs w:val="22"/>
          <w:lang w:val="fr-FR"/>
        </w:rPr>
        <w:t>avance pour qu</w:t>
      </w:r>
      <w:r>
        <w:rPr>
          <w:color w:val="000000"/>
          <w:szCs w:val="22"/>
          <w:lang w:val="fr-FR"/>
        </w:rPr>
        <w:t>’</w:t>
      </w:r>
      <w:r w:rsidRPr="00E83253">
        <w:rPr>
          <w:color w:val="000000"/>
          <w:szCs w:val="22"/>
          <w:lang w:val="fr-FR"/>
        </w:rPr>
        <w:t xml:space="preserve">ils puissent être mis à disposition sur le site </w:t>
      </w:r>
      <w:r w:rsidR="00804584">
        <w:rPr>
          <w:color w:val="000000"/>
          <w:szCs w:val="22"/>
          <w:lang w:val="fr-FR"/>
        </w:rPr>
        <w:t>W</w:t>
      </w:r>
      <w:r w:rsidRPr="00E83253">
        <w:rPr>
          <w:color w:val="000000"/>
          <w:szCs w:val="22"/>
          <w:lang w:val="fr-FR"/>
        </w:rPr>
        <w:t>eb de la CEE</w:t>
      </w:r>
      <w:r w:rsidR="008473A1">
        <w:rPr>
          <w:rStyle w:val="Appelnotedebasdep"/>
          <w:color w:val="000000"/>
          <w:szCs w:val="22"/>
        </w:rPr>
        <w:footnoteReference w:id="8"/>
      </w:r>
      <w:r w:rsidRPr="00E83253">
        <w:rPr>
          <w:color w:val="000000"/>
          <w:szCs w:val="22"/>
          <w:lang w:val="fr-FR"/>
        </w:rPr>
        <w:t xml:space="preserve">. En principe, et sauf exception, le secrétariat ne reproduit pas et ne diffuse pas de copies papier de ces documents informels. </w:t>
      </w:r>
    </w:p>
    <w:p w14:paraId="34C42F7B" w14:textId="0CB3DF1E" w:rsidR="00BB51D9" w:rsidRDefault="00BB51D9" w:rsidP="006B2B2D">
      <w:pPr>
        <w:pStyle w:val="SingleTxtG"/>
        <w:rPr>
          <w:color w:val="000000"/>
          <w:szCs w:val="22"/>
          <w:lang w:val="fr-FR"/>
        </w:rPr>
      </w:pPr>
      <w:r w:rsidRPr="00E83253">
        <w:rPr>
          <w:color w:val="000000"/>
          <w:szCs w:val="22"/>
          <w:lang w:val="fr-FR"/>
        </w:rPr>
        <w:t>8.</w:t>
      </w:r>
      <w:r w:rsidRPr="00E83253">
        <w:rPr>
          <w:color w:val="000000"/>
          <w:szCs w:val="22"/>
          <w:lang w:val="fr-FR"/>
        </w:rPr>
        <w:tab/>
        <w:t xml:space="preserve">Le secrétariat affectera aux documents informels une cote </w:t>
      </w:r>
      <w:r w:rsidR="008473A1">
        <w:rPr>
          <w:color w:val="000000"/>
          <w:szCs w:val="22"/>
          <w:lang w:val="fr-FR"/>
        </w:rPr>
        <w:t>« </w:t>
      </w:r>
      <w:r w:rsidRPr="00E83253">
        <w:rPr>
          <w:color w:val="000000"/>
          <w:szCs w:val="22"/>
          <w:lang w:val="fr-FR"/>
        </w:rPr>
        <w:t>INF</w:t>
      </w:r>
      <w:r w:rsidR="008473A1">
        <w:rPr>
          <w:color w:val="000000"/>
          <w:szCs w:val="22"/>
          <w:lang w:val="fr-FR"/>
        </w:rPr>
        <w:t> »</w:t>
      </w:r>
      <w:r w:rsidRPr="00E83253">
        <w:rPr>
          <w:color w:val="000000"/>
          <w:szCs w:val="22"/>
          <w:lang w:val="fr-FR"/>
        </w:rPr>
        <w:t xml:space="preserve"> qui sera communiquée à l</w:t>
      </w:r>
      <w:r>
        <w:rPr>
          <w:color w:val="000000"/>
          <w:szCs w:val="22"/>
          <w:lang w:val="fr-FR"/>
        </w:rPr>
        <w:t>’</w:t>
      </w:r>
      <w:r w:rsidRPr="00E83253">
        <w:rPr>
          <w:color w:val="000000"/>
          <w:szCs w:val="22"/>
          <w:lang w:val="fr-FR"/>
        </w:rPr>
        <w:t>auteur du document, qui pourra faire parvenir des prétirages à d</w:t>
      </w:r>
      <w:r>
        <w:rPr>
          <w:color w:val="000000"/>
          <w:szCs w:val="22"/>
          <w:lang w:val="fr-FR"/>
        </w:rPr>
        <w:t>’</w:t>
      </w:r>
      <w:r w:rsidRPr="00E83253">
        <w:rPr>
          <w:color w:val="000000"/>
          <w:szCs w:val="22"/>
          <w:lang w:val="fr-FR"/>
        </w:rPr>
        <w:t>autres délégations. L</w:t>
      </w:r>
      <w:r>
        <w:rPr>
          <w:color w:val="000000"/>
          <w:szCs w:val="22"/>
          <w:lang w:val="fr-FR"/>
        </w:rPr>
        <w:t>’</w:t>
      </w:r>
      <w:r w:rsidRPr="00E83253">
        <w:rPr>
          <w:color w:val="000000"/>
          <w:szCs w:val="22"/>
          <w:lang w:val="fr-FR"/>
        </w:rPr>
        <w:t>auteur d</w:t>
      </w:r>
      <w:r>
        <w:rPr>
          <w:color w:val="000000"/>
          <w:szCs w:val="22"/>
          <w:lang w:val="fr-FR"/>
        </w:rPr>
        <w:t>’</w:t>
      </w:r>
      <w:r w:rsidRPr="00E83253">
        <w:rPr>
          <w:color w:val="000000"/>
          <w:szCs w:val="22"/>
          <w:lang w:val="fr-FR"/>
        </w:rPr>
        <w:t>un document informel indiquera clairement le titre de sa communication, le document officiel auquel elle a trait, le cas échéant, et le point de l</w:t>
      </w:r>
      <w:r>
        <w:rPr>
          <w:color w:val="000000"/>
          <w:szCs w:val="22"/>
          <w:lang w:val="fr-FR"/>
        </w:rPr>
        <w:t>’</w:t>
      </w:r>
      <w:r w:rsidRPr="00E83253">
        <w:rPr>
          <w:color w:val="000000"/>
          <w:szCs w:val="22"/>
          <w:lang w:val="fr-FR"/>
        </w:rPr>
        <w:t>ordre du jour au titre duquel elle devrait être examinée.</w:t>
      </w:r>
    </w:p>
    <w:p w14:paraId="630F0F4D" w14:textId="655E4E2F" w:rsidR="00F9573C" w:rsidRDefault="00BB51D9" w:rsidP="006B2B2D">
      <w:pPr>
        <w:pStyle w:val="SingleTxtG"/>
        <w:rPr>
          <w:lang w:val="fr-FR"/>
        </w:rPr>
      </w:pPr>
      <w:r w:rsidRPr="00E83253">
        <w:rPr>
          <w:color w:val="000000"/>
          <w:szCs w:val="22"/>
          <w:lang w:val="fr-FR"/>
        </w:rPr>
        <w:t>9.</w:t>
      </w:r>
      <w:r w:rsidRPr="00E83253">
        <w:rPr>
          <w:color w:val="000000"/>
          <w:szCs w:val="22"/>
          <w:lang w:val="fr-FR"/>
        </w:rPr>
        <w:tab/>
        <w:t>D</w:t>
      </w:r>
      <w:r>
        <w:rPr>
          <w:color w:val="000000"/>
          <w:szCs w:val="22"/>
          <w:lang w:val="fr-FR"/>
        </w:rPr>
        <w:t>’</w:t>
      </w:r>
      <w:r w:rsidRPr="00E83253">
        <w:rPr>
          <w:color w:val="000000"/>
          <w:szCs w:val="22"/>
          <w:lang w:val="fr-FR"/>
        </w:rPr>
        <w:t>autres documents peuvent être distribués aux délégations en cours de session, par exemple des documents informels sans aucun lien avec un point de l</w:t>
      </w:r>
      <w:r>
        <w:rPr>
          <w:color w:val="000000"/>
          <w:szCs w:val="22"/>
          <w:lang w:val="fr-FR"/>
        </w:rPr>
        <w:t>’</w:t>
      </w:r>
      <w:r w:rsidRPr="00E83253">
        <w:rPr>
          <w:color w:val="000000"/>
          <w:szCs w:val="22"/>
          <w:lang w:val="fr-FR"/>
        </w:rPr>
        <w:t>ordre du jour, des prétirages de propositions futures, etc. Ces documents ne recevront pas de cote INF, devront être reproduits et distribués par leur auteur et non par le secrétariat. Ils ne seront pas examinés lors de la session, sauf si le Groupe de travail en décide autrement.</w:t>
      </w:r>
    </w:p>
    <w:p w14:paraId="656B78AE" w14:textId="77777777" w:rsidR="00BE25DA" w:rsidRDefault="00BE25DA" w:rsidP="00AF0CB5">
      <w:pPr>
        <w:rPr>
          <w:lang w:val="fr-FR"/>
        </w:rPr>
        <w:sectPr w:rsidR="00BE25DA" w:rsidSect="00BB51D9">
          <w:headerReference w:type="even" r:id="rId13"/>
          <w:footerReference w:type="even" r:id="rId14"/>
          <w:headerReference w:type="first" r:id="rId15"/>
          <w:footerReference w:type="first" r:id="rId16"/>
          <w:endnotePr>
            <w:numFmt w:val="decimal"/>
          </w:endnotePr>
          <w:pgSz w:w="11906" w:h="16838" w:code="9"/>
          <w:pgMar w:top="1417" w:right="1134" w:bottom="1134" w:left="1134" w:header="850" w:footer="567" w:gutter="0"/>
          <w:cols w:space="708"/>
          <w:docGrid w:linePitch="360"/>
        </w:sectPr>
      </w:pPr>
    </w:p>
    <w:p w14:paraId="67D541E0" w14:textId="77777777" w:rsidR="00BE25DA" w:rsidRDefault="00BE25DA" w:rsidP="008473A1">
      <w:pPr>
        <w:pStyle w:val="HChG"/>
        <w:rPr>
          <w:lang w:val="fr-FR"/>
        </w:rPr>
      </w:pPr>
      <w:r w:rsidRPr="00E83253">
        <w:rPr>
          <w:lang w:val="fr-FR"/>
        </w:rPr>
        <w:lastRenderedPageBreak/>
        <w:t>Appendice</w:t>
      </w:r>
    </w:p>
    <w:p w14:paraId="363A923E" w14:textId="3EEABAAC" w:rsidR="00BE25DA" w:rsidRPr="00804584" w:rsidRDefault="008473A1" w:rsidP="008473A1">
      <w:pPr>
        <w:pStyle w:val="HChG"/>
        <w:rPr>
          <w:b w:val="0"/>
          <w:bCs/>
          <w:spacing w:val="-4"/>
          <w:szCs w:val="22"/>
          <w:lang w:val="fr-FR"/>
        </w:rPr>
      </w:pPr>
      <w:r>
        <w:rPr>
          <w:lang w:val="fr-FR"/>
        </w:rPr>
        <w:tab/>
      </w:r>
      <w:r>
        <w:rPr>
          <w:lang w:val="fr-FR"/>
        </w:rPr>
        <w:tab/>
      </w:r>
      <w:r w:rsidR="00BE25DA" w:rsidRPr="00804584">
        <w:rPr>
          <w:spacing w:val="-3"/>
          <w:lang w:val="fr-FR"/>
        </w:rPr>
        <w:t>Contenu normalisé des documents</w:t>
      </w:r>
      <w:r w:rsidRPr="00804584">
        <w:rPr>
          <w:spacing w:val="-3"/>
          <w:lang w:val="fr-FR"/>
        </w:rPr>
        <w:t xml:space="preserve"> </w:t>
      </w:r>
      <w:r w:rsidR="00BE25DA" w:rsidRPr="00804584">
        <w:rPr>
          <w:spacing w:val="-3"/>
          <w:lang w:val="fr-FR"/>
        </w:rPr>
        <w:t>(en cas de propositions</w:t>
      </w:r>
      <w:r w:rsidR="00BE25DA" w:rsidRPr="00804584">
        <w:rPr>
          <w:spacing w:val="-4"/>
          <w:lang w:val="fr-FR"/>
        </w:rPr>
        <w:t xml:space="preserve"> relatives à des textes réglementaires</w:t>
      </w:r>
      <w:r w:rsidRPr="00804584">
        <w:rPr>
          <w:spacing w:val="-4"/>
          <w:lang w:val="fr-FR"/>
        </w:rPr>
        <w:t xml:space="preserve"> </w:t>
      </w:r>
      <w:r w:rsidR="00BE25DA" w:rsidRPr="00804584">
        <w:rPr>
          <w:bCs/>
          <w:spacing w:val="-4"/>
          <w:szCs w:val="22"/>
          <w:lang w:val="fr-FR"/>
        </w:rPr>
        <w:t>ou à des recommandations)</w:t>
      </w:r>
    </w:p>
    <w:p w14:paraId="00092A52" w14:textId="77777777" w:rsidR="00BE25DA" w:rsidRDefault="00BE25DA" w:rsidP="008473A1">
      <w:pPr>
        <w:pStyle w:val="Bullet1G"/>
        <w:rPr>
          <w:lang w:val="fr-FR"/>
        </w:rPr>
      </w:pPr>
      <w:r w:rsidRPr="00E83253">
        <w:rPr>
          <w:lang w:val="fr-FR"/>
        </w:rPr>
        <w:t>Titre du point de l</w:t>
      </w:r>
      <w:r>
        <w:rPr>
          <w:lang w:val="fr-FR"/>
        </w:rPr>
        <w:t>’</w:t>
      </w:r>
      <w:r w:rsidRPr="00E83253">
        <w:rPr>
          <w:lang w:val="fr-FR"/>
        </w:rPr>
        <w:t>ordre du jour</w:t>
      </w:r>
    </w:p>
    <w:p w14:paraId="7AA949E7" w14:textId="77777777" w:rsidR="00BE25DA" w:rsidRDefault="00BE25DA" w:rsidP="008473A1">
      <w:pPr>
        <w:pStyle w:val="Bullet1G"/>
        <w:rPr>
          <w:lang w:val="fr-FR"/>
        </w:rPr>
      </w:pPr>
      <w:r w:rsidRPr="00E83253">
        <w:rPr>
          <w:lang w:val="fr-FR"/>
        </w:rPr>
        <w:t>Titre de la proposition, énonçant la question</w:t>
      </w:r>
    </w:p>
    <w:p w14:paraId="4B851303" w14:textId="77777777" w:rsidR="00BE25DA" w:rsidRDefault="00BE25DA" w:rsidP="008473A1">
      <w:pPr>
        <w:pStyle w:val="Bullet1G"/>
        <w:rPr>
          <w:lang w:val="fr-FR"/>
        </w:rPr>
      </w:pPr>
      <w:r w:rsidRPr="00E83253">
        <w:rPr>
          <w:lang w:val="fr-FR"/>
        </w:rPr>
        <w:t xml:space="preserve">Communication </w:t>
      </w:r>
      <w:r w:rsidRPr="008473A1">
        <w:t>de</w:t>
      </w:r>
      <w:r w:rsidRPr="00E83253">
        <w:rPr>
          <w:lang w:val="fr-FR"/>
        </w:rPr>
        <w:t xml:space="preserve"> ...</w:t>
      </w:r>
    </w:p>
    <w:p w14:paraId="4B373786" w14:textId="5446D970" w:rsidR="00BE25DA" w:rsidRDefault="00BE25DA" w:rsidP="008473A1">
      <w:pPr>
        <w:pStyle w:val="Bullet1G"/>
        <w:rPr>
          <w:lang w:val="fr-FR"/>
        </w:rPr>
      </w:pPr>
      <w:r w:rsidRPr="008473A1">
        <w:t>Résumé</w:t>
      </w:r>
      <w:r w:rsidR="00986945">
        <w:rPr>
          <w:lang w:val="fr-FR"/>
        </w:rPr>
        <w:t> :</w:t>
      </w:r>
    </w:p>
    <w:p w14:paraId="3748E37E" w14:textId="084A6951" w:rsidR="00BE25DA" w:rsidRPr="008473A1" w:rsidRDefault="00BE25DA" w:rsidP="00BE25DA">
      <w:pPr>
        <w:pStyle w:val="Bullet2G"/>
        <w:tabs>
          <w:tab w:val="left" w:pos="0"/>
          <w:tab w:val="left" w:pos="283"/>
          <w:tab w:val="left" w:pos="624"/>
          <w:tab w:val="left" w:pos="6361"/>
          <w:tab w:val="left" w:pos="6939"/>
          <w:tab w:val="left" w:pos="8259"/>
        </w:tabs>
        <w:rPr>
          <w:szCs w:val="22"/>
          <w:lang w:val="fr-FR"/>
        </w:rPr>
      </w:pPr>
      <w:r w:rsidRPr="008473A1">
        <w:rPr>
          <w:lang w:val="fr-FR"/>
        </w:rPr>
        <w:t>Résumé analytique</w:t>
      </w:r>
      <w:r w:rsidR="00986945" w:rsidRPr="008473A1">
        <w:rPr>
          <w:lang w:val="fr-FR"/>
        </w:rPr>
        <w:t> :</w:t>
      </w:r>
      <w:r w:rsidRPr="008473A1">
        <w:rPr>
          <w:lang w:val="fr-FR"/>
        </w:rPr>
        <w:t xml:space="preserve"> Cette description indique quel est l’objet du document (amendement, </w:t>
      </w:r>
      <w:r w:rsidRPr="008473A1">
        <w:rPr>
          <w:szCs w:val="22"/>
          <w:lang w:val="fr-FR"/>
        </w:rPr>
        <w:t>pour information seulement, etc.)</w:t>
      </w:r>
      <w:r w:rsidR="008473A1">
        <w:rPr>
          <w:szCs w:val="22"/>
          <w:lang w:val="fr-FR"/>
        </w:rPr>
        <w:t> ;</w:t>
      </w:r>
    </w:p>
    <w:p w14:paraId="4132D7B7" w14:textId="69723B0A" w:rsidR="00BE25DA" w:rsidRPr="008473A1" w:rsidRDefault="00BE25DA" w:rsidP="00BE25DA">
      <w:pPr>
        <w:pStyle w:val="Bullet2G"/>
        <w:tabs>
          <w:tab w:val="left" w:pos="0"/>
          <w:tab w:val="left" w:pos="283"/>
          <w:tab w:val="left" w:pos="624"/>
          <w:tab w:val="left" w:pos="6361"/>
          <w:tab w:val="left" w:pos="6939"/>
          <w:tab w:val="left" w:pos="8259"/>
        </w:tabs>
        <w:rPr>
          <w:szCs w:val="22"/>
          <w:lang w:val="fr-FR"/>
        </w:rPr>
      </w:pPr>
      <w:r w:rsidRPr="008473A1">
        <w:rPr>
          <w:lang w:val="fr-FR"/>
        </w:rPr>
        <w:t>Décision à prendre</w:t>
      </w:r>
      <w:r w:rsidR="00986945" w:rsidRPr="008473A1">
        <w:rPr>
          <w:lang w:val="fr-FR"/>
        </w:rPr>
        <w:t> :</w:t>
      </w:r>
      <w:r w:rsidRPr="008473A1">
        <w:rPr>
          <w:lang w:val="fr-FR"/>
        </w:rPr>
        <w:t xml:space="preserve"> Il est fait référence aux paragraphes de la réglementation ou autres </w:t>
      </w:r>
      <w:r w:rsidRPr="008473A1">
        <w:rPr>
          <w:szCs w:val="22"/>
          <w:lang w:val="fr-FR"/>
        </w:rPr>
        <w:t>textes qu’il convient d’amender</w:t>
      </w:r>
      <w:r w:rsidR="008473A1">
        <w:rPr>
          <w:szCs w:val="22"/>
          <w:lang w:val="fr-FR"/>
        </w:rPr>
        <w:t> ;</w:t>
      </w:r>
    </w:p>
    <w:p w14:paraId="568A5BDA" w14:textId="12346437" w:rsidR="00BE25DA" w:rsidRDefault="00BE25DA" w:rsidP="008473A1">
      <w:pPr>
        <w:pStyle w:val="Bullet2G"/>
        <w:rPr>
          <w:lang w:val="fr-FR"/>
        </w:rPr>
      </w:pPr>
      <w:r w:rsidRPr="008473A1">
        <w:rPr>
          <w:lang w:val="fr-FR"/>
        </w:rPr>
        <w:t>Documents connexes</w:t>
      </w:r>
      <w:r w:rsidR="00986945" w:rsidRPr="008473A1">
        <w:rPr>
          <w:lang w:val="fr-FR"/>
        </w:rPr>
        <w:t> :</w:t>
      </w:r>
      <w:r w:rsidRPr="00E83253">
        <w:rPr>
          <w:lang w:val="fr-FR"/>
        </w:rPr>
        <w:t xml:space="preserve"> Énumération des autres documents clefs.</w:t>
      </w:r>
    </w:p>
    <w:p w14:paraId="14F298E8" w14:textId="4CA130C6" w:rsidR="00BE25DA" w:rsidRDefault="00BE25DA" w:rsidP="008473A1">
      <w:pPr>
        <w:pStyle w:val="Bullet1G"/>
        <w:rPr>
          <w:lang w:val="fr-FR"/>
        </w:rPr>
      </w:pPr>
      <w:r w:rsidRPr="008473A1">
        <w:rPr>
          <w:lang w:val="fr-FR"/>
        </w:rPr>
        <w:t>Introduction</w:t>
      </w:r>
      <w:r w:rsidR="00986945" w:rsidRPr="008473A1">
        <w:rPr>
          <w:lang w:val="fr-FR"/>
        </w:rPr>
        <w:t> :</w:t>
      </w:r>
      <w:r w:rsidR="008473A1">
        <w:rPr>
          <w:lang w:val="fr-FR"/>
        </w:rPr>
        <w:t xml:space="preserve"> </w:t>
      </w:r>
      <w:r w:rsidRPr="00E83253">
        <w:rPr>
          <w:lang w:val="fr-FR"/>
        </w:rPr>
        <w:t>Motif/faits nouveaux, justifiant instamment la modification à la réglementation.</w:t>
      </w:r>
    </w:p>
    <w:p w14:paraId="7F2D4FD4" w14:textId="17E8C7F9" w:rsidR="00BE25DA" w:rsidRPr="008473A1" w:rsidRDefault="00BE25DA" w:rsidP="008473A1">
      <w:pPr>
        <w:pStyle w:val="Bullet1G"/>
        <w:rPr>
          <w:lang w:val="fr-FR"/>
        </w:rPr>
      </w:pPr>
      <w:r w:rsidRPr="008473A1">
        <w:t>Proposition</w:t>
      </w:r>
      <w:r w:rsidR="00986945" w:rsidRPr="008473A1">
        <w:rPr>
          <w:lang w:val="fr-FR"/>
        </w:rPr>
        <w:t> :</w:t>
      </w:r>
      <w:r w:rsidR="00804584">
        <w:rPr>
          <w:lang w:val="fr-FR"/>
        </w:rPr>
        <w:t xml:space="preserve"> </w:t>
      </w:r>
      <w:r w:rsidRPr="008473A1">
        <w:rPr>
          <w:lang w:val="fr-FR"/>
        </w:rPr>
        <w:t>Description de la modification proposée.</w:t>
      </w:r>
      <w:r w:rsidR="008473A1">
        <w:rPr>
          <w:lang w:val="fr-FR"/>
        </w:rPr>
        <w:t xml:space="preserve"> </w:t>
      </w:r>
      <w:r w:rsidRPr="008473A1">
        <w:rPr>
          <w:lang w:val="fr-FR"/>
        </w:rPr>
        <w:t>Y compris</w:t>
      </w:r>
      <w:r w:rsidR="00986945" w:rsidRPr="008473A1">
        <w:rPr>
          <w:lang w:val="fr-FR"/>
        </w:rPr>
        <w:t> :</w:t>
      </w:r>
      <w:r w:rsidRPr="008473A1">
        <w:rPr>
          <w:lang w:val="fr-FR"/>
        </w:rPr>
        <w:t xml:space="preserve"> Texte modifié des paragraphes et amendements qui en découlent.</w:t>
      </w:r>
    </w:p>
    <w:p w14:paraId="085C84F6" w14:textId="3713DFB9" w:rsidR="00BE25DA" w:rsidRPr="00E83253" w:rsidRDefault="00BE25DA" w:rsidP="008473A1">
      <w:pPr>
        <w:pStyle w:val="Bullet1G"/>
        <w:rPr>
          <w:lang w:val="fr-FR"/>
        </w:rPr>
      </w:pPr>
      <w:r w:rsidRPr="00E83253">
        <w:rPr>
          <w:lang w:val="fr-FR"/>
        </w:rPr>
        <w:t>Justification</w:t>
      </w:r>
      <w:r w:rsidR="00986945">
        <w:rPr>
          <w:lang w:val="fr-FR"/>
        </w:rPr>
        <w:t> :</w:t>
      </w:r>
    </w:p>
    <w:p w14:paraId="6065781A" w14:textId="05D591F6" w:rsidR="00BE25DA" w:rsidRPr="00E83253" w:rsidRDefault="00BE25DA" w:rsidP="008473A1">
      <w:pPr>
        <w:pStyle w:val="Bullet2G"/>
        <w:rPr>
          <w:lang w:val="fr-FR"/>
        </w:rPr>
      </w:pPr>
      <w:r w:rsidRPr="008473A1">
        <w:rPr>
          <w:lang w:val="fr-FR"/>
        </w:rPr>
        <w:t>Sécurité</w:t>
      </w:r>
      <w:r w:rsidR="00986945" w:rsidRPr="008473A1">
        <w:rPr>
          <w:lang w:val="fr-FR"/>
        </w:rPr>
        <w:t> :</w:t>
      </w:r>
      <w:r w:rsidR="008473A1">
        <w:rPr>
          <w:lang w:val="fr-FR"/>
        </w:rPr>
        <w:t xml:space="preserve"> </w:t>
      </w:r>
      <w:r w:rsidRPr="00E83253">
        <w:rPr>
          <w:lang w:val="fr-FR"/>
        </w:rPr>
        <w:t>Quelles sont les incidences sur la sécurité</w:t>
      </w:r>
      <w:r w:rsidR="00804584">
        <w:rPr>
          <w:lang w:val="fr-FR"/>
        </w:rPr>
        <w:t> </w:t>
      </w:r>
      <w:r w:rsidRPr="00E83253">
        <w:rPr>
          <w:lang w:val="fr-FR"/>
        </w:rPr>
        <w:t>?</w:t>
      </w:r>
    </w:p>
    <w:p w14:paraId="754C5158" w14:textId="3D2795F7" w:rsidR="00BE25DA" w:rsidRPr="008473A1" w:rsidRDefault="00BE25DA" w:rsidP="008473A1">
      <w:pPr>
        <w:pStyle w:val="Bullet2G"/>
        <w:rPr>
          <w:lang w:val="fr-FR"/>
        </w:rPr>
      </w:pPr>
      <w:r w:rsidRPr="008473A1">
        <w:t>Faisabilité</w:t>
      </w:r>
      <w:r w:rsidR="00986945" w:rsidRPr="008473A1">
        <w:rPr>
          <w:lang w:val="fr-FR"/>
        </w:rPr>
        <w:t> :</w:t>
      </w:r>
      <w:r w:rsidR="008473A1" w:rsidRPr="008473A1">
        <w:rPr>
          <w:lang w:val="fr-FR"/>
        </w:rPr>
        <w:t xml:space="preserve"> </w:t>
      </w:r>
      <w:r w:rsidRPr="008473A1">
        <w:rPr>
          <w:lang w:val="fr-FR"/>
        </w:rPr>
        <w:t>Quel est le secteur d’entreprise ou le service public concerné par l’amendement proposé ?</w:t>
      </w:r>
      <w:r w:rsidR="008473A1" w:rsidRPr="008473A1">
        <w:rPr>
          <w:lang w:val="fr-FR"/>
        </w:rPr>
        <w:t xml:space="preserve"> </w:t>
      </w:r>
      <w:r w:rsidRPr="008473A1">
        <w:rPr>
          <w:lang w:val="fr-FR"/>
        </w:rPr>
        <w:t>Quelles en sont les conséquences sur le plan des avantages et des inconvénients ?</w:t>
      </w:r>
      <w:r w:rsidR="008473A1">
        <w:rPr>
          <w:lang w:val="fr-FR"/>
        </w:rPr>
        <w:t xml:space="preserve"> </w:t>
      </w:r>
      <w:r w:rsidRPr="008473A1">
        <w:rPr>
          <w:lang w:val="fr-FR"/>
        </w:rPr>
        <w:t>Faut-il prévoir une période transitoire</w:t>
      </w:r>
      <w:r w:rsidR="008473A1">
        <w:rPr>
          <w:lang w:val="fr-FR"/>
        </w:rPr>
        <w:t> </w:t>
      </w:r>
      <w:r w:rsidRPr="008473A1">
        <w:rPr>
          <w:lang w:val="fr-FR"/>
        </w:rPr>
        <w:t>?</w:t>
      </w:r>
    </w:p>
    <w:p w14:paraId="37CE22F4" w14:textId="6D4D3CF1" w:rsidR="00BE25DA" w:rsidRPr="008473A1" w:rsidRDefault="00BE25DA" w:rsidP="008473A1">
      <w:pPr>
        <w:pStyle w:val="Bullet2G"/>
        <w:rPr>
          <w:lang w:val="fr-FR"/>
        </w:rPr>
      </w:pPr>
      <w:r w:rsidRPr="00E83253">
        <w:rPr>
          <w:lang w:val="fr-FR"/>
        </w:rPr>
        <w:t xml:space="preserve">Application </w:t>
      </w:r>
      <w:r w:rsidRPr="008473A1">
        <w:rPr>
          <w:szCs w:val="22"/>
          <w:lang w:val="fr-FR"/>
        </w:rPr>
        <w:t>effective</w:t>
      </w:r>
      <w:r w:rsidR="00986945" w:rsidRPr="008473A1">
        <w:rPr>
          <w:szCs w:val="22"/>
          <w:lang w:val="fr-FR"/>
        </w:rPr>
        <w:t> :</w:t>
      </w:r>
      <w:r w:rsidR="00804584">
        <w:rPr>
          <w:szCs w:val="22"/>
          <w:lang w:val="fr-FR"/>
        </w:rPr>
        <w:t xml:space="preserve"> </w:t>
      </w:r>
      <w:r w:rsidRPr="008473A1">
        <w:rPr>
          <w:szCs w:val="22"/>
          <w:lang w:val="fr-FR"/>
        </w:rPr>
        <w:t>L’application des modifications peut-elle être observée ou contrôlée ?</w:t>
      </w:r>
    </w:p>
    <w:p w14:paraId="30205017" w14:textId="5EFD9CEE" w:rsidR="00BE25DA" w:rsidRDefault="00BE25DA" w:rsidP="00BE25DA">
      <w:pPr>
        <w:pStyle w:val="Bullet2G"/>
        <w:rPr>
          <w:lang w:val="fr-FR"/>
        </w:rPr>
      </w:pPr>
      <w:r w:rsidRPr="008473A1">
        <w:t>Économie circulaire, utilisation durable des ressources naturelles et objectifs de développement durable</w:t>
      </w:r>
      <w:r w:rsidR="00986945" w:rsidRPr="008473A1">
        <w:t> :</w:t>
      </w:r>
      <w:r w:rsidR="008473A1">
        <w:t xml:space="preserve"> </w:t>
      </w:r>
      <w:r w:rsidRPr="008473A1">
        <w:rPr>
          <w:lang w:val="fr-FR"/>
        </w:rPr>
        <w:t>Les modifications proposées peuvent-elles avoir une incidence sur la transition vers l’économie circulaire ? Les modifications proposées peuvent-elles contribuer à la gestion et à l’utilisation durables des ressources naturelles ? Comment les modifications proposées pourraient</w:t>
      </w:r>
      <w:r w:rsidR="00804584">
        <w:rPr>
          <w:lang w:val="fr-FR"/>
        </w:rPr>
        <w:noBreakHyphen/>
      </w:r>
      <w:r w:rsidRPr="008473A1">
        <w:rPr>
          <w:lang w:val="fr-FR"/>
        </w:rPr>
        <w:t>elles aider à réaliser certains objectifs de développement durable et à atteindre les cibles correspondantes, tels que décrits dans le Programme de développement durable à l’horizon 2030 ?</w:t>
      </w:r>
    </w:p>
    <w:p w14:paraId="138854CA" w14:textId="66ACBE60" w:rsidR="008473A1" w:rsidRDefault="008473A1">
      <w:pPr>
        <w:suppressAutoHyphens w:val="0"/>
        <w:kinsoku/>
        <w:overflowPunct/>
        <w:autoSpaceDE/>
        <w:autoSpaceDN/>
        <w:adjustRightInd/>
        <w:snapToGrid/>
        <w:spacing w:after="200" w:line="276" w:lineRule="auto"/>
        <w:rPr>
          <w:lang w:val="fr-FR"/>
        </w:rPr>
      </w:pPr>
      <w:r>
        <w:rPr>
          <w:lang w:val="fr-FR"/>
        </w:rPr>
        <w:br w:type="page"/>
      </w:r>
    </w:p>
    <w:p w14:paraId="62AD46EA" w14:textId="394C162B" w:rsidR="00BE25DA" w:rsidRPr="00E83253" w:rsidRDefault="00986945" w:rsidP="008473A1">
      <w:pPr>
        <w:pStyle w:val="HChG"/>
        <w:rPr>
          <w:lang w:val="fr-FR"/>
        </w:rPr>
      </w:pPr>
      <w:r>
        <w:rPr>
          <w:lang w:val="fr-FR"/>
        </w:rPr>
        <w:lastRenderedPageBreak/>
        <w:t>Annexe </w:t>
      </w:r>
      <w:r w:rsidR="00BE25DA" w:rsidRPr="00E83253">
        <w:rPr>
          <w:lang w:val="fr-FR"/>
        </w:rPr>
        <w:t>III</w:t>
      </w:r>
    </w:p>
    <w:p w14:paraId="2C866091" w14:textId="77777777" w:rsidR="00BE25DA" w:rsidRPr="00E83253" w:rsidRDefault="00BE25DA" w:rsidP="008473A1">
      <w:pPr>
        <w:pStyle w:val="HChG"/>
        <w:rPr>
          <w:lang w:val="fr-FR"/>
        </w:rPr>
      </w:pPr>
      <w:r w:rsidRPr="00E83253">
        <w:rPr>
          <w:lang w:val="fr-FR"/>
        </w:rPr>
        <w:tab/>
      </w:r>
      <w:r w:rsidRPr="00E83253">
        <w:rPr>
          <w:lang w:val="fr-FR"/>
        </w:rPr>
        <w:tab/>
        <w:t>Méthodes de travail du Groupe de travail</w:t>
      </w:r>
    </w:p>
    <w:p w14:paraId="3A33612F" w14:textId="586CB544" w:rsidR="00BE25DA" w:rsidRPr="00E83253" w:rsidRDefault="00BE25DA" w:rsidP="008473A1">
      <w:pPr>
        <w:pStyle w:val="H1G"/>
        <w:rPr>
          <w:lang w:val="fr-FR"/>
        </w:rPr>
      </w:pPr>
      <w:r w:rsidRPr="00E83253">
        <w:rPr>
          <w:lang w:val="fr-FR"/>
        </w:rPr>
        <w:tab/>
      </w:r>
      <w:r w:rsidR="008473A1">
        <w:rPr>
          <w:lang w:val="fr-FR"/>
        </w:rPr>
        <w:t>I.</w:t>
      </w:r>
      <w:r w:rsidR="008473A1">
        <w:rPr>
          <w:lang w:val="fr-FR"/>
        </w:rPr>
        <w:tab/>
      </w:r>
      <w:r w:rsidRPr="00D52AC8">
        <w:rPr>
          <w:lang w:val="fr-FR"/>
        </w:rPr>
        <w:t>Adoption des projets d</w:t>
      </w:r>
      <w:r>
        <w:rPr>
          <w:lang w:val="fr-FR"/>
        </w:rPr>
        <w:t>’</w:t>
      </w:r>
      <w:r w:rsidRPr="00D52AC8">
        <w:rPr>
          <w:lang w:val="fr-FR"/>
        </w:rPr>
        <w:t>amendement adoptés par la Réunion commune RID/ADR/ADN</w:t>
      </w:r>
      <w:r w:rsidRPr="00E83253">
        <w:rPr>
          <w:lang w:val="fr-FR"/>
        </w:rPr>
        <w:t xml:space="preserve"> </w:t>
      </w:r>
    </w:p>
    <w:p w14:paraId="60241EFD" w14:textId="77777777" w:rsidR="00BE25DA" w:rsidRPr="00E83253" w:rsidRDefault="00BE25DA" w:rsidP="004E38B9">
      <w:pPr>
        <w:pStyle w:val="SingleTxtG"/>
        <w:ind w:firstLine="567"/>
        <w:rPr>
          <w:lang w:val="fr-FR"/>
        </w:rPr>
      </w:pPr>
      <w:r w:rsidRPr="00E83253">
        <w:rPr>
          <w:lang w:val="fr-FR"/>
        </w:rPr>
        <w:t>Les projets d</w:t>
      </w:r>
      <w:r>
        <w:rPr>
          <w:lang w:val="fr-FR"/>
        </w:rPr>
        <w:t>’</w:t>
      </w:r>
      <w:r w:rsidRPr="00E83253">
        <w:rPr>
          <w:lang w:val="fr-FR"/>
        </w:rPr>
        <w:t>amendement adoptés par la Réunion commune RID/ADR/ADN devraient être approuvés par le Groupe de travail. Si le Groupe de travail en décide autrement, il porte cette décision à la connaissance de la Réunion commune, en la motivant, pour que cette dernière revienne sur la question.</w:t>
      </w:r>
    </w:p>
    <w:p w14:paraId="64C5C4B9" w14:textId="2249DDD6" w:rsidR="00BE25DA" w:rsidRDefault="008473A1" w:rsidP="008473A1">
      <w:pPr>
        <w:pStyle w:val="H1G"/>
        <w:rPr>
          <w:lang w:val="fr-FR"/>
        </w:rPr>
      </w:pPr>
      <w:r>
        <w:rPr>
          <w:lang w:val="fr-FR"/>
        </w:rPr>
        <w:tab/>
        <w:t>II.</w:t>
      </w:r>
      <w:r>
        <w:rPr>
          <w:lang w:val="fr-FR"/>
        </w:rPr>
        <w:tab/>
      </w:r>
      <w:r w:rsidR="00BE25DA" w:rsidRPr="00E83253">
        <w:rPr>
          <w:lang w:val="fr-FR"/>
        </w:rPr>
        <w:t>Ordre du jour de la dernière session d</w:t>
      </w:r>
      <w:r w:rsidR="00BE25DA">
        <w:rPr>
          <w:lang w:val="fr-FR"/>
        </w:rPr>
        <w:t>’</w:t>
      </w:r>
      <w:r w:rsidR="00BE25DA" w:rsidRPr="00E83253">
        <w:rPr>
          <w:lang w:val="fr-FR"/>
        </w:rPr>
        <w:t>une période d</w:t>
      </w:r>
      <w:r w:rsidR="00BE25DA">
        <w:rPr>
          <w:lang w:val="fr-FR"/>
        </w:rPr>
        <w:t>’</w:t>
      </w:r>
      <w:r w:rsidR="00BE25DA" w:rsidRPr="00E83253">
        <w:rPr>
          <w:lang w:val="fr-FR"/>
        </w:rPr>
        <w:t>amendements</w:t>
      </w:r>
    </w:p>
    <w:p w14:paraId="1218CDDE" w14:textId="77777777" w:rsidR="00BE25DA" w:rsidRPr="00E83253" w:rsidRDefault="00BE25DA" w:rsidP="004E38B9">
      <w:pPr>
        <w:pStyle w:val="SingleTxtG"/>
        <w:ind w:firstLine="567"/>
        <w:rPr>
          <w:rFonts w:eastAsia="Calibri"/>
          <w:lang w:val="fr-FR"/>
        </w:rPr>
      </w:pPr>
      <w:r w:rsidRPr="00E83253">
        <w:rPr>
          <w:lang w:val="fr-FR"/>
        </w:rPr>
        <w:t>À la dernière session (novembre) d</w:t>
      </w:r>
      <w:r>
        <w:rPr>
          <w:lang w:val="fr-FR"/>
        </w:rPr>
        <w:t>’</w:t>
      </w:r>
      <w:r w:rsidRPr="00E83253">
        <w:rPr>
          <w:lang w:val="fr-FR"/>
        </w:rPr>
        <w:t>une période d</w:t>
      </w:r>
      <w:r>
        <w:rPr>
          <w:lang w:val="fr-FR"/>
        </w:rPr>
        <w:t>’</w:t>
      </w:r>
      <w:r w:rsidRPr="00E83253">
        <w:rPr>
          <w:lang w:val="fr-FR"/>
        </w:rPr>
        <w:t>amendements, le Groupe de travail devra examiner les textes de tous les amendements adoptés lors des précédentes sessions du Groupe et de la Réunion commune.</w:t>
      </w:r>
    </w:p>
    <w:p w14:paraId="5C9E7D43" w14:textId="3B81CDE7" w:rsidR="00BE25DA" w:rsidRPr="00E83253" w:rsidRDefault="00BE25DA" w:rsidP="004E38B9">
      <w:pPr>
        <w:pStyle w:val="SingleTxtG"/>
        <w:ind w:firstLine="567"/>
        <w:rPr>
          <w:rFonts w:eastAsia="Calibri"/>
          <w:lang w:val="fr-FR"/>
        </w:rPr>
      </w:pPr>
      <w:r w:rsidRPr="00E83253">
        <w:rPr>
          <w:lang w:val="fr-FR"/>
        </w:rPr>
        <w:t>Le Groupe de travail pourra également examiner de nouvelles propositions d</w:t>
      </w:r>
      <w:r>
        <w:rPr>
          <w:lang w:val="fr-FR"/>
        </w:rPr>
        <w:t>’</w:t>
      </w:r>
      <w:r w:rsidRPr="00E83253">
        <w:rPr>
          <w:lang w:val="fr-FR"/>
        </w:rPr>
        <w:t>amendements à ladite session si le temps le permet. Dans ce cas, la priorité doit être accordée aux nouveaux documents qui</w:t>
      </w:r>
      <w:r w:rsidR="00986945">
        <w:rPr>
          <w:lang w:val="fr-FR"/>
        </w:rPr>
        <w:t> :</w:t>
      </w:r>
    </w:p>
    <w:p w14:paraId="47385559" w14:textId="4569630E" w:rsidR="00BE25DA" w:rsidRPr="00E83253" w:rsidRDefault="00BE25DA" w:rsidP="004E38B9">
      <w:pPr>
        <w:pStyle w:val="Bullet1G"/>
        <w:rPr>
          <w:rFonts w:eastAsia="Calibri"/>
          <w:lang w:val="fr-FR"/>
        </w:rPr>
      </w:pPr>
      <w:r w:rsidRPr="004E38B9">
        <w:t>Concernent</w:t>
      </w:r>
      <w:r w:rsidRPr="00E83253">
        <w:rPr>
          <w:lang w:val="fr-FR"/>
        </w:rPr>
        <w:t xml:space="preserve"> les modifications apportées au texte révisé</w:t>
      </w:r>
      <w:r w:rsidR="00986945">
        <w:rPr>
          <w:lang w:val="fr-FR"/>
        </w:rPr>
        <w:t> ;</w:t>
      </w:r>
    </w:p>
    <w:p w14:paraId="572F0149" w14:textId="77777777" w:rsidR="00BE25DA" w:rsidRPr="00D52AC8" w:rsidRDefault="00BE25DA" w:rsidP="004E38B9">
      <w:pPr>
        <w:pStyle w:val="Bullet1G"/>
        <w:rPr>
          <w:rFonts w:eastAsia="Times New Roman"/>
          <w:lang w:val="fr-FR"/>
        </w:rPr>
      </w:pPr>
      <w:r w:rsidRPr="00E83253">
        <w:rPr>
          <w:lang w:val="fr-FR"/>
        </w:rPr>
        <w:t xml:space="preserve">Visent à obtenir la concordance </w:t>
      </w:r>
      <w:r w:rsidRPr="004E38B9">
        <w:t>des</w:t>
      </w:r>
      <w:r w:rsidRPr="00E83253">
        <w:rPr>
          <w:lang w:val="fr-FR"/>
        </w:rPr>
        <w:t xml:space="preserve"> annexes avec les autres accords internationaux relatifs au transport des marchandises dangereuses. </w:t>
      </w:r>
    </w:p>
    <w:p w14:paraId="41513213" w14:textId="0B0E008A" w:rsidR="00BE25DA" w:rsidRPr="00D52AC8" w:rsidRDefault="00BE25DA" w:rsidP="004E38B9">
      <w:pPr>
        <w:pStyle w:val="H1G"/>
        <w:rPr>
          <w:lang w:val="fr-FR"/>
        </w:rPr>
      </w:pPr>
      <w:r w:rsidRPr="00E83253">
        <w:rPr>
          <w:lang w:val="fr-FR"/>
        </w:rPr>
        <w:tab/>
      </w:r>
      <w:r w:rsidRPr="00D52AC8">
        <w:rPr>
          <w:lang w:val="fr-FR"/>
        </w:rPr>
        <w:t>III.</w:t>
      </w:r>
      <w:r w:rsidRPr="00D52AC8">
        <w:rPr>
          <w:lang w:val="fr-FR"/>
        </w:rPr>
        <w:tab/>
      </w:r>
      <w:r w:rsidRPr="00E83253">
        <w:rPr>
          <w:lang w:val="fr-FR"/>
        </w:rPr>
        <w:t>D</w:t>
      </w:r>
      <w:r w:rsidRPr="00D52AC8">
        <w:rPr>
          <w:lang w:val="fr-FR"/>
        </w:rPr>
        <w:t xml:space="preserve">ocuments à soumettre au Groupe de travail </w:t>
      </w:r>
      <w:r w:rsidRPr="00E83253">
        <w:rPr>
          <w:lang w:val="fr-FR"/>
        </w:rPr>
        <w:t xml:space="preserve">des transports </w:t>
      </w:r>
      <w:r w:rsidR="004E38B9">
        <w:rPr>
          <w:lang w:val="fr-FR"/>
        </w:rPr>
        <w:br/>
      </w:r>
      <w:r w:rsidRPr="00E83253">
        <w:rPr>
          <w:lang w:val="fr-FR"/>
        </w:rPr>
        <w:t>de marchandises dangereuses</w:t>
      </w:r>
    </w:p>
    <w:p w14:paraId="56F750FB" w14:textId="64486F65" w:rsidR="00BE25DA" w:rsidRDefault="00BE25DA" w:rsidP="004E38B9">
      <w:pPr>
        <w:pStyle w:val="SingleTxtG"/>
        <w:ind w:firstLine="567"/>
        <w:rPr>
          <w:lang w:val="fr-FR"/>
        </w:rPr>
      </w:pPr>
      <w:r w:rsidRPr="00E83253">
        <w:rPr>
          <w:lang w:val="fr-FR"/>
        </w:rPr>
        <w:t>Voir l</w:t>
      </w:r>
      <w:r>
        <w:rPr>
          <w:lang w:val="fr-FR"/>
        </w:rPr>
        <w:t>’</w:t>
      </w:r>
      <w:r w:rsidR="00986945">
        <w:rPr>
          <w:lang w:val="fr-FR"/>
        </w:rPr>
        <w:t>annexe</w:t>
      </w:r>
      <w:r w:rsidR="00804584">
        <w:rPr>
          <w:lang w:val="fr-FR"/>
        </w:rPr>
        <w:t xml:space="preserve"> </w:t>
      </w:r>
      <w:r w:rsidRPr="00E83253">
        <w:rPr>
          <w:lang w:val="fr-FR"/>
        </w:rPr>
        <w:t>et l</w:t>
      </w:r>
      <w:r>
        <w:rPr>
          <w:lang w:val="fr-FR"/>
        </w:rPr>
        <w:t>’</w:t>
      </w:r>
      <w:r w:rsidRPr="00E83253">
        <w:rPr>
          <w:lang w:val="fr-FR"/>
        </w:rPr>
        <w:t xml:space="preserve">appendice </w:t>
      </w:r>
      <w:r>
        <w:rPr>
          <w:lang w:val="fr-FR"/>
        </w:rPr>
        <w:t>d</w:t>
      </w:r>
      <w:r w:rsidRPr="00E83253">
        <w:rPr>
          <w:lang w:val="fr-FR"/>
        </w:rPr>
        <w:t xml:space="preserve">u </w:t>
      </w:r>
      <w:r>
        <w:rPr>
          <w:lang w:val="fr-FR"/>
        </w:rPr>
        <w:t>r</w:t>
      </w:r>
      <w:r w:rsidRPr="00E83253">
        <w:rPr>
          <w:lang w:val="fr-FR"/>
        </w:rPr>
        <w:t>èglement intérieur du Groupe de travail des transports de marchandises dangereuses à l</w:t>
      </w:r>
      <w:r>
        <w:rPr>
          <w:lang w:val="fr-FR"/>
        </w:rPr>
        <w:t>’</w:t>
      </w:r>
      <w:r w:rsidR="00986945">
        <w:rPr>
          <w:lang w:val="fr-FR"/>
        </w:rPr>
        <w:t>annexe </w:t>
      </w:r>
      <w:r w:rsidRPr="00E83253">
        <w:rPr>
          <w:lang w:val="fr-FR"/>
        </w:rPr>
        <w:t>II ci-dessus</w:t>
      </w:r>
      <w:r>
        <w:rPr>
          <w:lang w:val="fr-FR"/>
        </w:rPr>
        <w:t>.</w:t>
      </w:r>
    </w:p>
    <w:p w14:paraId="1E5FC01C" w14:textId="4108AB5E" w:rsidR="00BE25DA" w:rsidRPr="00BE25DA" w:rsidRDefault="00BE25DA" w:rsidP="00BE25DA">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BE25DA" w:rsidRPr="00BE25DA" w:rsidSect="00BE25DA">
      <w:headerReference w:type="even" r:id="rId17"/>
      <w:headerReference w:type="default" r:id="rId18"/>
      <w:footerReference w:type="even" r:id="rId19"/>
      <w:footerReference w:type="default" r:id="rId20"/>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4CE99" w14:textId="77777777" w:rsidR="00F67F4F" w:rsidRDefault="00F67F4F" w:rsidP="00F95C08">
      <w:pPr>
        <w:spacing w:line="240" w:lineRule="auto"/>
      </w:pPr>
    </w:p>
  </w:endnote>
  <w:endnote w:type="continuationSeparator" w:id="0">
    <w:p w14:paraId="7A8A527F" w14:textId="77777777" w:rsidR="00F67F4F" w:rsidRPr="00AC3823" w:rsidRDefault="00F67F4F" w:rsidP="00AC3823">
      <w:pPr>
        <w:pStyle w:val="Pieddepage"/>
      </w:pPr>
    </w:p>
  </w:endnote>
  <w:endnote w:type="continuationNotice" w:id="1">
    <w:p w14:paraId="37736390" w14:textId="77777777" w:rsidR="00F67F4F" w:rsidRDefault="00F67F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7F85" w14:textId="51CA9E26" w:rsidR="0006511E" w:rsidRPr="0006511E" w:rsidRDefault="0006511E" w:rsidP="0006511E">
    <w:pPr>
      <w:pStyle w:val="Pieddepage"/>
      <w:tabs>
        <w:tab w:val="right" w:pos="9638"/>
      </w:tabs>
    </w:pPr>
    <w:r w:rsidRPr="0006511E">
      <w:rPr>
        <w:b/>
        <w:sz w:val="18"/>
      </w:rPr>
      <w:fldChar w:fldCharType="begin"/>
    </w:r>
    <w:r w:rsidRPr="0006511E">
      <w:rPr>
        <w:b/>
        <w:sz w:val="18"/>
      </w:rPr>
      <w:instrText xml:space="preserve"> PAGE  \* MERGEFORMAT </w:instrText>
    </w:r>
    <w:r w:rsidRPr="0006511E">
      <w:rPr>
        <w:b/>
        <w:sz w:val="18"/>
      </w:rPr>
      <w:fldChar w:fldCharType="separate"/>
    </w:r>
    <w:r w:rsidRPr="0006511E">
      <w:rPr>
        <w:b/>
        <w:noProof/>
        <w:sz w:val="18"/>
      </w:rPr>
      <w:t>2</w:t>
    </w:r>
    <w:r w:rsidRPr="0006511E">
      <w:rPr>
        <w:b/>
        <w:sz w:val="18"/>
      </w:rPr>
      <w:fldChar w:fldCharType="end"/>
    </w:r>
    <w:r>
      <w:rPr>
        <w:b/>
        <w:sz w:val="18"/>
      </w:rPr>
      <w:tab/>
    </w:r>
    <w:r>
      <w:t>GE.24-00969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556A" w14:textId="1802F7E6" w:rsidR="0006511E" w:rsidRPr="00BB51D9" w:rsidRDefault="00BB51D9" w:rsidP="00BB51D9">
    <w:pPr>
      <w:pStyle w:val="Pieddepage"/>
      <w:tabs>
        <w:tab w:val="right" w:pos="9638"/>
      </w:tabs>
      <w:rPr>
        <w:b/>
        <w:sz w:val="18"/>
      </w:rPr>
    </w:pPr>
    <w:r>
      <w:t>GE.</w:t>
    </w:r>
    <w:r w:rsidRPr="00BB51D9">
      <w:t>24</w:t>
    </w:r>
    <w:r>
      <w:t>-</w:t>
    </w:r>
    <w:r w:rsidRPr="00BB51D9">
      <w:t>00969</w:t>
    </w:r>
    <w:r>
      <w:tab/>
    </w: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23D7" w14:textId="24DE42E6" w:rsidR="007F20FA" w:rsidRPr="0006511E" w:rsidRDefault="0006511E" w:rsidP="0006511E">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97DE491" wp14:editId="588062D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24-00969  (F)</w:t>
    </w:r>
    <w:r>
      <w:rPr>
        <w:noProof/>
        <w:sz w:val="20"/>
      </w:rPr>
      <w:drawing>
        <wp:anchor distT="0" distB="0" distL="114300" distR="114300" simplePos="0" relativeHeight="251660288" behindDoc="0" locked="0" layoutInCell="1" allowOverlap="1" wp14:anchorId="0D882E87" wp14:editId="6E66A093">
          <wp:simplePos x="0" y="0"/>
          <wp:positionH relativeFrom="margin">
            <wp:posOffset>5489575</wp:posOffset>
          </wp:positionH>
          <wp:positionV relativeFrom="margin">
            <wp:posOffset>8891905</wp:posOffset>
          </wp:positionV>
          <wp:extent cx="638175" cy="638175"/>
          <wp:effectExtent l="0" t="0" r="9525" b="9525"/>
          <wp:wrapNone/>
          <wp:docPr id="13342757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130224    140224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6101" w14:textId="7FFD798F" w:rsidR="00BB51D9" w:rsidRPr="00BB51D9" w:rsidRDefault="00BB51D9" w:rsidP="00BB51D9">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r w:rsidRPr="00BB51D9">
      <w:t>GE.24-00969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3569" w14:textId="77777777" w:rsidR="00BB51D9" w:rsidRPr="0006511E" w:rsidRDefault="00BB51D9" w:rsidP="0006511E">
    <w:pPr>
      <w:pStyle w:val="Pieddepage"/>
      <w:spacing w:before="120"/>
      <w:rPr>
        <w:sz w:val="20"/>
      </w:rPr>
    </w:pPr>
    <w:r>
      <w:rPr>
        <w:sz w:val="20"/>
      </w:rPr>
      <w:t>GE.</w:t>
    </w:r>
    <w:r>
      <w:rPr>
        <w:noProof/>
        <w:lang w:eastAsia="fr-CH"/>
      </w:rPr>
      <w:drawing>
        <wp:anchor distT="0" distB="0" distL="114300" distR="114300" simplePos="0" relativeHeight="251662336" behindDoc="0" locked="0" layoutInCell="1" allowOverlap="0" wp14:anchorId="1DD6A289" wp14:editId="4E262DBF">
          <wp:simplePos x="0" y="0"/>
          <wp:positionH relativeFrom="margin">
            <wp:posOffset>4319905</wp:posOffset>
          </wp:positionH>
          <wp:positionV relativeFrom="margin">
            <wp:posOffset>9144000</wp:posOffset>
          </wp:positionV>
          <wp:extent cx="1105200" cy="234000"/>
          <wp:effectExtent l="0" t="0" r="0" b="0"/>
          <wp:wrapNone/>
          <wp:docPr id="861390681" name="Image 86139068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24-00969  (F)</w:t>
    </w:r>
    <w:r>
      <w:rPr>
        <w:noProof/>
        <w:sz w:val="20"/>
      </w:rPr>
      <w:drawing>
        <wp:anchor distT="0" distB="0" distL="114300" distR="114300" simplePos="0" relativeHeight="251663360" behindDoc="0" locked="0" layoutInCell="1" allowOverlap="1" wp14:anchorId="29B5D945" wp14:editId="405D0096">
          <wp:simplePos x="0" y="0"/>
          <wp:positionH relativeFrom="margin">
            <wp:posOffset>5489575</wp:posOffset>
          </wp:positionH>
          <wp:positionV relativeFrom="margin">
            <wp:posOffset>8891905</wp:posOffset>
          </wp:positionV>
          <wp:extent cx="638175" cy="638175"/>
          <wp:effectExtent l="0" t="0" r="9525" b="9525"/>
          <wp:wrapNone/>
          <wp:docPr id="30396289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130224    140224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EF77" w14:textId="51579550" w:rsidR="00BE25DA" w:rsidRPr="00BE25DA" w:rsidRDefault="00BE25DA" w:rsidP="00BE25DA">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10</w:t>
    </w:r>
    <w:r>
      <w:rPr>
        <w:b/>
        <w:sz w:val="18"/>
      </w:rPr>
      <w:fldChar w:fldCharType="end"/>
    </w:r>
    <w:r>
      <w:rPr>
        <w:b/>
        <w:sz w:val="18"/>
      </w:rPr>
      <w:tab/>
    </w:r>
    <w:r w:rsidRPr="00BE25DA">
      <w:t>GE.24-00969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7BA6" w14:textId="396D5865" w:rsidR="00BE25DA" w:rsidRPr="00BE25DA" w:rsidRDefault="00BE25DA" w:rsidP="00BE25DA">
    <w:pPr>
      <w:pStyle w:val="Pieddepage"/>
      <w:tabs>
        <w:tab w:val="right" w:pos="9638"/>
      </w:tabs>
      <w:rPr>
        <w:b/>
        <w:sz w:val="18"/>
      </w:rPr>
    </w:pPr>
    <w:r>
      <w:t>GE.</w:t>
    </w:r>
    <w:r w:rsidRPr="00BE25DA">
      <w:t>24</w:t>
    </w:r>
    <w:r>
      <w:t>-</w:t>
    </w:r>
    <w:r w:rsidRPr="00BE25DA">
      <w:t>00969</w:t>
    </w:r>
    <w:r>
      <w:tab/>
    </w:r>
    <w:r>
      <w:rPr>
        <w:b/>
        <w:sz w:val="18"/>
      </w:rPr>
      <w:fldChar w:fldCharType="begin"/>
    </w:r>
    <w:r>
      <w:rPr>
        <w:b/>
        <w:sz w:val="18"/>
      </w:rPr>
      <w:instrText xml:space="preserve"> PAGE  \* MERGEFORMAT </w:instrText>
    </w:r>
    <w:r>
      <w:rPr>
        <w:b/>
        <w:sz w:val="18"/>
      </w:rPr>
      <w:fldChar w:fldCharType="separate"/>
    </w:r>
    <w:r>
      <w:rPr>
        <w:b/>
        <w:noProof/>
        <w:sz w:val="18"/>
      </w:rPr>
      <w:t>11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F5884" w14:textId="77777777" w:rsidR="00F67F4F" w:rsidRPr="00AC3823" w:rsidRDefault="00F67F4F" w:rsidP="00AC3823">
      <w:pPr>
        <w:pStyle w:val="Pieddepage"/>
        <w:tabs>
          <w:tab w:val="right" w:pos="2155"/>
        </w:tabs>
        <w:spacing w:after="80" w:line="240" w:lineRule="atLeast"/>
        <w:ind w:left="680"/>
        <w:rPr>
          <w:u w:val="single"/>
        </w:rPr>
      </w:pPr>
      <w:r>
        <w:rPr>
          <w:u w:val="single"/>
        </w:rPr>
        <w:tab/>
      </w:r>
    </w:p>
  </w:footnote>
  <w:footnote w:type="continuationSeparator" w:id="0">
    <w:p w14:paraId="7B81AF20" w14:textId="77777777" w:rsidR="00F67F4F" w:rsidRPr="00AC3823" w:rsidRDefault="00F67F4F" w:rsidP="00AC3823">
      <w:pPr>
        <w:pStyle w:val="Pieddepage"/>
        <w:tabs>
          <w:tab w:val="right" w:pos="2155"/>
        </w:tabs>
        <w:spacing w:after="80" w:line="240" w:lineRule="atLeast"/>
        <w:ind w:left="680"/>
        <w:rPr>
          <w:u w:val="single"/>
        </w:rPr>
      </w:pPr>
      <w:r>
        <w:rPr>
          <w:u w:val="single"/>
        </w:rPr>
        <w:tab/>
      </w:r>
    </w:p>
  </w:footnote>
  <w:footnote w:type="continuationNotice" w:id="1">
    <w:p w14:paraId="5BD947A0" w14:textId="77777777" w:rsidR="00F67F4F" w:rsidRPr="00AC3823" w:rsidRDefault="00F67F4F">
      <w:pPr>
        <w:spacing w:line="240" w:lineRule="auto"/>
        <w:rPr>
          <w:sz w:val="2"/>
          <w:szCs w:val="2"/>
        </w:rPr>
      </w:pPr>
    </w:p>
  </w:footnote>
  <w:footnote w:id="2">
    <w:p w14:paraId="5CAB5422" w14:textId="77777777" w:rsidR="0006511E" w:rsidRPr="00EE09AC" w:rsidRDefault="0006511E" w:rsidP="0006511E">
      <w:pPr>
        <w:pStyle w:val="Notedebasdepage"/>
        <w:rPr>
          <w:lang w:val="fr-FR"/>
        </w:rPr>
      </w:pPr>
      <w:r>
        <w:rPr>
          <w:lang w:val="fr-FR"/>
        </w:rPr>
        <w:tab/>
      </w:r>
      <w:r w:rsidRPr="00986945">
        <w:rPr>
          <w:sz w:val="20"/>
          <w:lang w:val="fr-FR"/>
        </w:rPr>
        <w:t>*</w:t>
      </w:r>
      <w:r>
        <w:rPr>
          <w:lang w:val="fr-FR"/>
        </w:rPr>
        <w:tab/>
      </w:r>
      <w:r>
        <w:rPr>
          <w:lang w:val="fr-FR"/>
        </w:rPr>
        <w:tab/>
        <w:t>A/78/6 (Sect. 20), tableau 20.5.</w:t>
      </w:r>
    </w:p>
  </w:footnote>
  <w:footnote w:id="3">
    <w:p w14:paraId="05BAAB3A" w14:textId="0768916C" w:rsidR="0006511E" w:rsidRPr="00EE0645" w:rsidRDefault="0072220F" w:rsidP="0006511E">
      <w:pPr>
        <w:pStyle w:val="Notedebasdepage"/>
        <w:rPr>
          <w:sz w:val="16"/>
          <w:szCs w:val="16"/>
          <w:lang w:val="fr-FR"/>
        </w:rPr>
      </w:pPr>
      <w:r>
        <w:rPr>
          <w:sz w:val="16"/>
          <w:szCs w:val="16"/>
          <w:lang w:val="fr-FR"/>
        </w:rPr>
        <w:tab/>
      </w:r>
      <w:r w:rsidR="0006511E" w:rsidRPr="00D52AC8">
        <w:rPr>
          <w:rStyle w:val="Appelnotedebasdep"/>
        </w:rPr>
        <w:footnoteRef/>
      </w:r>
      <w:r>
        <w:rPr>
          <w:rStyle w:val="Appelnotedebasdep"/>
          <w:sz w:val="16"/>
          <w:szCs w:val="16"/>
          <w:lang w:val="fr-FR"/>
        </w:rPr>
        <w:tab/>
      </w:r>
      <w:r w:rsidR="0006511E" w:rsidRPr="00EE0645">
        <w:rPr>
          <w:lang w:val="fr-FR"/>
        </w:rPr>
        <w:t>« La Commission invitera tout membre de l</w:t>
      </w:r>
      <w:r w:rsidR="002F04B5">
        <w:rPr>
          <w:lang w:val="fr-FR"/>
        </w:rPr>
        <w:t>’</w:t>
      </w:r>
      <w:r w:rsidR="0006511E" w:rsidRPr="00EE0645">
        <w:rPr>
          <w:lang w:val="fr-FR"/>
        </w:rPr>
        <w:t>ONU qui n</w:t>
      </w:r>
      <w:r w:rsidR="002F04B5">
        <w:rPr>
          <w:lang w:val="fr-FR"/>
        </w:rPr>
        <w:t>’</w:t>
      </w:r>
      <w:r w:rsidR="0006511E" w:rsidRPr="00EE0645">
        <w:rPr>
          <w:lang w:val="fr-FR"/>
        </w:rPr>
        <w:t xml:space="preserve">est pas membre de la Commission à participer, à titre consultatif, à </w:t>
      </w:r>
      <w:r w:rsidR="0006511E" w:rsidRPr="0072220F">
        <w:t>l</w:t>
      </w:r>
      <w:r w:rsidR="002F04B5">
        <w:t>’</w:t>
      </w:r>
      <w:r w:rsidR="0006511E" w:rsidRPr="0072220F">
        <w:t>examen</w:t>
      </w:r>
      <w:r w:rsidR="0006511E" w:rsidRPr="00EE0645">
        <w:rPr>
          <w:lang w:val="fr-FR"/>
        </w:rPr>
        <w:t xml:space="preserve"> qu</w:t>
      </w:r>
      <w:r w:rsidR="002F04B5">
        <w:rPr>
          <w:lang w:val="fr-FR"/>
        </w:rPr>
        <w:t>’</w:t>
      </w:r>
      <w:r w:rsidR="0006511E" w:rsidRPr="00EE0645">
        <w:rPr>
          <w:lang w:val="fr-FR"/>
        </w:rPr>
        <w:t>elle pourra consacrer à toute question présentant un intérêt particulier pour ce pays non membre.</w:t>
      </w:r>
      <w:r>
        <w:rPr>
          <w:lang w:val="fr-FR"/>
        </w:rPr>
        <w:t> </w:t>
      </w:r>
      <w:r w:rsidR="0006511E" w:rsidRPr="00EE0645">
        <w:rPr>
          <w:lang w:val="fr-FR"/>
        </w:rPr>
        <w:t>»</w:t>
      </w:r>
    </w:p>
  </w:footnote>
  <w:footnote w:id="4">
    <w:p w14:paraId="0426BCAE" w14:textId="7D5459D7" w:rsidR="0006511E" w:rsidRPr="00EE0645" w:rsidRDefault="0072220F" w:rsidP="0006511E">
      <w:pPr>
        <w:pStyle w:val="Notedebasdepage"/>
        <w:rPr>
          <w:sz w:val="16"/>
          <w:szCs w:val="16"/>
          <w:lang w:val="fr-FR"/>
        </w:rPr>
      </w:pPr>
      <w:r>
        <w:rPr>
          <w:lang w:val="fr-FR"/>
        </w:rPr>
        <w:tab/>
      </w:r>
      <w:r w:rsidR="0006511E" w:rsidRPr="00D52AC8">
        <w:rPr>
          <w:rStyle w:val="Appelnotedebasdep"/>
        </w:rPr>
        <w:footnoteRef/>
      </w:r>
      <w:r>
        <w:rPr>
          <w:lang w:val="fr-FR"/>
        </w:rPr>
        <w:tab/>
      </w:r>
      <w:r w:rsidR="0006511E" w:rsidRPr="00EE0645">
        <w:rPr>
          <w:lang w:val="fr-FR"/>
        </w:rPr>
        <w:t>« La Commission invitera des représentants d</w:t>
      </w:r>
      <w:r w:rsidR="002F04B5">
        <w:rPr>
          <w:lang w:val="fr-FR"/>
        </w:rPr>
        <w:t>’</w:t>
      </w:r>
      <w:r w:rsidR="0006511E" w:rsidRPr="00EE0645">
        <w:rPr>
          <w:lang w:val="fr-FR"/>
        </w:rPr>
        <w:t>institutions spécialisées et pourra inviter les représentants de toute organisation intergouvernementale à participer, à titre consultatif, aux discussions qu</w:t>
      </w:r>
      <w:r w:rsidR="002F04B5">
        <w:rPr>
          <w:lang w:val="fr-FR"/>
        </w:rPr>
        <w:t>’</w:t>
      </w:r>
      <w:r w:rsidR="0006511E" w:rsidRPr="00EE0645">
        <w:rPr>
          <w:lang w:val="fr-FR"/>
        </w:rPr>
        <w:t>elle consacrera à toute question présentant un intérêt particulier pour ces institutions ou organisations, suivant la pratique du Conseil économique et social.</w:t>
      </w:r>
      <w:r>
        <w:rPr>
          <w:lang w:val="fr-FR"/>
        </w:rPr>
        <w:t> </w:t>
      </w:r>
      <w:r w:rsidR="0006511E" w:rsidRPr="00EE0645">
        <w:rPr>
          <w:lang w:val="fr-FR"/>
        </w:rPr>
        <w:t>»</w:t>
      </w:r>
    </w:p>
  </w:footnote>
  <w:footnote w:id="5">
    <w:p w14:paraId="5A88C814" w14:textId="1E4C20C4" w:rsidR="0006511E" w:rsidRPr="00EE0645" w:rsidRDefault="0072220F" w:rsidP="0006511E">
      <w:pPr>
        <w:pStyle w:val="Notedebasdepage"/>
        <w:rPr>
          <w:lang w:val="fr-FR"/>
        </w:rPr>
      </w:pPr>
      <w:r>
        <w:rPr>
          <w:lang w:val="fr-FR"/>
        </w:rPr>
        <w:tab/>
      </w:r>
      <w:r w:rsidR="0006511E" w:rsidRPr="00D52AC8">
        <w:rPr>
          <w:rStyle w:val="Appelnotedebasdep"/>
        </w:rPr>
        <w:footnoteRef/>
      </w:r>
      <w:r>
        <w:rPr>
          <w:lang w:val="fr-FR"/>
        </w:rPr>
        <w:tab/>
      </w:r>
      <w:r w:rsidR="0006511E" w:rsidRPr="00EE0645">
        <w:rPr>
          <w:lang w:val="fr-FR"/>
        </w:rPr>
        <w:t xml:space="preserve">« La Commission prendra toutes mesures utiles pour instaurer un régime de consultations avec les organisations </w:t>
      </w:r>
      <w:r w:rsidR="00FB6271">
        <w:rPr>
          <w:lang w:val="fr-FR"/>
        </w:rPr>
        <w:t>non gouvernementales</w:t>
      </w:r>
      <w:r w:rsidR="0006511E" w:rsidRPr="00EE0645">
        <w:rPr>
          <w:lang w:val="fr-FR"/>
        </w:rPr>
        <w:t xml:space="preserve"> qui ont été dotées du statut consultatif par le Conseil </w:t>
      </w:r>
      <w:r w:rsidR="0006511E" w:rsidRPr="0072220F">
        <w:t>économique</w:t>
      </w:r>
      <w:r w:rsidR="0006511E" w:rsidRPr="00EE0645">
        <w:rPr>
          <w:lang w:val="fr-FR"/>
        </w:rPr>
        <w:t xml:space="preserve"> et social, conformément aux principes approuvés par le Conseil à cet effet et qui sont énoncés dans les parties I et II de la </w:t>
      </w:r>
      <w:r w:rsidR="0006511E">
        <w:rPr>
          <w:lang w:val="fr-FR"/>
        </w:rPr>
        <w:t>r</w:t>
      </w:r>
      <w:r w:rsidR="0006511E" w:rsidRPr="00EE0645">
        <w:rPr>
          <w:lang w:val="fr-FR"/>
        </w:rPr>
        <w:t>ésolution 1996/31 du Conseil. »</w:t>
      </w:r>
    </w:p>
  </w:footnote>
  <w:footnote w:id="6">
    <w:p w14:paraId="4C34FD17" w14:textId="488F5FDA" w:rsidR="00AC0DEE" w:rsidRPr="00AC0DEE" w:rsidRDefault="00AC0DEE">
      <w:pPr>
        <w:pStyle w:val="Notedebasdepage"/>
        <w:rPr>
          <w:lang w:val="fr-FR"/>
        </w:rPr>
      </w:pPr>
      <w:r>
        <w:tab/>
      </w:r>
      <w:r>
        <w:rPr>
          <w:rStyle w:val="Appelnotedebasdep"/>
        </w:rPr>
        <w:footnoteRef/>
      </w:r>
      <w:r>
        <w:tab/>
      </w:r>
      <w:hyperlink r:id="rId1" w:history="1">
        <w:r w:rsidRPr="00D85325">
          <w:rPr>
            <w:rStyle w:val="Lienhypertexte"/>
            <w:lang w:val="fr-FR"/>
          </w:rPr>
          <w:t>https://unece.org/fr/info/events/unece-meetings-and-events/transport/dangerous%20goods</w:t>
        </w:r>
      </w:hyperlink>
      <w:r>
        <w:rPr>
          <w:lang w:val="fr-FR"/>
        </w:rPr>
        <w:t>.</w:t>
      </w:r>
    </w:p>
  </w:footnote>
  <w:footnote w:id="7">
    <w:p w14:paraId="76A4F8D0" w14:textId="5B82966C" w:rsidR="0006511E" w:rsidRPr="00D52AC8" w:rsidRDefault="0006511E" w:rsidP="0006511E">
      <w:pPr>
        <w:pStyle w:val="Notedebasdepage"/>
        <w:rPr>
          <w:lang w:val="fr-FR"/>
        </w:rPr>
      </w:pPr>
      <w:r w:rsidRPr="00D52AC8">
        <w:rPr>
          <w:lang w:val="fr-FR"/>
        </w:rPr>
        <w:tab/>
      </w:r>
      <w:r w:rsidRPr="00D52AC8">
        <w:rPr>
          <w:rStyle w:val="Appelnotedebasdep"/>
        </w:rPr>
        <w:footnoteRef/>
      </w:r>
      <w:r w:rsidRPr="00D52AC8">
        <w:rPr>
          <w:lang w:val="fr-FR"/>
        </w:rPr>
        <w:tab/>
      </w:r>
      <w:r w:rsidRPr="00EE7D06">
        <w:rPr>
          <w:lang w:val="fr-FR"/>
        </w:rPr>
        <w:t xml:space="preserve">Pour la Réunion commune RID/ADR/ADN, voir </w:t>
      </w:r>
      <w:r>
        <w:rPr>
          <w:lang w:val="fr-FR"/>
        </w:rPr>
        <w:t xml:space="preserve">le document </w:t>
      </w:r>
      <w:r w:rsidRPr="00EE7D06">
        <w:rPr>
          <w:lang w:val="fr-FR"/>
        </w:rPr>
        <w:t xml:space="preserve">ECE/TRANS/WP.15/AC.1/112/Add.2 tel que modifié par </w:t>
      </w:r>
      <w:r>
        <w:rPr>
          <w:lang w:val="fr-FR"/>
        </w:rPr>
        <w:t xml:space="preserve">les documents </w:t>
      </w:r>
      <w:r w:rsidRPr="00EE7D06">
        <w:rPr>
          <w:lang w:val="fr-FR"/>
        </w:rPr>
        <w:t>ECE/TRANS/WP.15/AC.1/120 et ECE/TRANS/WP.15/AC.1/122.</w:t>
      </w:r>
      <w:r w:rsidRPr="00D52AC8">
        <w:rPr>
          <w:lang w:val="fr-FR"/>
        </w:rPr>
        <w:t xml:space="preserve"> </w:t>
      </w:r>
      <w:r w:rsidRPr="00F23EBD">
        <w:rPr>
          <w:lang w:val="fr-FR"/>
        </w:rPr>
        <w:t>Pour le Comité de sécurité de l</w:t>
      </w:r>
      <w:r w:rsidR="002F04B5">
        <w:rPr>
          <w:lang w:val="fr-FR"/>
        </w:rPr>
        <w:t>’</w:t>
      </w:r>
      <w:r w:rsidRPr="00F23EBD">
        <w:rPr>
          <w:lang w:val="fr-FR"/>
        </w:rPr>
        <w:t>ADN, voir l</w:t>
      </w:r>
      <w:r w:rsidR="002F04B5">
        <w:rPr>
          <w:lang w:val="fr-FR"/>
        </w:rPr>
        <w:t>’</w:t>
      </w:r>
      <w:r w:rsidR="00986945">
        <w:rPr>
          <w:lang w:val="fr-FR"/>
        </w:rPr>
        <w:t>annexe </w:t>
      </w:r>
      <w:r w:rsidRPr="00F23EBD">
        <w:rPr>
          <w:lang w:val="fr-FR"/>
        </w:rPr>
        <w:t>V du document ECE/TRANS/2023/9.</w:t>
      </w:r>
    </w:p>
  </w:footnote>
  <w:footnote w:id="8">
    <w:p w14:paraId="70081691" w14:textId="7D51E19F" w:rsidR="008473A1" w:rsidRPr="008473A1" w:rsidRDefault="008473A1">
      <w:pPr>
        <w:pStyle w:val="Notedebasdepage"/>
        <w:rPr>
          <w:lang w:val="fr-FR"/>
        </w:rPr>
      </w:pPr>
      <w:r>
        <w:tab/>
      </w:r>
      <w:r>
        <w:rPr>
          <w:rStyle w:val="Appelnotedebasdep"/>
        </w:rPr>
        <w:footnoteRef/>
      </w:r>
      <w:r>
        <w:tab/>
      </w:r>
      <w:hyperlink r:id="rId2" w:history="1">
        <w:r w:rsidRPr="00D85325">
          <w:rPr>
            <w:rStyle w:val="Lienhypertexte"/>
            <w:lang w:val="fr-FR"/>
          </w:rPr>
          <w:t>https://unece.org/fr/info/events/</w:t>
        </w:r>
        <w:r w:rsidRPr="00D85325">
          <w:rPr>
            <w:rStyle w:val="Lienhypertexte"/>
          </w:rPr>
          <w:t>unece</w:t>
        </w:r>
        <w:r w:rsidRPr="00D85325">
          <w:rPr>
            <w:rStyle w:val="Lienhypertexte"/>
            <w:lang w:val="fr-FR"/>
          </w:rPr>
          <w:t>-meetings-and-events/transport/dangerous%20goods</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AAB1" w14:textId="59292983" w:rsidR="0006511E" w:rsidRPr="0006511E" w:rsidRDefault="00D17DEF">
    <w:pPr>
      <w:pStyle w:val="En-tte"/>
    </w:pPr>
    <w:r>
      <w:fldChar w:fldCharType="begin"/>
    </w:r>
    <w:r>
      <w:instrText xml:space="preserve"> TITLE  \* MERGEFORMAT </w:instrText>
    </w:r>
    <w:r>
      <w:fldChar w:fldCharType="separate"/>
    </w:r>
    <w:r>
      <w:t>ECE/TRANS/WP.15/2024/9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6A6C" w14:textId="4779A2D3" w:rsidR="0006511E" w:rsidRPr="0006511E" w:rsidRDefault="00D17DEF" w:rsidP="0006511E">
    <w:pPr>
      <w:pStyle w:val="En-tte"/>
      <w:jc w:val="right"/>
    </w:pPr>
    <w:r>
      <w:fldChar w:fldCharType="begin"/>
    </w:r>
    <w:r>
      <w:instrText xml:space="preserve"> TITLE  \* MERGEFORMAT </w:instrText>
    </w:r>
    <w:r>
      <w:fldChar w:fldCharType="separate"/>
    </w:r>
    <w:r>
      <w:t>ECE/TRANS/WP.15/2024/9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EBAA" w14:textId="5FACC0DD" w:rsidR="00BB51D9" w:rsidRPr="00BB51D9" w:rsidRDefault="00D17DEF" w:rsidP="00BB51D9">
    <w:pPr>
      <w:pStyle w:val="En-tte"/>
    </w:pPr>
    <w:r>
      <w:fldChar w:fldCharType="begin"/>
    </w:r>
    <w:r>
      <w:instrText xml:space="preserve"> TITLE  \* MERGEFORMAT </w:instrText>
    </w:r>
    <w:r>
      <w:fldChar w:fldCharType="separate"/>
    </w:r>
    <w:r>
      <w:t>ECE/TRANS/WP.15/2024/9</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0F95" w14:textId="376484E0" w:rsidR="00BB51D9" w:rsidRPr="00BB51D9" w:rsidRDefault="00D17DEF" w:rsidP="00BB51D9">
    <w:pPr>
      <w:pStyle w:val="En-tte"/>
      <w:jc w:val="right"/>
    </w:pPr>
    <w:r>
      <w:fldChar w:fldCharType="begin"/>
    </w:r>
    <w:r>
      <w:instrText xml:space="preserve"> TITLE  \* MERGEFORMAT </w:instrText>
    </w:r>
    <w:r>
      <w:fldChar w:fldCharType="separate"/>
    </w:r>
    <w:r>
      <w:t>ECE/TRANS/WP.15/2024/9</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9E21" w14:textId="0A70A972" w:rsidR="00BE25DA" w:rsidRPr="00BE25DA" w:rsidRDefault="00D17DEF" w:rsidP="00BE25DA">
    <w:pPr>
      <w:pStyle w:val="En-tte"/>
    </w:pPr>
    <w:r>
      <w:fldChar w:fldCharType="begin"/>
    </w:r>
    <w:r>
      <w:instrText xml:space="preserve"> TITLE  \* MERGEFORMAT </w:instrText>
    </w:r>
    <w:r>
      <w:fldChar w:fldCharType="separate"/>
    </w:r>
    <w:r>
      <w:t>ECE/TRANS/WP.15/2024/9</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8C64" w14:textId="55916505" w:rsidR="00BE25DA" w:rsidRPr="00BE25DA" w:rsidRDefault="00D17DEF" w:rsidP="00BE25DA">
    <w:pPr>
      <w:pStyle w:val="En-tte"/>
      <w:jc w:val="right"/>
    </w:pPr>
    <w:r>
      <w:fldChar w:fldCharType="begin"/>
    </w:r>
    <w:r>
      <w:instrText xml:space="preserve"> TITLE  \* MERGEFORMAT </w:instrText>
    </w:r>
    <w:r>
      <w:fldChar w:fldCharType="separate"/>
    </w:r>
    <w:r>
      <w:t>ECE/TRANS/WP.15/2024/9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A472741"/>
    <w:multiLevelType w:val="hybridMultilevel"/>
    <w:tmpl w:val="4594D002"/>
    <w:lvl w:ilvl="0" w:tplc="8130761A">
      <w:start w:val="6"/>
      <w:numFmt w:val="bullet"/>
      <w:lvlText w:val=""/>
      <w:lvlJc w:val="left"/>
      <w:pPr>
        <w:ind w:left="1891" w:hanging="360"/>
      </w:pPr>
      <w:rPr>
        <w:rFonts w:ascii="Symbol" w:eastAsia="Times New Roman" w:hAnsi="Symbol" w:cs="Times New Roman" w:hint="default"/>
      </w:rPr>
    </w:lvl>
    <w:lvl w:ilvl="1" w:tplc="04090003">
      <w:start w:val="1"/>
      <w:numFmt w:val="bullet"/>
      <w:lvlText w:val="o"/>
      <w:lvlJc w:val="left"/>
      <w:pPr>
        <w:ind w:left="2611" w:hanging="360"/>
      </w:pPr>
      <w:rPr>
        <w:rFonts w:ascii="Courier New" w:hAnsi="Courier New" w:cs="Courier New" w:hint="default"/>
      </w:rPr>
    </w:lvl>
    <w:lvl w:ilvl="2" w:tplc="04090005" w:tentative="1">
      <w:start w:val="1"/>
      <w:numFmt w:val="bullet"/>
      <w:lvlText w:val=""/>
      <w:lvlJc w:val="left"/>
      <w:pPr>
        <w:ind w:left="3331" w:hanging="360"/>
      </w:pPr>
      <w:rPr>
        <w:rFonts w:ascii="Wingdings" w:hAnsi="Wingdings" w:hint="default"/>
      </w:rPr>
    </w:lvl>
    <w:lvl w:ilvl="3" w:tplc="04090001" w:tentative="1">
      <w:start w:val="1"/>
      <w:numFmt w:val="bullet"/>
      <w:lvlText w:val=""/>
      <w:lvlJc w:val="left"/>
      <w:pPr>
        <w:ind w:left="4051" w:hanging="360"/>
      </w:pPr>
      <w:rPr>
        <w:rFonts w:ascii="Symbol" w:hAnsi="Symbol" w:hint="default"/>
      </w:rPr>
    </w:lvl>
    <w:lvl w:ilvl="4" w:tplc="04090003" w:tentative="1">
      <w:start w:val="1"/>
      <w:numFmt w:val="bullet"/>
      <w:lvlText w:val="o"/>
      <w:lvlJc w:val="left"/>
      <w:pPr>
        <w:ind w:left="4771" w:hanging="360"/>
      </w:pPr>
      <w:rPr>
        <w:rFonts w:ascii="Courier New" w:hAnsi="Courier New" w:cs="Courier New" w:hint="default"/>
      </w:rPr>
    </w:lvl>
    <w:lvl w:ilvl="5" w:tplc="04090005" w:tentative="1">
      <w:start w:val="1"/>
      <w:numFmt w:val="bullet"/>
      <w:lvlText w:val=""/>
      <w:lvlJc w:val="left"/>
      <w:pPr>
        <w:ind w:left="5491" w:hanging="360"/>
      </w:pPr>
      <w:rPr>
        <w:rFonts w:ascii="Wingdings" w:hAnsi="Wingdings" w:hint="default"/>
      </w:rPr>
    </w:lvl>
    <w:lvl w:ilvl="6" w:tplc="04090001" w:tentative="1">
      <w:start w:val="1"/>
      <w:numFmt w:val="bullet"/>
      <w:lvlText w:val=""/>
      <w:lvlJc w:val="left"/>
      <w:pPr>
        <w:ind w:left="6211" w:hanging="360"/>
      </w:pPr>
      <w:rPr>
        <w:rFonts w:ascii="Symbol" w:hAnsi="Symbol" w:hint="default"/>
      </w:rPr>
    </w:lvl>
    <w:lvl w:ilvl="7" w:tplc="04090003" w:tentative="1">
      <w:start w:val="1"/>
      <w:numFmt w:val="bullet"/>
      <w:lvlText w:val="o"/>
      <w:lvlJc w:val="left"/>
      <w:pPr>
        <w:ind w:left="6931" w:hanging="360"/>
      </w:pPr>
      <w:rPr>
        <w:rFonts w:ascii="Courier New" w:hAnsi="Courier New" w:cs="Courier New" w:hint="default"/>
      </w:rPr>
    </w:lvl>
    <w:lvl w:ilvl="8" w:tplc="04090005" w:tentative="1">
      <w:start w:val="1"/>
      <w:numFmt w:val="bullet"/>
      <w:lvlText w:val=""/>
      <w:lvlJc w:val="left"/>
      <w:pPr>
        <w:ind w:left="7651"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47850450">
    <w:abstractNumId w:val="13"/>
  </w:num>
  <w:num w:numId="2" w16cid:durableId="660503457">
    <w:abstractNumId w:val="11"/>
  </w:num>
  <w:num w:numId="3" w16cid:durableId="300230405">
    <w:abstractNumId w:val="10"/>
  </w:num>
  <w:num w:numId="4" w16cid:durableId="1724672982">
    <w:abstractNumId w:val="8"/>
  </w:num>
  <w:num w:numId="5" w16cid:durableId="2076734521">
    <w:abstractNumId w:val="3"/>
  </w:num>
  <w:num w:numId="6" w16cid:durableId="410468057">
    <w:abstractNumId w:val="2"/>
  </w:num>
  <w:num w:numId="7" w16cid:durableId="1950121744">
    <w:abstractNumId w:val="1"/>
  </w:num>
  <w:num w:numId="8" w16cid:durableId="213077616">
    <w:abstractNumId w:val="0"/>
  </w:num>
  <w:num w:numId="9" w16cid:durableId="1520502968">
    <w:abstractNumId w:val="9"/>
  </w:num>
  <w:num w:numId="10" w16cid:durableId="1226835939">
    <w:abstractNumId w:val="7"/>
  </w:num>
  <w:num w:numId="11" w16cid:durableId="925648635">
    <w:abstractNumId w:val="6"/>
  </w:num>
  <w:num w:numId="12" w16cid:durableId="1830369620">
    <w:abstractNumId w:val="5"/>
  </w:num>
  <w:num w:numId="13" w16cid:durableId="770470055">
    <w:abstractNumId w:val="4"/>
  </w:num>
  <w:num w:numId="14" w16cid:durableId="340546542">
    <w:abstractNumId w:val="13"/>
  </w:num>
  <w:num w:numId="15" w16cid:durableId="1251542143">
    <w:abstractNumId w:val="11"/>
  </w:num>
  <w:num w:numId="16" w16cid:durableId="1672757547">
    <w:abstractNumId w:val="10"/>
  </w:num>
  <w:num w:numId="17" w16cid:durableId="11625055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4F"/>
    <w:rsid w:val="00017F94"/>
    <w:rsid w:val="00023842"/>
    <w:rsid w:val="000334F9"/>
    <w:rsid w:val="00045FEB"/>
    <w:rsid w:val="0006511E"/>
    <w:rsid w:val="0007796D"/>
    <w:rsid w:val="000B7790"/>
    <w:rsid w:val="00111F2F"/>
    <w:rsid w:val="0014365E"/>
    <w:rsid w:val="00143C66"/>
    <w:rsid w:val="00176178"/>
    <w:rsid w:val="001F525A"/>
    <w:rsid w:val="00201148"/>
    <w:rsid w:val="00223272"/>
    <w:rsid w:val="00234177"/>
    <w:rsid w:val="0024779E"/>
    <w:rsid w:val="00257168"/>
    <w:rsid w:val="002744B8"/>
    <w:rsid w:val="002832AC"/>
    <w:rsid w:val="002D7C93"/>
    <w:rsid w:val="002F0398"/>
    <w:rsid w:val="002F04B5"/>
    <w:rsid w:val="00305801"/>
    <w:rsid w:val="00366B3D"/>
    <w:rsid w:val="003916DE"/>
    <w:rsid w:val="00421996"/>
    <w:rsid w:val="00441C3B"/>
    <w:rsid w:val="00446FE5"/>
    <w:rsid w:val="00452396"/>
    <w:rsid w:val="00477EB2"/>
    <w:rsid w:val="004837D8"/>
    <w:rsid w:val="004B0224"/>
    <w:rsid w:val="004C07AA"/>
    <w:rsid w:val="004E2EED"/>
    <w:rsid w:val="004E38B9"/>
    <w:rsid w:val="004E468C"/>
    <w:rsid w:val="005505B7"/>
    <w:rsid w:val="00573BE5"/>
    <w:rsid w:val="00586ED3"/>
    <w:rsid w:val="00596AA9"/>
    <w:rsid w:val="006B2B2D"/>
    <w:rsid w:val="0071601D"/>
    <w:rsid w:val="0072220F"/>
    <w:rsid w:val="007A62E6"/>
    <w:rsid w:val="007F20FA"/>
    <w:rsid w:val="00804584"/>
    <w:rsid w:val="0080684C"/>
    <w:rsid w:val="008473A1"/>
    <w:rsid w:val="00871C75"/>
    <w:rsid w:val="008776DC"/>
    <w:rsid w:val="008D5EF9"/>
    <w:rsid w:val="009446C0"/>
    <w:rsid w:val="009705C8"/>
    <w:rsid w:val="00986945"/>
    <w:rsid w:val="009C1CF4"/>
    <w:rsid w:val="009F6B74"/>
    <w:rsid w:val="00A3029F"/>
    <w:rsid w:val="00A30353"/>
    <w:rsid w:val="00AC0DEE"/>
    <w:rsid w:val="00AC3823"/>
    <w:rsid w:val="00AE323C"/>
    <w:rsid w:val="00AF0CB5"/>
    <w:rsid w:val="00B00181"/>
    <w:rsid w:val="00B00B0D"/>
    <w:rsid w:val="00B373A6"/>
    <w:rsid w:val="00B45F2E"/>
    <w:rsid w:val="00B765F7"/>
    <w:rsid w:val="00B77993"/>
    <w:rsid w:val="00BA0CA9"/>
    <w:rsid w:val="00BB51D9"/>
    <w:rsid w:val="00BE25DA"/>
    <w:rsid w:val="00C02897"/>
    <w:rsid w:val="00C97039"/>
    <w:rsid w:val="00D17DEF"/>
    <w:rsid w:val="00D3439C"/>
    <w:rsid w:val="00D7622E"/>
    <w:rsid w:val="00DB1831"/>
    <w:rsid w:val="00DD3BFD"/>
    <w:rsid w:val="00DF6678"/>
    <w:rsid w:val="00E0299A"/>
    <w:rsid w:val="00E85C74"/>
    <w:rsid w:val="00EA6547"/>
    <w:rsid w:val="00ED7237"/>
    <w:rsid w:val="00EF2E22"/>
    <w:rsid w:val="00F35BAF"/>
    <w:rsid w:val="00F4584D"/>
    <w:rsid w:val="00F660DF"/>
    <w:rsid w:val="00F67F4F"/>
    <w:rsid w:val="00F94664"/>
    <w:rsid w:val="00F9573C"/>
    <w:rsid w:val="00F95C08"/>
    <w:rsid w:val="00FB627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161FB"/>
  <w15:docId w15:val="{C5103D5F-4D13-4D96-BAA1-BE07703D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06511E"/>
    <w:rPr>
      <w:rFonts w:ascii="Times New Roman" w:eastAsiaTheme="minorHAnsi" w:hAnsi="Times New Roman" w:cs="Times New Roman"/>
      <w:sz w:val="20"/>
      <w:szCs w:val="20"/>
      <w:lang w:eastAsia="en-US"/>
    </w:rPr>
  </w:style>
  <w:style w:type="character" w:customStyle="1" w:styleId="HChGChar">
    <w:name w:val="_ H _Ch_G Char"/>
    <w:link w:val="HChG"/>
    <w:qFormat/>
    <w:rsid w:val="0006511E"/>
    <w:rPr>
      <w:rFonts w:ascii="Times New Roman" w:eastAsiaTheme="minorHAnsi" w:hAnsi="Times New Roman" w:cs="Times New Roman"/>
      <w:b/>
      <w:sz w:val="28"/>
      <w:szCs w:val="20"/>
      <w:lang w:eastAsia="en-US"/>
    </w:rPr>
  </w:style>
  <w:style w:type="paragraph" w:customStyle="1" w:styleId="paragraphe">
    <w:name w:val="paragraphe"/>
    <w:basedOn w:val="Normal"/>
    <w:rsid w:val="0006511E"/>
    <w:pPr>
      <w:suppressAutoHyphens w:val="0"/>
      <w:kinsoku/>
      <w:snapToGrid/>
      <w:spacing w:before="120" w:after="120" w:line="240" w:lineRule="auto"/>
      <w:jc w:val="both"/>
      <w:textAlignment w:val="baseline"/>
    </w:pPr>
    <w:rPr>
      <w:rFonts w:eastAsia="Times New Roman"/>
      <w:sz w:val="24"/>
      <w:lang w:val="fr-FR" w:eastAsia="fr-FR"/>
    </w:rPr>
  </w:style>
  <w:style w:type="character" w:styleId="Mentionnonrsolue">
    <w:name w:val="Unresolved Mention"/>
    <w:basedOn w:val="Policepardfaut"/>
    <w:uiPriority w:val="99"/>
    <w:semiHidden/>
    <w:unhideWhenUsed/>
    <w:rsid w:val="00722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ece.org/fr/info/events/unece-meetings-and-events/transport/dangerous%20goods" TargetMode="External"/><Relationship Id="rId1" Type="http://schemas.openxmlformats.org/officeDocument/2006/relationships/hyperlink" Target="https://unece.org/fr/info/events/unece-meetings-and-events/transport/dangerous%20goo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233346-AFED-4F4A-82CA-C656F5C25D7C}"/>
</file>

<file path=customXml/itemProps2.xml><?xml version="1.0" encoding="utf-8"?>
<ds:datastoreItem xmlns:ds="http://schemas.openxmlformats.org/officeDocument/2006/customXml" ds:itemID="{8E5FDA13-5141-42AD-A16F-80ADAFE7E1B1}"/>
</file>

<file path=docProps/app.xml><?xml version="1.0" encoding="utf-8"?>
<Properties xmlns="http://schemas.openxmlformats.org/officeDocument/2006/extended-properties" xmlns:vt="http://schemas.openxmlformats.org/officeDocument/2006/docPropsVTypes">
  <Template>ECE_TRANS.dotm</Template>
  <TotalTime>3</TotalTime>
  <Pages>14</Pages>
  <Words>4471</Words>
  <Characters>24594</Characters>
  <Application>Microsoft Office Word</Application>
  <DocSecurity>0</DocSecurity>
  <Lines>204</Lines>
  <Paragraphs>58</Paragraphs>
  <ScaleCrop>false</ScaleCrop>
  <HeadingPairs>
    <vt:vector size="2" baseType="variant">
      <vt:variant>
        <vt:lpstr>Titre</vt:lpstr>
      </vt:variant>
      <vt:variant>
        <vt:i4>1</vt:i4>
      </vt:variant>
    </vt:vector>
  </HeadingPairs>
  <TitlesOfParts>
    <vt:vector size="1" baseType="lpstr">
      <vt:lpstr>ECE/TRANS/WP.15/2024/9</vt:lpstr>
    </vt:vector>
  </TitlesOfParts>
  <Company>DCM</Company>
  <LinksUpToDate>false</LinksUpToDate>
  <CharactersWithSpaces>29007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ECE/TRANS/WP.15/2024/9</dc:title>
  <dc:subject/>
  <dc:creator>Estelle-Delphine DITTA</dc:creator>
  <cp:keywords/>
  <cp:lastModifiedBy>Estelle-Delphine DITTA</cp:lastModifiedBy>
  <cp:revision>3</cp:revision>
  <cp:lastPrinted>2024-02-14T09:41:00Z</cp:lastPrinted>
  <dcterms:created xsi:type="dcterms:W3CDTF">2024-02-14T09:41:00Z</dcterms:created>
  <dcterms:modified xsi:type="dcterms:W3CDTF">2024-02-14T09:46:00Z</dcterms:modified>
</cp:coreProperties>
</file>