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9DAFD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C9EC94" w14:textId="77777777" w:rsidR="002D5AAC" w:rsidRDefault="002D5AAC" w:rsidP="002E46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F85EB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B57D88" w14:textId="563A8BF7" w:rsidR="002D5AAC" w:rsidRDefault="002E4662" w:rsidP="002E4662">
            <w:pPr>
              <w:jc w:val="right"/>
            </w:pPr>
            <w:r w:rsidRPr="002E4662">
              <w:rPr>
                <w:sz w:val="40"/>
              </w:rPr>
              <w:t>ECE</w:t>
            </w:r>
            <w:r>
              <w:t>/TRANS/WP.15/AC.1/2024/25</w:t>
            </w:r>
          </w:p>
        </w:tc>
      </w:tr>
      <w:tr w:rsidR="002D5AAC" w:rsidRPr="00A850B6" w14:paraId="50DF256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70628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D81ADC" wp14:editId="058B32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80226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0786CC" w14:textId="77777777" w:rsidR="009C140F" w:rsidRPr="009C140F" w:rsidRDefault="009C140F" w:rsidP="009C140F">
            <w:pPr>
              <w:spacing w:before="240" w:line="240" w:lineRule="exact"/>
              <w:rPr>
                <w:lang w:val="en-US"/>
              </w:rPr>
            </w:pPr>
            <w:r w:rsidRPr="009C140F">
              <w:rPr>
                <w:lang w:val="en-US"/>
              </w:rPr>
              <w:t>Distr.: General</w:t>
            </w:r>
          </w:p>
          <w:p w14:paraId="2CCAFAEE" w14:textId="77777777" w:rsidR="009C140F" w:rsidRPr="009C140F" w:rsidRDefault="009C140F" w:rsidP="009C140F">
            <w:pPr>
              <w:spacing w:line="240" w:lineRule="exact"/>
              <w:rPr>
                <w:lang w:val="en-US"/>
              </w:rPr>
            </w:pPr>
            <w:r w:rsidRPr="009C140F">
              <w:rPr>
                <w:lang w:val="en-US"/>
              </w:rPr>
              <w:t>29 December 2023</w:t>
            </w:r>
          </w:p>
          <w:p w14:paraId="020951FF" w14:textId="7D88457A" w:rsidR="009C140F" w:rsidRPr="009C140F" w:rsidRDefault="009C140F" w:rsidP="009C14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B43842" w14:textId="3A9B5115" w:rsidR="002E4662" w:rsidRPr="009C140F" w:rsidRDefault="009C140F" w:rsidP="009C140F">
            <w:pPr>
              <w:spacing w:line="240" w:lineRule="exact"/>
              <w:rPr>
                <w:lang w:val="en-US"/>
              </w:rPr>
            </w:pPr>
            <w:r w:rsidRPr="009C140F">
              <w:rPr>
                <w:lang w:val="en-US"/>
              </w:rPr>
              <w:t>Original: English</w:t>
            </w:r>
          </w:p>
        </w:tc>
      </w:tr>
    </w:tbl>
    <w:p w14:paraId="1BAAA9B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7F4175" w14:textId="77777777" w:rsidR="003E7E8D" w:rsidRPr="003E7E8D" w:rsidRDefault="003E7E8D" w:rsidP="003E7E8D">
      <w:pPr>
        <w:spacing w:before="120"/>
        <w:rPr>
          <w:sz w:val="40"/>
          <w:szCs w:val="40"/>
        </w:rPr>
      </w:pPr>
      <w:r w:rsidRPr="003E7E8D">
        <w:rPr>
          <w:sz w:val="28"/>
          <w:szCs w:val="32"/>
        </w:rPr>
        <w:t>Комитет по внутреннему транспорту</w:t>
      </w:r>
    </w:p>
    <w:p w14:paraId="26FF003E" w14:textId="77777777" w:rsidR="003E7E8D" w:rsidRPr="003E7E8D" w:rsidRDefault="003E7E8D" w:rsidP="003E7E8D">
      <w:pPr>
        <w:spacing w:before="120"/>
        <w:rPr>
          <w:b/>
          <w:bCs/>
          <w:sz w:val="32"/>
          <w:szCs w:val="32"/>
        </w:rPr>
      </w:pPr>
      <w:r w:rsidRPr="003E7E8D">
        <w:rPr>
          <w:b/>
          <w:bCs/>
          <w:sz w:val="24"/>
          <w:szCs w:val="28"/>
        </w:rPr>
        <w:t>Рабочая группа по перевозкам опасных грузов</w:t>
      </w:r>
    </w:p>
    <w:p w14:paraId="1FB92317" w14:textId="02E3F923" w:rsidR="003E7E8D" w:rsidRPr="00A91B0B" w:rsidRDefault="003E7E8D" w:rsidP="003E7E8D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1C83F7A8" w14:textId="44C4909C" w:rsidR="003E7E8D" w:rsidRPr="00A91B0B" w:rsidRDefault="003E7E8D" w:rsidP="003E7E8D">
      <w:r>
        <w:t>Берн, 25–28  марта 2024 года</w:t>
      </w:r>
    </w:p>
    <w:p w14:paraId="0DC0BAC1" w14:textId="77777777" w:rsidR="003E7E8D" w:rsidRPr="00A91B0B" w:rsidRDefault="003E7E8D" w:rsidP="003E7E8D">
      <w:pPr>
        <w:autoSpaceDE w:val="0"/>
        <w:autoSpaceDN w:val="0"/>
        <w:adjustRightInd w:val="0"/>
      </w:pPr>
      <w:r>
        <w:t>Пункт 5 а) предварительной повестки дня</w:t>
      </w:r>
    </w:p>
    <w:p w14:paraId="35C945F8" w14:textId="77777777" w:rsidR="003E7E8D" w:rsidRDefault="003E7E8D" w:rsidP="003E7E8D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058E1C5B" w14:textId="77777777" w:rsidR="003E7E8D" w:rsidRPr="00A91B0B" w:rsidRDefault="003E7E8D" w:rsidP="003E7E8D">
      <w:pPr>
        <w:rPr>
          <w:b/>
          <w:bCs/>
        </w:rPr>
      </w:pPr>
      <w:r>
        <w:rPr>
          <w:b/>
          <w:bCs/>
        </w:rPr>
        <w:t>нерассмотренные вопросы</w:t>
      </w:r>
    </w:p>
    <w:p w14:paraId="37E279B2" w14:textId="77777777" w:rsidR="003E7E8D" w:rsidRPr="00A91B0B" w:rsidRDefault="003E7E8D" w:rsidP="003E7E8D">
      <w:pPr>
        <w:pStyle w:val="HChG"/>
        <w:ind w:right="999"/>
      </w:pPr>
      <w:r>
        <w:tab/>
      </w:r>
      <w:r>
        <w:tab/>
      </w:r>
      <w:r>
        <w:rPr>
          <w:bCs/>
        </w:rPr>
        <w:t>Согласование МПОГ/ДОПОГ/ВОПОГ с Рекомендациями Организации Объединенных Наций по перевозке опасных грузов</w:t>
      </w:r>
    </w:p>
    <w:p w14:paraId="066362B5" w14:textId="409C644B" w:rsidR="003E7E8D" w:rsidRPr="00A91B0B" w:rsidRDefault="003E7E8D" w:rsidP="003E7E8D">
      <w:pPr>
        <w:pStyle w:val="H1G"/>
        <w:spacing w:before="240" w:after="120"/>
      </w:pPr>
      <w:r>
        <w:tab/>
      </w:r>
      <w:r>
        <w:tab/>
      </w:r>
      <w:r>
        <w:rPr>
          <w:bCs/>
        </w:rPr>
        <w:t>Записка секретариата</w:t>
      </w:r>
      <w:r w:rsidRPr="003E7E8D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A850B6">
        <w:rPr>
          <w:b w:val="0"/>
          <w:bCs/>
          <w:sz w:val="20"/>
          <w:szCs w:val="22"/>
        </w:rPr>
        <w:t xml:space="preserve"> </w:t>
      </w:r>
      <w:r w:rsidRPr="003E7E8D">
        <w:rPr>
          <w:rStyle w:val="aa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14:paraId="2DCE6058" w14:textId="77777777" w:rsidR="003E7E8D" w:rsidRPr="00A91B0B" w:rsidRDefault="003E7E8D" w:rsidP="003E7E8D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6152D859" w14:textId="77777777" w:rsidR="003E7E8D" w:rsidRPr="003D1128" w:rsidRDefault="003E7E8D" w:rsidP="003E7E8D">
      <w:pPr>
        <w:pStyle w:val="SingleTxtG"/>
        <w:rPr>
          <w:rFonts w:eastAsia="DengXian"/>
        </w:rPr>
      </w:pPr>
      <w:r>
        <w:t>1.</w:t>
      </w:r>
      <w:r>
        <w:tab/>
        <w:t>В ходе подготовки предложений по переносу поправок к двадцать второму пересмотренному изданию Типовых правил в МПОГ/ДОПОГ/ВОПОГ Специальная рабочая группа по согласованию МПОГ/ДОПОГ/ВОПОГ с Рекомендациями Организации Объединенных Наций по перевозке опасных грузов выявила возможные сопутствующие поправки, которые, вероятно, потребуется внести в Типовые правила и в МПОГ/ДОПОГ/ВОПОГ.</w:t>
      </w:r>
    </w:p>
    <w:p w14:paraId="4242BA01" w14:textId="47E6FCE3" w:rsidR="003E7E8D" w:rsidRPr="00A91B0B" w:rsidRDefault="003E7E8D" w:rsidP="003E7E8D">
      <w:pPr>
        <w:pStyle w:val="SingleTxtG"/>
      </w:pPr>
      <w:r>
        <w:t>2.</w:t>
      </w:r>
      <w:r>
        <w:tab/>
        <w:t xml:space="preserve">Эти поправки были рассмотрены в ходе шестьдесят второй сессии Подкомитета экспертов по перевозке опасных грузов (далее </w:t>
      </w:r>
      <w:r w:rsidR="00A850B6">
        <w:rPr>
          <w:lang w:val="en-US"/>
        </w:rPr>
        <w:t>⸺</w:t>
      </w:r>
      <w:r>
        <w:t xml:space="preserve"> Подкомитет) на основе неофициального документа INF.13. Большинство из них были признаны редакционными и приняты. Они уже отражены в проектах поправок к МПОГ, ДОПОГ и ВОПОГ для вступления в силу 1 января 2025 года, принятых Совместным совещанием (см. документ ECE/TRANS/WP.15/AC.1/170, часть VI и приложение II).</w:t>
      </w:r>
    </w:p>
    <w:p w14:paraId="14E692E1" w14:textId="609F80D4" w:rsidR="003E7E8D" w:rsidRPr="00A91B0B" w:rsidRDefault="003E7E8D" w:rsidP="003E7E8D">
      <w:pPr>
        <w:pStyle w:val="SingleTxtG"/>
      </w:pPr>
      <w:r w:rsidRPr="00435FC1">
        <w:rPr>
          <w:spacing w:val="-2"/>
        </w:rPr>
        <w:t>3.</w:t>
      </w:r>
      <w:r w:rsidRPr="00435FC1">
        <w:rPr>
          <w:spacing w:val="-2"/>
        </w:rPr>
        <w:tab/>
        <w:t>Подкомитет заключил, что предлагаемые поправки к пункту 2.0.5.2 (пункт 2.1.5.2 МПОГ/ДОПОГ/ВОПОГ) и инструкциям по упаковке P006 и LP03 не являются редакционными, поскольку они касаются применения существующих положений для</w:t>
      </w:r>
      <w:r>
        <w:t xml:space="preserve"> изделий, содержащих литиевые батареи, к изделиям, содержащим натрий-ионные батареи. Было отмечено, что первоначально к литиевым батареям и натрий-ионным батареям предполагалось применять одни и те же положения. Подкомитет решил рассмотреть эти предложенные поправки на своей шестьдесят третьей сессии </w:t>
      </w:r>
      <w:r>
        <w:br/>
        <w:t xml:space="preserve">(27 ноября </w:t>
      </w:r>
      <w:r w:rsidR="00435FC1">
        <w:t>⸺</w:t>
      </w:r>
      <w:r>
        <w:t xml:space="preserve"> 6 декабря 2023 года) на основе официального документа.</w:t>
      </w:r>
    </w:p>
    <w:p w14:paraId="6C9D8565" w14:textId="77777777" w:rsidR="003E7E8D" w:rsidRPr="00A91B0B" w:rsidRDefault="003E7E8D" w:rsidP="003E7E8D">
      <w:pPr>
        <w:pStyle w:val="SingleTxtG"/>
      </w:pPr>
      <w:r>
        <w:lastRenderedPageBreak/>
        <w:t>4.</w:t>
      </w:r>
      <w:r>
        <w:tab/>
        <w:t xml:space="preserve">На своей шестьдесят третьей сессии Подкомитет рассмотрел документ секретариата ST/SG/AC.10/C.3/2023/57 по этому вопросу. Подкомитет подтвердил, что положения пункта 2.0.5.2 и инструкций по упаковке P006 и LP03, касающиеся изделий, содержащих литиевые батареи, применяются также к изделиям, содержащим натрий-ионные батареи, и принял соответствующие поправки к двадцать третьему пересмотренному изданию Типовых правил (см. документы ST/SG/AC.10/C.3/126 и Add.1). Эти поправки связаны с новыми положениями для натрий-ионных батарей, принятыми Совместным совещанием для вступления в силу 1 января 2025 года, и необходимы для обеспечения согласованности принятых текстов. Таким образом Совместное совещание, возможно, пожелает также принять их для вступления в силу 1 января 2025 года, не дожидаясь цикла согласования с двадцать четвертым пересмотренным изданием Типовых правил. </w:t>
      </w:r>
    </w:p>
    <w:p w14:paraId="721374B7" w14:textId="69421508" w:rsidR="003E7E8D" w:rsidRPr="00A91B0B" w:rsidRDefault="003E7E8D" w:rsidP="003E7E8D">
      <w:pPr>
        <w:pStyle w:val="SingleTxtG"/>
      </w:pPr>
      <w:r>
        <w:t>5.</w:t>
      </w:r>
      <w:r>
        <w:tab/>
        <w:t>Подкомитет также принял предложения секретариата об упрощении названия маркировочного знака литиевых и натриевых батарей в главе 5.2 до «маркировочного знака батарей». Эти поправки представлены отдельно, поскольку они не являются необходимыми для обеспечения согласованности текстов, принятых для вступления в силу 1 января 2027 года. Совместное совещание может решить отложить их принятие, с тем чтобы они вступили в силу 1 января 2027 года в соответствии с циклом согласования с двадцать четвертым пересмотренным изданием Типовых правил.</w:t>
      </w:r>
    </w:p>
    <w:p w14:paraId="6F718897" w14:textId="6E2A8514" w:rsidR="003E7E8D" w:rsidRPr="00A91B0B" w:rsidRDefault="003E7E8D" w:rsidP="003E7E8D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 xml:space="preserve">Предложения по поправкам к пункту 2.1.5.2 </w:t>
      </w:r>
      <w:r>
        <w:rPr>
          <w:bCs/>
        </w:rPr>
        <w:br/>
        <w:t>и инструкциям по упаковке P006 и LP03</w:t>
      </w:r>
    </w:p>
    <w:p w14:paraId="7191E949" w14:textId="77777777" w:rsidR="003E7E8D" w:rsidRPr="00A91B0B" w:rsidRDefault="003E7E8D" w:rsidP="003E7E8D">
      <w:pPr>
        <w:pStyle w:val="SingleTxtG"/>
      </w:pPr>
      <w:r>
        <w:t>6.</w:t>
      </w:r>
      <w:r>
        <w:tab/>
        <w:t xml:space="preserve">Изменить пункт 2.1.5.2, принятый Совместным совещанием на его осенней </w:t>
      </w:r>
      <w:r w:rsidRPr="003E7E8D">
        <w:rPr>
          <w:spacing w:val="-2"/>
        </w:rPr>
        <w:t>сессии 2023 года (см. документ ECE/TRANS/WP.15/AC.1/170, часть VI и приложение II),</w:t>
      </w:r>
      <w:r>
        <w:t xml:space="preserve"> следующим образом (новый текст выделен жирным шрифтом): </w:t>
      </w:r>
    </w:p>
    <w:p w14:paraId="05AF8D09" w14:textId="1F7191F0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>
        <w:t>«2.1.5.2</w:t>
      </w:r>
      <w:r>
        <w:tab/>
        <w:t xml:space="preserve">Такие изделия могут, кроме того, содержать элементы или батареи. </w:t>
      </w:r>
      <w:r>
        <w:rPr>
          <w:b/>
          <w:bCs/>
        </w:rPr>
        <w:t xml:space="preserve">Литий-металлические, литий-ионные и натрий-ионные </w:t>
      </w:r>
      <w:r>
        <w:t>элементы и батареи, являющиеся неотъемлемой частью изделия, должны быть такого типа, который, как доказано, отвечает требованиям к испытаниям, изложенным в подразделе 38.3 части III Руководства по испытаниям и критериям. К изделиям, содержащим опытные образцы</w:t>
      </w:r>
      <w:r>
        <w:rPr>
          <w:b/>
          <w:bCs/>
        </w:rPr>
        <w:t xml:space="preserve"> литий-металлических, литий-ионных и натрий-ионных </w:t>
      </w:r>
      <w:r>
        <w:t>элементов или батарей, перевозимые для испытаний, или к изделиям, содержащим</w:t>
      </w:r>
      <w:r>
        <w:rPr>
          <w:b/>
          <w:bCs/>
        </w:rPr>
        <w:t xml:space="preserve"> литий-металлические, литий-ионные и натрий-ионные</w:t>
      </w:r>
      <w:r>
        <w:t xml:space="preserve"> элементы или батареи, изготовленные в виде промышленных партий, состоящих из не более чем 100 таких элементов или батарей, применяются требования специального положения 310 главы 3.3».</w:t>
      </w:r>
    </w:p>
    <w:p w14:paraId="3AC23AF5" w14:textId="77777777" w:rsidR="003E7E8D" w:rsidRPr="00A91B0B" w:rsidRDefault="003E7E8D" w:rsidP="003E7E8D">
      <w:pPr>
        <w:pStyle w:val="SingleTxtG"/>
      </w:pPr>
      <w:r>
        <w:t>7.</w:t>
      </w:r>
      <w:r>
        <w:tab/>
        <w:t xml:space="preserve">Изменить текст первого абзаца нового пункта 5) инструкции по упаковке P006 в разделе 4.1.4.1, принятый Совместным совещанием на его осенней сессии 2023 года (см. документ ECE/TRANS/WP.15/AC.1/170, часть VI и приложение II), следующим образом (новый текст выделен жирным шрифтом): </w:t>
      </w:r>
    </w:p>
    <w:p w14:paraId="485C94AE" w14:textId="0F07922A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hanging="567"/>
        <w:jc w:val="both"/>
      </w:pPr>
      <w:r>
        <w:t>«5)</w:t>
      </w:r>
      <w:r>
        <w:tab/>
        <w:t xml:space="preserve">Изделия, содержащие опытные образцы литиевых элементов или батарей </w:t>
      </w:r>
      <w:r>
        <w:rPr>
          <w:b/>
          <w:bCs/>
        </w:rPr>
        <w:t>или натрий-ионных элементов или батарей</w:t>
      </w:r>
      <w:r>
        <w:t xml:space="preserve">, когда эти опытные образцы перевозятся для испытаний, или промышленные партии, состоящие из не более чем 100 литиевых элементов или батарей </w:t>
      </w:r>
      <w:r>
        <w:rPr>
          <w:b/>
          <w:bCs/>
        </w:rPr>
        <w:t>или натрий-ионных элементов или батарей</w:t>
      </w:r>
      <w:r>
        <w:t>, которые относятся к типу, не отвечающему требованиям испытаний, предусмотренных в Руководстве по испытаниям и критериям, часть III, подраздел 38.3, должны дополнительно отвечать следующим требованиям:».</w:t>
      </w:r>
    </w:p>
    <w:p w14:paraId="22C0C296" w14:textId="77777777" w:rsidR="003E7E8D" w:rsidRPr="00A91B0B" w:rsidRDefault="003E7E8D" w:rsidP="003E7E8D">
      <w:pPr>
        <w:pStyle w:val="SingleTxtG"/>
      </w:pPr>
      <w:r>
        <w:t>8.</w:t>
      </w:r>
      <w:r>
        <w:tab/>
        <w:t xml:space="preserve">Изменить текст первого абзаца нового пункта 4) инструкции по упаковке LP03 в разделе 4.1.4.3, принятый Совместным совещанием на его осенней сессии 2023 года (см. документ ECE/TRANS/WP.15/AC.1/170, часть VI и приложение II), следующим образом (новый текст выделен жирным шрифтом): </w:t>
      </w:r>
    </w:p>
    <w:p w14:paraId="6961A030" w14:textId="77777777" w:rsidR="003E7E8D" w:rsidRDefault="003E7E8D">
      <w:pPr>
        <w:suppressAutoHyphens w:val="0"/>
        <w:spacing w:line="240" w:lineRule="auto"/>
      </w:pPr>
      <w:r>
        <w:br w:type="page"/>
      </w:r>
    </w:p>
    <w:p w14:paraId="57F5B322" w14:textId="1B8C1DD8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 w:hanging="567"/>
        <w:jc w:val="both"/>
      </w:pPr>
      <w:r>
        <w:lastRenderedPageBreak/>
        <w:t>«4)</w:t>
      </w:r>
      <w:r>
        <w:tab/>
        <w:t xml:space="preserve">Изделия, содержащие опытные образцы литиевых элементов или батарей </w:t>
      </w:r>
      <w:r>
        <w:rPr>
          <w:b/>
          <w:bCs/>
        </w:rPr>
        <w:t>или натрий-ионных элементов или батарей</w:t>
      </w:r>
      <w:r>
        <w:t xml:space="preserve">, когда эти опытные образцы перевозятся для испытаний, или промышленные партии, состоящие из не более чем 100 литиевых элементов или батарей </w:t>
      </w:r>
      <w:r>
        <w:rPr>
          <w:b/>
          <w:bCs/>
        </w:rPr>
        <w:t>или натрий-ионных элементов или батарей</w:t>
      </w:r>
      <w:r>
        <w:t>, которые относятся к типу, не отвечающему требованиям испытаний, предусмотренных в Руководстве по испытаниям и критериям, часть III, подраздел 38.3, должны дополнительно отвечать следующим требованиям:».</w:t>
      </w:r>
      <w:bookmarkStart w:id="0" w:name="_Hlk133414700"/>
      <w:bookmarkEnd w:id="0"/>
    </w:p>
    <w:p w14:paraId="07E5F380" w14:textId="77777777" w:rsidR="003E7E8D" w:rsidRPr="00A91B0B" w:rsidRDefault="003E7E8D" w:rsidP="003E7E8D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Дополнительное предложение по изменению названия маркировочного знака батарей</w:t>
      </w:r>
    </w:p>
    <w:p w14:paraId="1BBB284E" w14:textId="1437BE5F" w:rsidR="003E7E8D" w:rsidRPr="003E7E8D" w:rsidRDefault="003E7E8D" w:rsidP="003E7E8D">
      <w:pPr>
        <w:pStyle w:val="SingleTxtG"/>
        <w:rPr>
          <w:spacing w:val="-4"/>
        </w:rPr>
      </w:pPr>
      <w:r w:rsidRPr="003E7E8D">
        <w:rPr>
          <w:spacing w:val="-2"/>
        </w:rPr>
        <w:t>9.</w:t>
      </w:r>
      <w:r w:rsidRPr="003E7E8D">
        <w:rPr>
          <w:spacing w:val="-2"/>
        </w:rPr>
        <w:tab/>
        <w:t>Эти поправки заменяют уже принятые Совместным совещанием поправки, предусматривающие ссылку на «маркировочный знак литиевых батарей или натрий-</w:t>
      </w:r>
      <w:r w:rsidRPr="003E7E8D">
        <w:rPr>
          <w:spacing w:val="-4"/>
        </w:rPr>
        <w:t>ионных батарей» (см. документ ECE/TRANS/WP.15/AC.1/170, часть VI и приложение II).</w:t>
      </w:r>
    </w:p>
    <w:p w14:paraId="7605F1A7" w14:textId="77777777" w:rsidR="003E7E8D" w:rsidRPr="00A91B0B" w:rsidRDefault="003E7E8D" w:rsidP="003E7E8D">
      <w:pPr>
        <w:pStyle w:val="SingleTxtG"/>
      </w:pPr>
      <w:r>
        <w:t>Раздел 3.3.1, СП 188</w:t>
      </w:r>
      <w:r>
        <w:tab/>
        <w:t>В пункте f):</w:t>
      </w:r>
    </w:p>
    <w:p w14:paraId="5D149225" w14:textId="40B1D21F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410" w:right="1134" w:hanging="1276"/>
        <w:jc w:val="both"/>
      </w:pPr>
      <w:r>
        <w:tab/>
        <w:t>- в первом предложении заменить «маркировочный знак литиевых батарей» на «маркировочный знак батарей»;</w:t>
      </w:r>
    </w:p>
    <w:p w14:paraId="793786A8" w14:textId="3B48C075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410" w:right="1134" w:hanging="1276"/>
        <w:jc w:val="both"/>
      </w:pPr>
      <w:r>
        <w:tab/>
        <w:t>- в примечании заменить «</w:t>
      </w:r>
      <w:r w:rsidRPr="007A72B6">
        <w:rPr>
          <w:i/>
          <w:iCs/>
        </w:rPr>
        <w:t>(маркировочный знак литиевых батарей)</w:t>
      </w:r>
      <w:r>
        <w:t>»</w:t>
      </w:r>
      <w:r>
        <w:br/>
        <w:t>на «</w:t>
      </w:r>
      <w:r w:rsidRPr="007A72B6">
        <w:rPr>
          <w:i/>
          <w:iCs/>
        </w:rPr>
        <w:t>(маркировочный знак батарей)</w:t>
      </w:r>
      <w:r>
        <w:t>»;</w:t>
      </w:r>
    </w:p>
    <w:p w14:paraId="6235C67A" w14:textId="6737F937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410" w:right="1134" w:hanging="1276"/>
        <w:jc w:val="both"/>
      </w:pPr>
      <w:r>
        <w:tab/>
        <w:t>- в первом предложении последнего абзаца заменить «маркировочный знак литиевых батарей» на «маркировочный знак батарей».</w:t>
      </w:r>
    </w:p>
    <w:p w14:paraId="440C2271" w14:textId="5DB3497B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>
        <w:t>5.2.1.9</w:t>
      </w:r>
      <w:r>
        <w:tab/>
        <w:t>Изменить заголовок на «</w:t>
      </w:r>
      <w:r w:rsidRPr="0050108E">
        <w:rPr>
          <w:b/>
          <w:bCs/>
          <w:i/>
          <w:iCs/>
        </w:rPr>
        <w:t>Маркировочный знак батарей</w:t>
      </w:r>
      <w:r>
        <w:t>».</w:t>
      </w:r>
    </w:p>
    <w:p w14:paraId="20922703" w14:textId="7DC1BF0B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>
        <w:t>5.2.1.9.1</w:t>
      </w:r>
      <w:r>
        <w:tab/>
        <w:t xml:space="preserve">Заменить «литиевые элементы или батареи» на «литиевые элементы или батареи или натрий-ионные элементы или батареи». </w:t>
      </w:r>
    </w:p>
    <w:p w14:paraId="21EF6F64" w14:textId="77777777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70" w:right="1134"/>
        <w:jc w:val="both"/>
        <w:rPr>
          <w:i/>
          <w:iCs/>
        </w:rPr>
      </w:pPr>
      <w:r>
        <w:rPr>
          <w:i/>
          <w:iCs/>
        </w:rPr>
        <w:t>(Справочный документ: ECE/TRANS/WP.15/AC.1/2023/23/Add.1, с поправками, содержащимися в документе ECE/TRANS/WP.15/AC.1/170, приложение II)</w:t>
      </w:r>
    </w:p>
    <w:p w14:paraId="799105DF" w14:textId="41F699ED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i/>
          <w:iCs/>
        </w:rPr>
      </w:pPr>
      <w:r>
        <w:t>5.2.1.9.1</w:t>
      </w:r>
      <w:r>
        <w:tab/>
        <w:t>Заменить «специальным положением 188» на «специальными положениями 188 или 400».</w:t>
      </w:r>
    </w:p>
    <w:p w14:paraId="4B9B4534" w14:textId="77777777" w:rsidR="003E7E8D" w:rsidRPr="00A91B0B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t>(Справочный документ: ECE/TRANS/WP.15/AC.1/170, приложение II)</w:t>
      </w:r>
    </w:p>
    <w:p w14:paraId="1EBACC36" w14:textId="62B878A0" w:rsidR="003E7E8D" w:rsidRPr="003D1128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i/>
          <w:iCs/>
        </w:rPr>
      </w:pPr>
      <w:r>
        <w:t>5.2.1.9.2</w:t>
      </w:r>
      <w:r>
        <w:tab/>
        <w:t>Изменить заголовок рисунка 5.2.1.9.2 на «</w:t>
      </w:r>
      <w:r w:rsidRPr="001A117E">
        <w:rPr>
          <w:b/>
          <w:bCs/>
        </w:rPr>
        <w:t>Маркировочный знак батарей</w:t>
      </w:r>
      <w:r>
        <w:t>».</w:t>
      </w:r>
    </w:p>
    <w:p w14:paraId="7F38F1CE" w14:textId="342AEF49" w:rsidR="003E7E8D" w:rsidRPr="003D1128" w:rsidRDefault="003E7E8D" w:rsidP="003E7E8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>
        <w:t>5.2.2.1.12.1</w:t>
      </w:r>
      <w:r>
        <w:tab/>
        <w:t>Заменить «литиевые батареи» на «литиевые батареи или натрий-ионные батареи», а «маркировочного знака литиевых батарей» на «маркировочного знака батарей».</w:t>
      </w:r>
    </w:p>
    <w:p w14:paraId="46A162E6" w14:textId="77777777" w:rsidR="003E7E8D" w:rsidRPr="00724A4A" w:rsidRDefault="003E7E8D" w:rsidP="003E7E8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D506EB" w14:textId="77777777" w:rsidR="00E12C5F" w:rsidRPr="008D53B6" w:rsidRDefault="00E12C5F" w:rsidP="00D9145B"/>
    <w:sectPr w:rsidR="00E12C5F" w:rsidRPr="008D53B6" w:rsidSect="002E46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369D" w14:textId="77777777" w:rsidR="009F3FE3" w:rsidRPr="00A312BC" w:rsidRDefault="009F3FE3" w:rsidP="00A312BC"/>
  </w:endnote>
  <w:endnote w:type="continuationSeparator" w:id="0">
    <w:p w14:paraId="32527F8D" w14:textId="77777777" w:rsidR="009F3FE3" w:rsidRPr="00A312BC" w:rsidRDefault="009F3F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F47C" w14:textId="73F6D571" w:rsidR="002E4662" w:rsidRPr="002E4662" w:rsidRDefault="002E4662">
    <w:pPr>
      <w:pStyle w:val="a8"/>
    </w:pPr>
    <w:r w:rsidRPr="002E4662">
      <w:rPr>
        <w:b/>
        <w:sz w:val="18"/>
      </w:rPr>
      <w:fldChar w:fldCharType="begin"/>
    </w:r>
    <w:r w:rsidRPr="002E4662">
      <w:rPr>
        <w:b/>
        <w:sz w:val="18"/>
      </w:rPr>
      <w:instrText xml:space="preserve"> PAGE  \* MERGEFORMAT </w:instrText>
    </w:r>
    <w:r w:rsidRPr="002E4662">
      <w:rPr>
        <w:b/>
        <w:sz w:val="18"/>
      </w:rPr>
      <w:fldChar w:fldCharType="separate"/>
    </w:r>
    <w:r w:rsidRPr="002E4662">
      <w:rPr>
        <w:b/>
        <w:noProof/>
        <w:sz w:val="18"/>
      </w:rPr>
      <w:t>2</w:t>
    </w:r>
    <w:r w:rsidRPr="002E4662">
      <w:rPr>
        <w:b/>
        <w:sz w:val="18"/>
      </w:rPr>
      <w:fldChar w:fldCharType="end"/>
    </w:r>
    <w:r>
      <w:rPr>
        <w:b/>
        <w:sz w:val="18"/>
      </w:rPr>
      <w:tab/>
    </w:r>
    <w:r>
      <w:t>GE.23-26286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C7B0" w14:textId="37A487A0" w:rsidR="002E4662" w:rsidRPr="002E4662" w:rsidRDefault="002E4662" w:rsidP="002E4662">
    <w:pPr>
      <w:pStyle w:val="a8"/>
      <w:tabs>
        <w:tab w:val="clear" w:pos="9639"/>
        <w:tab w:val="right" w:pos="9638"/>
      </w:tabs>
      <w:rPr>
        <w:b/>
        <w:sz w:val="18"/>
      </w:rPr>
    </w:pPr>
    <w:r>
      <w:t>GE.23-26286</w:t>
    </w:r>
    <w:r>
      <w:tab/>
    </w:r>
    <w:r w:rsidRPr="002E4662">
      <w:rPr>
        <w:b/>
        <w:sz w:val="18"/>
      </w:rPr>
      <w:fldChar w:fldCharType="begin"/>
    </w:r>
    <w:r w:rsidRPr="002E4662">
      <w:rPr>
        <w:b/>
        <w:sz w:val="18"/>
      </w:rPr>
      <w:instrText xml:space="preserve"> PAGE  \* MERGEFORMAT </w:instrText>
    </w:r>
    <w:r w:rsidRPr="002E4662">
      <w:rPr>
        <w:b/>
        <w:sz w:val="18"/>
      </w:rPr>
      <w:fldChar w:fldCharType="separate"/>
    </w:r>
    <w:r w:rsidRPr="002E4662">
      <w:rPr>
        <w:b/>
        <w:noProof/>
        <w:sz w:val="18"/>
      </w:rPr>
      <w:t>3</w:t>
    </w:r>
    <w:r w:rsidRPr="002E46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2B2" w14:textId="180FD445" w:rsidR="00042B72" w:rsidRPr="002E4662" w:rsidRDefault="002E4662" w:rsidP="002E466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AF513F" wp14:editId="7D566E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23-26286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3FBF66" wp14:editId="1A3571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220124  230124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0008" w14:textId="77777777" w:rsidR="009F3FE3" w:rsidRPr="001075E9" w:rsidRDefault="009F3F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34F68F" w14:textId="77777777" w:rsidR="009F3FE3" w:rsidRDefault="009F3F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5BDD28" w14:textId="77777777" w:rsidR="003E7E8D" w:rsidRPr="00032120" w:rsidRDefault="003E7E8D" w:rsidP="003E7E8D">
      <w:pPr>
        <w:pStyle w:val="ad"/>
      </w:pPr>
      <w:r>
        <w:tab/>
      </w:r>
      <w:r w:rsidRPr="003E7E8D">
        <w:rPr>
          <w:sz w:val="20"/>
          <w:szCs w:val="22"/>
        </w:rPr>
        <w:t>*</w:t>
      </w:r>
      <w:r>
        <w:tab/>
        <w:t>A/78/6 (разд. 20), таблица 20.5.</w:t>
      </w:r>
    </w:p>
  </w:footnote>
  <w:footnote w:id="2">
    <w:p w14:paraId="37402BF0" w14:textId="77777777" w:rsidR="003E7E8D" w:rsidRPr="00E244BE" w:rsidRDefault="003E7E8D" w:rsidP="003E7E8D">
      <w:pPr>
        <w:pStyle w:val="ad"/>
      </w:pPr>
      <w:r>
        <w:tab/>
      </w:r>
      <w:r w:rsidRPr="003E7E8D">
        <w:rPr>
          <w:sz w:val="20"/>
          <w:szCs w:val="22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DDFC" w14:textId="48CD3CB0" w:rsidR="002E4662" w:rsidRPr="002E4662" w:rsidRDefault="009C18F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18E8" w14:textId="3C2B4228" w:rsidR="002E4662" w:rsidRPr="002E4662" w:rsidRDefault="009C18F7" w:rsidP="002E466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29421357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E3"/>
    <w:rsid w:val="00033EE1"/>
    <w:rsid w:val="00042B72"/>
    <w:rsid w:val="000558BD"/>
    <w:rsid w:val="00081B8F"/>
    <w:rsid w:val="000B57E7"/>
    <w:rsid w:val="000B6373"/>
    <w:rsid w:val="000E4E5B"/>
    <w:rsid w:val="000F09DF"/>
    <w:rsid w:val="000F61B2"/>
    <w:rsid w:val="001075E9"/>
    <w:rsid w:val="0014152F"/>
    <w:rsid w:val="001525ED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4662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7E8D"/>
    <w:rsid w:val="00407B78"/>
    <w:rsid w:val="00424203"/>
    <w:rsid w:val="00435FC1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140F"/>
    <w:rsid w:val="009C18F7"/>
    <w:rsid w:val="009C59D7"/>
    <w:rsid w:val="009C6FE6"/>
    <w:rsid w:val="009D7E7D"/>
    <w:rsid w:val="009F3FE3"/>
    <w:rsid w:val="00A07805"/>
    <w:rsid w:val="00A14DA8"/>
    <w:rsid w:val="00A312BC"/>
    <w:rsid w:val="00A84021"/>
    <w:rsid w:val="00A84D35"/>
    <w:rsid w:val="00A850B6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0FA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2CD53"/>
  <w15:docId w15:val="{2450D7C6-FD74-486D-A22E-2D6B4FC0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3E7E8D"/>
    <w:rPr>
      <w:lang w:val="ru-RU" w:eastAsia="en-US"/>
    </w:rPr>
  </w:style>
  <w:style w:type="paragraph" w:customStyle="1" w:styleId="ParNoG">
    <w:name w:val="_ParNo_G"/>
    <w:basedOn w:val="a"/>
    <w:qFormat/>
    <w:rsid w:val="003E7E8D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SimSun" w:cs="Times New Roman"/>
      <w:szCs w:val="20"/>
      <w:lang w:val="en-GB" w:eastAsia="fr-FR"/>
    </w:rPr>
  </w:style>
  <w:style w:type="character" w:customStyle="1" w:styleId="HChGChar">
    <w:name w:val="_ H _Ch_G Char"/>
    <w:link w:val="HChG"/>
    <w:qFormat/>
    <w:rsid w:val="003E7E8D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locked/>
    <w:rsid w:val="003E7E8D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9082D-689B-4063-82C5-CA7F5AA263CB}"/>
</file>

<file path=customXml/itemProps2.xml><?xml version="1.0" encoding="utf-8"?>
<ds:datastoreItem xmlns:ds="http://schemas.openxmlformats.org/officeDocument/2006/customXml" ds:itemID="{E4AB005B-C345-4746-918D-FE43CCEBDA4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944</Words>
  <Characters>6533</Characters>
  <Application>Microsoft Office Word</Application>
  <DocSecurity>0</DocSecurity>
  <Lines>129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ECE/TRANS/WP.15/AC.1/2024/25</dc:title>
  <dc:subject/>
  <dc:creator>Ekaterina SALYNSKAYA</dc:creator>
  <cp:keywords/>
  <cp:lastModifiedBy>Ekaterina Salynskaya</cp:lastModifiedBy>
  <cp:revision>3</cp:revision>
  <cp:lastPrinted>2024-01-23T12:25:00Z</cp:lastPrinted>
  <dcterms:created xsi:type="dcterms:W3CDTF">2024-01-23T12:25:00Z</dcterms:created>
  <dcterms:modified xsi:type="dcterms:W3CDTF">2024-01-23T12:25:00Z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