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AE0171F" w14:textId="77777777" w:rsidTr="00B20551">
        <w:trPr>
          <w:cantSplit/>
          <w:trHeight w:hRule="exact" w:val="851"/>
        </w:trPr>
        <w:tc>
          <w:tcPr>
            <w:tcW w:w="1276" w:type="dxa"/>
            <w:tcBorders>
              <w:bottom w:val="single" w:sz="4" w:space="0" w:color="auto"/>
            </w:tcBorders>
            <w:vAlign w:val="bottom"/>
          </w:tcPr>
          <w:p w14:paraId="142675D6" w14:textId="77777777" w:rsidR="009E6CB7" w:rsidRDefault="009E6CB7" w:rsidP="00B20551">
            <w:pPr>
              <w:spacing w:after="80"/>
            </w:pPr>
          </w:p>
        </w:tc>
        <w:tc>
          <w:tcPr>
            <w:tcW w:w="2268" w:type="dxa"/>
            <w:tcBorders>
              <w:bottom w:val="single" w:sz="4" w:space="0" w:color="auto"/>
            </w:tcBorders>
            <w:vAlign w:val="bottom"/>
          </w:tcPr>
          <w:p w14:paraId="228348C5"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18B5F9F" w14:textId="43C56095" w:rsidR="009E6CB7" w:rsidRPr="00D47EEA" w:rsidRDefault="00B45F99" w:rsidP="00B45F99">
            <w:pPr>
              <w:jc w:val="right"/>
            </w:pPr>
            <w:r w:rsidRPr="00B45F99">
              <w:rPr>
                <w:sz w:val="40"/>
              </w:rPr>
              <w:t>ECE</w:t>
            </w:r>
            <w:r>
              <w:t>/TRANS/WP.15/AC.1/2024/25</w:t>
            </w:r>
          </w:p>
        </w:tc>
      </w:tr>
      <w:tr w:rsidR="009E6CB7" w14:paraId="0418D3C1" w14:textId="77777777" w:rsidTr="00B20551">
        <w:trPr>
          <w:cantSplit/>
          <w:trHeight w:hRule="exact" w:val="2835"/>
        </w:trPr>
        <w:tc>
          <w:tcPr>
            <w:tcW w:w="1276" w:type="dxa"/>
            <w:tcBorders>
              <w:top w:val="single" w:sz="4" w:space="0" w:color="auto"/>
              <w:bottom w:val="single" w:sz="12" w:space="0" w:color="auto"/>
            </w:tcBorders>
          </w:tcPr>
          <w:p w14:paraId="01E40198" w14:textId="77777777" w:rsidR="009E6CB7" w:rsidRDefault="00686A48" w:rsidP="00B20551">
            <w:pPr>
              <w:spacing w:before="120"/>
            </w:pPr>
            <w:r>
              <w:rPr>
                <w:noProof/>
                <w:lang w:val="fr-CH" w:eastAsia="fr-CH"/>
              </w:rPr>
              <w:drawing>
                <wp:inline distT="0" distB="0" distL="0" distR="0" wp14:anchorId="1F5A5DF1" wp14:editId="68D2BA3E">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31DC51D"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C962D26" w14:textId="77777777" w:rsidR="009E6CB7" w:rsidRDefault="00B45F99" w:rsidP="00B45F99">
            <w:pPr>
              <w:spacing w:before="240" w:line="240" w:lineRule="exact"/>
            </w:pPr>
            <w:r>
              <w:t>Distr.: General</w:t>
            </w:r>
          </w:p>
          <w:p w14:paraId="51C289D1" w14:textId="290C2777" w:rsidR="00B45F99" w:rsidRDefault="00B45F99" w:rsidP="00B45F99">
            <w:pPr>
              <w:spacing w:line="240" w:lineRule="exact"/>
            </w:pPr>
            <w:r>
              <w:t>2</w:t>
            </w:r>
            <w:r w:rsidR="008B686F">
              <w:t>9</w:t>
            </w:r>
            <w:r>
              <w:t xml:space="preserve"> December 2023</w:t>
            </w:r>
          </w:p>
          <w:p w14:paraId="10971F96" w14:textId="77777777" w:rsidR="00B45F99" w:rsidRDefault="00B45F99" w:rsidP="00B45F99">
            <w:pPr>
              <w:spacing w:line="240" w:lineRule="exact"/>
            </w:pPr>
          </w:p>
          <w:p w14:paraId="481FB969" w14:textId="10A36DAD" w:rsidR="00B45F99" w:rsidRDefault="00B45F99" w:rsidP="00B45F99">
            <w:pPr>
              <w:spacing w:line="240" w:lineRule="exact"/>
            </w:pPr>
            <w:r>
              <w:t>Original: English</w:t>
            </w:r>
          </w:p>
        </w:tc>
      </w:tr>
    </w:tbl>
    <w:p w14:paraId="1F972C40" w14:textId="77777777" w:rsidR="00B45F99" w:rsidRDefault="00B45F99" w:rsidP="00C411EB">
      <w:pPr>
        <w:spacing w:before="120"/>
        <w:rPr>
          <w:b/>
          <w:sz w:val="28"/>
          <w:szCs w:val="28"/>
        </w:rPr>
      </w:pPr>
      <w:r>
        <w:rPr>
          <w:b/>
          <w:sz w:val="28"/>
          <w:szCs w:val="28"/>
        </w:rPr>
        <w:t>Economic Commission for Europe</w:t>
      </w:r>
    </w:p>
    <w:p w14:paraId="058968AC" w14:textId="77777777" w:rsidR="00B45F99" w:rsidRDefault="00B45F99" w:rsidP="00C411EB">
      <w:pPr>
        <w:spacing w:before="120"/>
        <w:rPr>
          <w:sz w:val="28"/>
          <w:szCs w:val="28"/>
        </w:rPr>
      </w:pPr>
      <w:r>
        <w:rPr>
          <w:sz w:val="28"/>
          <w:szCs w:val="28"/>
        </w:rPr>
        <w:t>Inland Transport Committee</w:t>
      </w:r>
    </w:p>
    <w:p w14:paraId="038144A9" w14:textId="77777777" w:rsidR="00B45F99" w:rsidRPr="001330DE" w:rsidRDefault="00B45F99" w:rsidP="00C411EB">
      <w:pPr>
        <w:spacing w:before="120"/>
        <w:rPr>
          <w:b/>
          <w:sz w:val="24"/>
          <w:szCs w:val="24"/>
        </w:rPr>
      </w:pPr>
      <w:r>
        <w:rPr>
          <w:b/>
          <w:sz w:val="24"/>
          <w:szCs w:val="24"/>
        </w:rPr>
        <w:t xml:space="preserve">Working Party on the Transport </w:t>
      </w:r>
      <w:r w:rsidRPr="001330DE">
        <w:rPr>
          <w:b/>
          <w:sz w:val="24"/>
          <w:szCs w:val="24"/>
        </w:rPr>
        <w:t>of Dangerous Goods</w:t>
      </w:r>
    </w:p>
    <w:p w14:paraId="373FD279" w14:textId="77777777" w:rsidR="00B45F99" w:rsidRPr="008F31D2" w:rsidRDefault="00B45F99" w:rsidP="00B45F99">
      <w:pPr>
        <w:spacing w:before="120"/>
        <w:rPr>
          <w:b/>
        </w:rPr>
      </w:pPr>
      <w:r w:rsidRPr="008F31D2">
        <w:rPr>
          <w:b/>
        </w:rPr>
        <w:t>Joint Meeting of the RID Committee of Experts and the</w:t>
      </w:r>
      <w:r w:rsidRPr="008F31D2">
        <w:rPr>
          <w:b/>
        </w:rPr>
        <w:br/>
        <w:t>Working Party on the Transport of Dangerous Goods</w:t>
      </w:r>
    </w:p>
    <w:p w14:paraId="267A3E3B" w14:textId="77777777" w:rsidR="00B45F99" w:rsidRDefault="00B45F99" w:rsidP="00B45F99">
      <w:r w:rsidRPr="004328B1">
        <w:rPr>
          <w:lang w:val="en-US"/>
        </w:rPr>
        <w:t xml:space="preserve">Bern, </w:t>
      </w:r>
      <w:r>
        <w:rPr>
          <w:lang w:val="en-US"/>
        </w:rPr>
        <w:t>25-28 March 2024</w:t>
      </w:r>
    </w:p>
    <w:p w14:paraId="3FB8FCB4" w14:textId="07E8C0F7" w:rsidR="00B45F99" w:rsidRPr="00C521A6" w:rsidRDefault="00B45F99" w:rsidP="00C411EB">
      <w:pPr>
        <w:autoSpaceDE w:val="0"/>
        <w:autoSpaceDN w:val="0"/>
        <w:adjustRightInd w:val="0"/>
      </w:pPr>
      <w:r>
        <w:t>Item 5 (a) of the provisional agenda</w:t>
      </w:r>
    </w:p>
    <w:p w14:paraId="656D579A" w14:textId="5962F540" w:rsidR="001C6663" w:rsidRDefault="00B45F99" w:rsidP="00C411EB">
      <w:pPr>
        <w:rPr>
          <w:b/>
          <w:bCs/>
        </w:rPr>
      </w:pPr>
      <w:r w:rsidRPr="00B45F99">
        <w:rPr>
          <w:b/>
          <w:bCs/>
        </w:rPr>
        <w:t>Proposals for amendments to RID/ADR/ADN</w:t>
      </w:r>
      <w:r>
        <w:rPr>
          <w:b/>
          <w:bCs/>
        </w:rPr>
        <w:t>:</w:t>
      </w:r>
      <w:r>
        <w:rPr>
          <w:b/>
          <w:bCs/>
        </w:rPr>
        <w:br/>
        <w:t>pending issues</w:t>
      </w:r>
    </w:p>
    <w:p w14:paraId="7D9A2849" w14:textId="4935A31A" w:rsidR="00D43047" w:rsidRPr="004E1EC6" w:rsidRDefault="00D43047" w:rsidP="00D43047">
      <w:pPr>
        <w:pStyle w:val="HChG"/>
        <w:ind w:right="999"/>
      </w:pPr>
      <w:r w:rsidRPr="004E1EC6">
        <w:rPr>
          <w:rFonts w:eastAsia="MS Mincho"/>
        </w:rPr>
        <w:tab/>
      </w:r>
      <w:r w:rsidRPr="004E1EC6">
        <w:rPr>
          <w:rFonts w:eastAsia="MS Mincho"/>
        </w:rPr>
        <w:tab/>
        <w:t xml:space="preserve">Harmonization of RID/ADR/ADN with the </w:t>
      </w:r>
      <w:r>
        <w:rPr>
          <w:rFonts w:eastAsia="MS Mincho"/>
        </w:rPr>
        <w:t xml:space="preserve">United Nations </w:t>
      </w:r>
      <w:r w:rsidRPr="004E1EC6">
        <w:rPr>
          <w:rFonts w:eastAsia="MS Mincho"/>
        </w:rPr>
        <w:t>Recommendations on the Transport of Dangerous Goods</w:t>
      </w:r>
    </w:p>
    <w:p w14:paraId="1E086159" w14:textId="2162D0E9" w:rsidR="00D43047" w:rsidRPr="004E1EC6" w:rsidRDefault="00D43047" w:rsidP="00D43047">
      <w:pPr>
        <w:pStyle w:val="H1G"/>
        <w:spacing w:before="240" w:after="120"/>
      </w:pPr>
      <w:r w:rsidRPr="004E1EC6">
        <w:tab/>
      </w:r>
      <w:r w:rsidRPr="004E1EC6">
        <w:tab/>
        <w:t>Note by the secretariat</w:t>
      </w:r>
      <w:r w:rsidR="00AC2B3D" w:rsidRPr="00E82BD0">
        <w:rPr>
          <w:rStyle w:val="FootnoteReference"/>
        </w:rPr>
        <w:footnoteReference w:customMarkFollows="1" w:id="2"/>
        <w:t xml:space="preserve">*, </w:t>
      </w:r>
      <w:r w:rsidR="00AC2B3D" w:rsidRPr="00E82BD0">
        <w:rPr>
          <w:rStyle w:val="FootnoteReference"/>
        </w:rPr>
        <w:footnoteReference w:customMarkFollows="1" w:id="3"/>
        <w:t>**</w:t>
      </w:r>
    </w:p>
    <w:p w14:paraId="428B4B4E" w14:textId="77777777" w:rsidR="00D43047" w:rsidRPr="004E1EC6" w:rsidRDefault="00D43047" w:rsidP="00D43047">
      <w:pPr>
        <w:pStyle w:val="HChG"/>
      </w:pPr>
      <w:r w:rsidRPr="004E1EC6">
        <w:tab/>
        <w:t>I.</w:t>
      </w:r>
      <w:r w:rsidRPr="004E1EC6">
        <w:tab/>
        <w:t>Introduction</w:t>
      </w:r>
    </w:p>
    <w:p w14:paraId="24D20116" w14:textId="34836722" w:rsidR="003D1128" w:rsidRPr="003D1128" w:rsidRDefault="008257EA" w:rsidP="00AC2B3D">
      <w:pPr>
        <w:pStyle w:val="SingleTxtG"/>
        <w:rPr>
          <w:rFonts w:eastAsia="DengXian"/>
          <w:lang w:eastAsia="zh-CN"/>
        </w:rPr>
      </w:pPr>
      <w:r>
        <w:rPr>
          <w:rFonts w:eastAsia="DengXian"/>
          <w:lang w:eastAsia="zh-CN"/>
        </w:rPr>
        <w:t>1.</w:t>
      </w:r>
      <w:r>
        <w:rPr>
          <w:rFonts w:eastAsia="DengXian"/>
          <w:lang w:eastAsia="zh-CN"/>
        </w:rPr>
        <w:tab/>
      </w:r>
      <w:r w:rsidR="003D1128" w:rsidRPr="003D1128">
        <w:rPr>
          <w:rFonts w:eastAsia="DengXian"/>
          <w:lang w:eastAsia="zh-CN"/>
        </w:rPr>
        <w:t xml:space="preserve">During the preparation of proposals to transpose the amendments to the </w:t>
      </w:r>
      <w:r w:rsidR="007D5F6F">
        <w:rPr>
          <w:rFonts w:eastAsia="DengXian"/>
          <w:lang w:eastAsia="zh-CN"/>
        </w:rPr>
        <w:t>twenty-second</w:t>
      </w:r>
      <w:r w:rsidR="003D1128" w:rsidRPr="003D1128">
        <w:rPr>
          <w:rFonts w:eastAsia="DengXian"/>
          <w:lang w:eastAsia="zh-CN"/>
        </w:rPr>
        <w:t xml:space="preserve"> revised edition of the Model Regulations into RID/ADR/ADN, the Ad hoc Working Group on the Harmonization of RID/ADR/ADN with the United Nations Recommendations on the Transport of Dangerous Goods identified potential consequential amendments that might be needed in the Model Regulations and in RID/ADR/ADN.</w:t>
      </w:r>
    </w:p>
    <w:p w14:paraId="27807BF1" w14:textId="07486E52" w:rsidR="003D1128" w:rsidRPr="003D1128" w:rsidRDefault="008257EA" w:rsidP="00AC2B3D">
      <w:pPr>
        <w:pStyle w:val="SingleTxtG"/>
      </w:pPr>
      <w:r>
        <w:t>2.</w:t>
      </w:r>
      <w:r>
        <w:tab/>
      </w:r>
      <w:r w:rsidR="003D1128" w:rsidRPr="003D1128">
        <w:t xml:space="preserve">These amendments were discussed during the sixty-second session of the Sub-Committee </w:t>
      </w:r>
      <w:r w:rsidR="00F30B13">
        <w:t>of Experts on the Transport of Dangerous Goods (</w:t>
      </w:r>
      <w:r w:rsidR="00153D8A">
        <w:t xml:space="preserve">hereafter referred to as the </w:t>
      </w:r>
      <w:r w:rsidR="00F30B13">
        <w:t xml:space="preserve">Sub-Committee) </w:t>
      </w:r>
      <w:r w:rsidR="003D1128" w:rsidRPr="003D1128">
        <w:t>based on informal document INF.13. Most of them were considered editorial and were adopted. They are already reflected in the draft amendments to RID, ADR and ADN for entry into force on 1 January 2025 adopted by the Joint Meeting (see ECE/TRANS/WP.15/AC.1/170, part VI and Annex II).</w:t>
      </w:r>
    </w:p>
    <w:p w14:paraId="071F82F4" w14:textId="2A3DCA3F" w:rsidR="003D1128" w:rsidRPr="003D1128" w:rsidRDefault="008257EA" w:rsidP="00AC2B3D">
      <w:pPr>
        <w:pStyle w:val="SingleTxtG"/>
      </w:pPr>
      <w:r>
        <w:t>3.</w:t>
      </w:r>
      <w:r>
        <w:tab/>
      </w:r>
      <w:r w:rsidR="00A06B40">
        <w:t>T</w:t>
      </w:r>
      <w:r w:rsidR="003D1128" w:rsidRPr="003D1128">
        <w:t>he Sub-Committee considered that the proposed amendments to 2.0.5.2 (2.1.5.2 in RID/ADR/ADN), P006 and LP03 were not editorial since they consisted in the application of existing provisions for articles containing lithium batteries to articles containing sodium ion batteries. It was recalled that the initial intention was to apply the same provisions for lithium batteries and sodium ion batteries.</w:t>
      </w:r>
      <w:r w:rsidR="00A06B40">
        <w:t xml:space="preserve"> </w:t>
      </w:r>
      <w:r w:rsidR="00EA1EF2">
        <w:t xml:space="preserve">The </w:t>
      </w:r>
      <w:r w:rsidR="00EA1EF2" w:rsidRPr="003D1128">
        <w:t>Sub-Committee</w:t>
      </w:r>
      <w:r w:rsidR="00EA1EF2">
        <w:t xml:space="preserve"> agreed to review </w:t>
      </w:r>
      <w:r w:rsidR="00392946">
        <w:t>these proposed amendments</w:t>
      </w:r>
      <w:r w:rsidR="00EA1EF2">
        <w:t xml:space="preserve"> at its </w:t>
      </w:r>
      <w:r w:rsidR="00EA1EF2" w:rsidRPr="003D1128">
        <w:t>sixty-third session (27 November-6 December 2023)</w:t>
      </w:r>
      <w:r w:rsidR="00EA1EF2">
        <w:t xml:space="preserve"> based on an official document.</w:t>
      </w:r>
    </w:p>
    <w:p w14:paraId="24085F1C" w14:textId="72A2AD3A" w:rsidR="003D1128" w:rsidRDefault="008257EA" w:rsidP="001E132A">
      <w:pPr>
        <w:pStyle w:val="SingleTxtG"/>
      </w:pPr>
      <w:r>
        <w:t>4.</w:t>
      </w:r>
      <w:r>
        <w:tab/>
      </w:r>
      <w:r w:rsidR="003D1128" w:rsidRPr="003D1128">
        <w:t xml:space="preserve">At its sixty-third session, the Sub-Committee considered </w:t>
      </w:r>
      <w:r w:rsidR="007D5F6F" w:rsidRPr="003D1128">
        <w:t xml:space="preserve">secretariat </w:t>
      </w:r>
      <w:r w:rsidR="003D1128" w:rsidRPr="003D1128">
        <w:t xml:space="preserve">document ST/SG/AC.10/C.3/2023/57 </w:t>
      </w:r>
      <w:r w:rsidR="00EA1EF2">
        <w:t>on this subject</w:t>
      </w:r>
      <w:r w:rsidR="003D1128" w:rsidRPr="003D1128">
        <w:t xml:space="preserve">. The Sub-Committee confirmed that the provisions of 2.0.5.2, P006 and LP03 for articles containing lithium batteries also applied to </w:t>
      </w:r>
      <w:r w:rsidR="003D1128" w:rsidRPr="003D1128">
        <w:lastRenderedPageBreak/>
        <w:t xml:space="preserve">articles containing sodium ion batteries and adopted the </w:t>
      </w:r>
      <w:r w:rsidR="007D5F6F">
        <w:t xml:space="preserve">corresponding </w:t>
      </w:r>
      <w:r w:rsidR="003D1128" w:rsidRPr="003D1128">
        <w:t>amendments</w:t>
      </w:r>
      <w:r w:rsidR="007D5F6F">
        <w:t xml:space="preserve"> to the </w:t>
      </w:r>
      <w:r w:rsidR="007D5F6F">
        <w:rPr>
          <w:rFonts w:eastAsia="DengXian"/>
          <w:lang w:eastAsia="zh-CN"/>
        </w:rPr>
        <w:t>twenty-third</w:t>
      </w:r>
      <w:r w:rsidR="007D5F6F" w:rsidRPr="003D1128">
        <w:rPr>
          <w:rFonts w:eastAsia="DengXian"/>
          <w:lang w:eastAsia="zh-CN"/>
        </w:rPr>
        <w:t xml:space="preserve"> revised edition of the Model Regulations</w:t>
      </w:r>
      <w:r w:rsidR="003D1128" w:rsidRPr="003D1128">
        <w:t xml:space="preserve"> (see ST/SG/AC.10/C.3/126 and Add.1). These amendments are related to the new texts on sodium ion batteries adopted by the Joint Meeting for entry into force on 1 January 2025</w:t>
      </w:r>
      <w:r w:rsidR="006C28D2">
        <w:t xml:space="preserve"> and </w:t>
      </w:r>
      <w:r w:rsidR="00075C8B">
        <w:t>are</w:t>
      </w:r>
      <w:r w:rsidR="006C28D2" w:rsidRPr="003D1128">
        <w:t xml:space="preserve"> necessary for consistency of the adopted texts</w:t>
      </w:r>
      <w:r w:rsidR="003D1128" w:rsidRPr="003D1128">
        <w:t xml:space="preserve">. Therefore, the Joint Meeting may also wish to adopt them also for entry into force on 1 January 2025 without waiting the cycle of harmonisation with the </w:t>
      </w:r>
      <w:r w:rsidR="00FF4E64">
        <w:t>t</w:t>
      </w:r>
      <w:r w:rsidR="00FF4E64" w:rsidRPr="00FF4E64">
        <w:t>wenty-</w:t>
      </w:r>
      <w:r w:rsidR="00FF4E64">
        <w:t>fourth</w:t>
      </w:r>
      <w:r w:rsidR="003D1128" w:rsidRPr="003D1128">
        <w:t xml:space="preserve"> revised edition of the Model Regulations. </w:t>
      </w:r>
    </w:p>
    <w:p w14:paraId="2B8D594B" w14:textId="5A6DDBB8" w:rsidR="0047210C" w:rsidRPr="003D1128" w:rsidRDefault="001E132A" w:rsidP="0047210C">
      <w:pPr>
        <w:pStyle w:val="SingleTxtG"/>
      </w:pPr>
      <w:r>
        <w:t>5</w:t>
      </w:r>
      <w:r w:rsidR="00724A4A">
        <w:t>.</w:t>
      </w:r>
      <w:r w:rsidR="00724A4A">
        <w:tab/>
      </w:r>
      <w:r w:rsidR="0047210C">
        <w:t xml:space="preserve">The </w:t>
      </w:r>
      <w:r w:rsidR="0047210C" w:rsidRPr="003D1128">
        <w:t>Sub-Committee also adopted the proposal</w:t>
      </w:r>
      <w:r w:rsidR="008E06F1">
        <w:t>s</w:t>
      </w:r>
      <w:r w:rsidR="0047210C" w:rsidRPr="003D1128">
        <w:t xml:space="preserve"> by the secretariat to simplify the name of the lithium or sodium battery mark in </w:t>
      </w:r>
      <w:r w:rsidR="001B799B">
        <w:t xml:space="preserve">Chapter </w:t>
      </w:r>
      <w:r w:rsidR="0047210C" w:rsidRPr="003D1128">
        <w:t>5.2 to read “battery mark”.</w:t>
      </w:r>
      <w:r w:rsidR="0047210C">
        <w:t xml:space="preserve"> </w:t>
      </w:r>
      <w:r w:rsidR="008E06F1">
        <w:t>These amendments are presented separately</w:t>
      </w:r>
      <w:r w:rsidR="00CE1882">
        <w:t xml:space="preserve"> since they are not </w:t>
      </w:r>
      <w:r w:rsidR="00AB3A5B">
        <w:t xml:space="preserve">necessary to ensure consistency of the texts adopted for </w:t>
      </w:r>
      <w:r w:rsidR="00AB3A5B" w:rsidRPr="003D1128">
        <w:t>entry into force on 1 January 202</w:t>
      </w:r>
      <w:r w:rsidR="00AB3A5B">
        <w:t>7</w:t>
      </w:r>
      <w:r w:rsidR="00F36A2F">
        <w:t>. T</w:t>
      </w:r>
      <w:r w:rsidR="006C28D2">
        <w:t xml:space="preserve">he Joint Meeting </w:t>
      </w:r>
      <w:r w:rsidR="00AB3A5B">
        <w:t>might</w:t>
      </w:r>
      <w:r w:rsidR="006C28D2">
        <w:t xml:space="preserve"> </w:t>
      </w:r>
      <w:r w:rsidR="008E06F1">
        <w:t xml:space="preserve">decide </w:t>
      </w:r>
      <w:r w:rsidR="00F36A2F">
        <w:t xml:space="preserve">to defer their adoption for </w:t>
      </w:r>
      <w:r w:rsidR="00F36A2F" w:rsidRPr="003D1128">
        <w:t>entry into force on 1 January 202</w:t>
      </w:r>
      <w:r w:rsidR="00F36A2F">
        <w:t>7</w:t>
      </w:r>
      <w:r w:rsidR="00AB3A5B">
        <w:t xml:space="preserve"> </w:t>
      </w:r>
      <w:r w:rsidR="008257EA">
        <w:t xml:space="preserve">in accordance with </w:t>
      </w:r>
      <w:r w:rsidR="008257EA" w:rsidRPr="003D1128">
        <w:t xml:space="preserve">the cycle of harmonisation with the </w:t>
      </w:r>
      <w:r w:rsidR="00FF4E64">
        <w:t>t</w:t>
      </w:r>
      <w:r w:rsidR="00FF4E64" w:rsidRPr="00FF4E64">
        <w:t>wenty-</w:t>
      </w:r>
      <w:r w:rsidR="00FF4E64">
        <w:t>fourth</w:t>
      </w:r>
      <w:r w:rsidR="008257EA" w:rsidRPr="003D1128">
        <w:t xml:space="preserve"> revised edition of the Model Regulations</w:t>
      </w:r>
      <w:r w:rsidR="00F36A2F">
        <w:t>.</w:t>
      </w:r>
    </w:p>
    <w:p w14:paraId="70356BA4" w14:textId="13ACE821" w:rsidR="003D1128" w:rsidRPr="003D1128" w:rsidRDefault="00AC2B3D" w:rsidP="00AC2B3D">
      <w:pPr>
        <w:pStyle w:val="HChG"/>
      </w:pPr>
      <w:r>
        <w:tab/>
        <w:t>II.</w:t>
      </w:r>
      <w:r>
        <w:tab/>
      </w:r>
      <w:r w:rsidR="003D1128" w:rsidRPr="003D1128">
        <w:t>Proposals of amendments to 2.1.5.2, P006 and LP03</w:t>
      </w:r>
    </w:p>
    <w:p w14:paraId="4C6F74CE" w14:textId="3E8BF851" w:rsidR="003D1128" w:rsidRPr="003D1128" w:rsidRDefault="001E132A" w:rsidP="00AC2B3D">
      <w:pPr>
        <w:pStyle w:val="SingleTxtG"/>
      </w:pPr>
      <w:r>
        <w:t>6</w:t>
      </w:r>
      <w:r w:rsidR="00724A4A">
        <w:t>.</w:t>
      </w:r>
      <w:r w:rsidR="00724A4A">
        <w:tab/>
      </w:r>
      <w:r w:rsidR="003D1128" w:rsidRPr="003D1128">
        <w:t xml:space="preserve">Amend 2.1.5.2 as adopted by the Joint Meeting at its Autumn 2023 session (see ECE/TRANS/WP.15/AC.1/170, part VI and Annex II) to read as follows (new text in bold): </w:t>
      </w:r>
    </w:p>
    <w:p w14:paraId="6AE0D0FC" w14:textId="77777777" w:rsidR="003D1128" w:rsidRPr="003D1128" w:rsidRDefault="003D1128" w:rsidP="003D1128">
      <w:pPr>
        <w:kinsoku w:val="0"/>
        <w:overflowPunct w:val="0"/>
        <w:autoSpaceDE w:val="0"/>
        <w:autoSpaceDN w:val="0"/>
        <w:adjustRightInd w:val="0"/>
        <w:snapToGrid w:val="0"/>
        <w:spacing w:after="120"/>
        <w:ind w:left="2268" w:right="1134" w:hanging="1134"/>
        <w:jc w:val="both"/>
        <w:rPr>
          <w:rFonts w:eastAsia="SimSun"/>
          <w:lang w:eastAsia="zh-CN"/>
        </w:rPr>
      </w:pPr>
      <w:r w:rsidRPr="003D1128">
        <w:rPr>
          <w:rFonts w:eastAsia="SimSun"/>
          <w:lang w:eastAsia="zh-CN"/>
        </w:rPr>
        <w:t>“2.1.5.2</w:t>
      </w:r>
      <w:r w:rsidRPr="003D1128">
        <w:rPr>
          <w:rFonts w:eastAsia="SimSun"/>
          <w:lang w:eastAsia="zh-CN"/>
        </w:rPr>
        <w:tab/>
        <w:t xml:space="preserve">Such articles may in addition contain cells or batteries. Lithium </w:t>
      </w:r>
      <w:r w:rsidRPr="003D1128">
        <w:rPr>
          <w:rFonts w:eastAsia="SimSun"/>
          <w:b/>
          <w:bCs/>
          <w:lang w:eastAsia="zh-CN"/>
        </w:rPr>
        <w:t>metal, lithium ion and sodium ion</w:t>
      </w:r>
      <w:r w:rsidRPr="003D1128">
        <w:rPr>
          <w:rFonts w:eastAsia="SimSun"/>
          <w:lang w:eastAsia="zh-CN"/>
        </w:rPr>
        <w:t xml:space="preserve"> cells and batteries that are integral to the article shall be of a type proven to meet the testing requirements of the Manual of Tests and Criteria, Part III, sub-section 38.3. For articles containing pre-production prototype lithium </w:t>
      </w:r>
      <w:r w:rsidRPr="003D1128">
        <w:rPr>
          <w:rFonts w:eastAsia="SimSun"/>
          <w:b/>
          <w:bCs/>
          <w:lang w:eastAsia="zh-CN"/>
        </w:rPr>
        <w:t>metal, lithium ion or sodium ion</w:t>
      </w:r>
      <w:r w:rsidRPr="003D1128">
        <w:rPr>
          <w:rFonts w:eastAsia="SimSun"/>
          <w:lang w:eastAsia="zh-CN"/>
        </w:rPr>
        <w:t xml:space="preserve"> cells or batteries carried for testing, or for articles containing lithium </w:t>
      </w:r>
      <w:r w:rsidRPr="003D1128">
        <w:rPr>
          <w:rFonts w:eastAsia="SimSun"/>
          <w:b/>
          <w:bCs/>
          <w:lang w:eastAsia="zh-CN"/>
        </w:rPr>
        <w:t xml:space="preserve">metal, lithium ion or sodium ion </w:t>
      </w:r>
      <w:r w:rsidRPr="003D1128">
        <w:rPr>
          <w:rFonts w:eastAsia="SimSun"/>
          <w:lang w:eastAsia="zh-CN"/>
        </w:rPr>
        <w:t>cells or batteries manufactured in production runs of not more than 100 cells or batteries, the requirements of special provision 310 of Chapter 3.3 shall apply.”</w:t>
      </w:r>
    </w:p>
    <w:p w14:paraId="4DBE3EB2" w14:textId="2465CFFA" w:rsidR="003D1128" w:rsidRPr="003D1128" w:rsidRDefault="001E132A" w:rsidP="00AC2B3D">
      <w:pPr>
        <w:pStyle w:val="SingleTxtG"/>
      </w:pPr>
      <w:r>
        <w:t>7</w:t>
      </w:r>
      <w:r w:rsidR="00724A4A">
        <w:t>.</w:t>
      </w:r>
      <w:r w:rsidR="00724A4A">
        <w:tab/>
      </w:r>
      <w:r w:rsidR="003D1128" w:rsidRPr="003D1128">
        <w:t xml:space="preserve">Amend the first paragraph of new (5) in 4.1.4.1, packing instruction P006, as adopted by the Joint Meeting at its Autumn 2023 session (see ECE/TRANS/WP.15/AC.1/170, part VI and Annex II) to read as follows (new text in bold): </w:t>
      </w:r>
    </w:p>
    <w:p w14:paraId="167802EA" w14:textId="77777777" w:rsidR="003D1128" w:rsidRPr="003D1128" w:rsidRDefault="003D1128" w:rsidP="003D1128">
      <w:pPr>
        <w:kinsoku w:val="0"/>
        <w:overflowPunct w:val="0"/>
        <w:autoSpaceDE w:val="0"/>
        <w:autoSpaceDN w:val="0"/>
        <w:adjustRightInd w:val="0"/>
        <w:snapToGrid w:val="0"/>
        <w:spacing w:after="120"/>
        <w:ind w:left="1701" w:right="1134" w:hanging="567"/>
        <w:jc w:val="both"/>
        <w:rPr>
          <w:rFonts w:eastAsia="SimSun"/>
          <w:lang w:eastAsia="zh-CN"/>
        </w:rPr>
      </w:pPr>
      <w:r w:rsidRPr="003D1128">
        <w:rPr>
          <w:rFonts w:eastAsia="SimSun"/>
          <w:lang w:eastAsia="zh-CN"/>
        </w:rPr>
        <w:t>“(5)</w:t>
      </w:r>
      <w:r w:rsidRPr="003D1128">
        <w:tab/>
      </w:r>
      <w:r w:rsidRPr="003D1128">
        <w:rPr>
          <w:rFonts w:eastAsia="SimSun"/>
          <w:lang w:eastAsia="zh-CN"/>
        </w:rPr>
        <w:t xml:space="preserve">Articles containing pre-production prototype lithium cells or batteries </w:t>
      </w:r>
      <w:r w:rsidRPr="003D1128">
        <w:rPr>
          <w:rFonts w:eastAsia="SimSun"/>
          <w:b/>
          <w:bCs/>
          <w:lang w:eastAsia="zh-CN"/>
        </w:rPr>
        <w:t>or sodium ion cells or batteries</w:t>
      </w:r>
      <w:r w:rsidRPr="003D1128">
        <w:rPr>
          <w:rFonts w:eastAsia="SimSun"/>
          <w:lang w:eastAsia="zh-CN"/>
        </w:rPr>
        <w:t xml:space="preserve"> when these prototypes are carried for testing or production runs of not more than 100 lithium cells or batteries </w:t>
      </w:r>
      <w:r w:rsidRPr="003D1128">
        <w:rPr>
          <w:rFonts w:eastAsia="SimSun"/>
          <w:b/>
          <w:bCs/>
          <w:lang w:eastAsia="zh-CN"/>
        </w:rPr>
        <w:t>or sodium ion cells or batteries</w:t>
      </w:r>
      <w:r w:rsidRPr="003D1128">
        <w:rPr>
          <w:rFonts w:eastAsia="SimSun"/>
          <w:lang w:eastAsia="zh-CN"/>
        </w:rPr>
        <w:t xml:space="preserve"> that are of a type that </w:t>
      </w:r>
      <w:r w:rsidRPr="003D1128">
        <w:rPr>
          <w:rFonts w:eastAsia="SimSun"/>
          <w:b/>
          <w:bCs/>
          <w:lang w:eastAsia="zh-CN"/>
        </w:rPr>
        <w:t>has</w:t>
      </w:r>
      <w:r w:rsidRPr="003D1128">
        <w:rPr>
          <w:rFonts w:eastAsia="SimSun"/>
          <w:lang w:eastAsia="zh-CN"/>
        </w:rPr>
        <w:t xml:space="preserve"> not met the testing requirements of the Manual of Tests and Criteria, Part III, sub-section 38.3 shall in addition meet the following:”</w:t>
      </w:r>
    </w:p>
    <w:p w14:paraId="15149317" w14:textId="2257C458" w:rsidR="003D1128" w:rsidRPr="003D1128" w:rsidRDefault="001E132A" w:rsidP="00AC2B3D">
      <w:pPr>
        <w:pStyle w:val="SingleTxtG"/>
      </w:pPr>
      <w:r>
        <w:t>8</w:t>
      </w:r>
      <w:r w:rsidR="00724A4A">
        <w:t>.</w:t>
      </w:r>
      <w:r w:rsidR="00724A4A">
        <w:tab/>
      </w:r>
      <w:r w:rsidR="003D1128" w:rsidRPr="003D1128">
        <w:t xml:space="preserve">Amend the first paragraph of new (4) in 4.1.4.3, packing instruction LP03, as adopted by the Joint Meeting at its Autumn 2023 session (see ECE/TRANS/WP.15/AC.1/170, part VI and Annex II) to read as follows (new text in bold): </w:t>
      </w:r>
    </w:p>
    <w:p w14:paraId="515BA927" w14:textId="77777777" w:rsidR="003D1128" w:rsidRPr="003D1128" w:rsidRDefault="003D1128" w:rsidP="003D1128">
      <w:pPr>
        <w:kinsoku w:val="0"/>
        <w:overflowPunct w:val="0"/>
        <w:autoSpaceDE w:val="0"/>
        <w:autoSpaceDN w:val="0"/>
        <w:adjustRightInd w:val="0"/>
        <w:snapToGrid w:val="0"/>
        <w:spacing w:after="120"/>
        <w:ind w:left="1701" w:right="1134" w:hanging="567"/>
        <w:jc w:val="both"/>
        <w:rPr>
          <w:rFonts w:eastAsia="SimSun"/>
          <w:lang w:eastAsia="zh-CN"/>
        </w:rPr>
      </w:pPr>
      <w:r w:rsidRPr="003D1128">
        <w:rPr>
          <w:rFonts w:eastAsia="SimSun"/>
          <w:lang w:eastAsia="zh-CN"/>
        </w:rPr>
        <w:t>“(4)</w:t>
      </w:r>
      <w:r w:rsidRPr="003D1128">
        <w:rPr>
          <w:rFonts w:eastAsia="SimSun"/>
          <w:lang w:eastAsia="zh-CN"/>
        </w:rPr>
        <w:tab/>
        <w:t xml:space="preserve">Articles containing pre-production prototype lithium </w:t>
      </w:r>
      <w:bookmarkStart w:id="0" w:name="_Hlk133414700"/>
      <w:r w:rsidRPr="003D1128">
        <w:rPr>
          <w:rFonts w:eastAsia="SimSun"/>
          <w:lang w:eastAsia="zh-CN"/>
        </w:rPr>
        <w:t>cells or batteries</w:t>
      </w:r>
      <w:bookmarkEnd w:id="0"/>
      <w:r w:rsidRPr="003D1128">
        <w:rPr>
          <w:rFonts w:eastAsia="SimSun"/>
          <w:lang w:eastAsia="zh-CN"/>
        </w:rPr>
        <w:t xml:space="preserve"> </w:t>
      </w:r>
      <w:r w:rsidRPr="003D1128">
        <w:rPr>
          <w:rFonts w:eastAsia="SimSun"/>
          <w:b/>
          <w:bCs/>
          <w:lang w:eastAsia="zh-CN"/>
        </w:rPr>
        <w:t>or sodium ion cells or batteries</w:t>
      </w:r>
      <w:r w:rsidRPr="003D1128">
        <w:rPr>
          <w:rFonts w:eastAsia="SimSun"/>
          <w:lang w:eastAsia="zh-CN"/>
        </w:rPr>
        <w:t xml:space="preserve"> when these prototypes are carried for testing or production runs of not more than 100 lithium cells or batteries </w:t>
      </w:r>
      <w:r w:rsidRPr="003D1128">
        <w:rPr>
          <w:rFonts w:eastAsia="SimSun"/>
          <w:b/>
          <w:bCs/>
          <w:lang w:eastAsia="zh-CN"/>
        </w:rPr>
        <w:t>or sodium ion cells or batteries</w:t>
      </w:r>
      <w:r w:rsidRPr="003D1128">
        <w:rPr>
          <w:rFonts w:eastAsia="SimSun"/>
          <w:lang w:eastAsia="zh-CN"/>
        </w:rPr>
        <w:t xml:space="preserve"> that are of a type that </w:t>
      </w:r>
      <w:r w:rsidRPr="003D1128">
        <w:rPr>
          <w:rFonts w:eastAsia="SimSun"/>
          <w:b/>
          <w:bCs/>
          <w:lang w:eastAsia="zh-CN"/>
        </w:rPr>
        <w:t>has</w:t>
      </w:r>
      <w:r w:rsidRPr="003D1128">
        <w:rPr>
          <w:rFonts w:eastAsia="SimSun"/>
          <w:lang w:eastAsia="zh-CN"/>
        </w:rPr>
        <w:t xml:space="preserve"> not met the testing requirements of the Manual of Tests and Criteria, Part III, sub-section 38.3 shall in addition meet the following:”</w:t>
      </w:r>
    </w:p>
    <w:p w14:paraId="4475282A" w14:textId="3139AFA5" w:rsidR="003D1128" w:rsidRPr="003D1128" w:rsidRDefault="00AC2B3D" w:rsidP="00AC2B3D">
      <w:pPr>
        <w:pStyle w:val="HChG"/>
      </w:pPr>
      <w:r>
        <w:tab/>
        <w:t>III.</w:t>
      </w:r>
      <w:r>
        <w:tab/>
      </w:r>
      <w:r w:rsidR="003D1128" w:rsidRPr="003D1128">
        <w:t xml:space="preserve">Additional proposal for </w:t>
      </w:r>
      <w:r>
        <w:t xml:space="preserve">changing </w:t>
      </w:r>
      <w:r w:rsidR="003D1128" w:rsidRPr="003D1128">
        <w:t>the name of the battery mark</w:t>
      </w:r>
    </w:p>
    <w:p w14:paraId="5D92BBC8" w14:textId="4ED088AA" w:rsidR="003D1128" w:rsidRPr="003D1128" w:rsidRDefault="001E132A" w:rsidP="00AC2B3D">
      <w:pPr>
        <w:pStyle w:val="SingleTxtG"/>
      </w:pPr>
      <w:r>
        <w:t>9</w:t>
      </w:r>
      <w:r w:rsidR="00724A4A">
        <w:t>.</w:t>
      </w:r>
      <w:r w:rsidR="00724A4A">
        <w:tab/>
      </w:r>
      <w:r w:rsidR="003D1128" w:rsidRPr="003D1128">
        <w:t>These amendments replace the amendments already adopted by the Joint Meeting to refer to “lithium battery or sodium ion battery mark” (see ECE/TRANS/WP.15/AC.1/170, part VI and Annex II)</w:t>
      </w:r>
      <w:r w:rsidR="00724A4A">
        <w:t>.</w:t>
      </w:r>
    </w:p>
    <w:p w14:paraId="613AD068" w14:textId="58D8DC1E" w:rsidR="003D1128" w:rsidRPr="003D1128" w:rsidRDefault="003D1128" w:rsidP="00AC2B3D">
      <w:pPr>
        <w:pStyle w:val="SingleTxtG"/>
        <w:rPr>
          <w:rFonts w:eastAsia="SimSun"/>
          <w:lang w:eastAsia="zh-CN"/>
        </w:rPr>
      </w:pPr>
      <w:r w:rsidRPr="003D1128">
        <w:rPr>
          <w:rFonts w:eastAsia="SimSun"/>
          <w:lang w:eastAsia="zh-CN"/>
        </w:rPr>
        <w:t>3.3.1, SP 188</w:t>
      </w:r>
      <w:r w:rsidRPr="003D1128">
        <w:rPr>
          <w:rFonts w:eastAsia="SimSun"/>
          <w:lang w:eastAsia="zh-CN"/>
        </w:rPr>
        <w:tab/>
        <w:t>In (f):</w:t>
      </w:r>
    </w:p>
    <w:p w14:paraId="2859FD13" w14:textId="77777777" w:rsidR="003D1128" w:rsidRPr="003D1128" w:rsidRDefault="003D1128" w:rsidP="003D1128">
      <w:pPr>
        <w:suppressAutoHyphens/>
        <w:kinsoku w:val="0"/>
        <w:overflowPunct w:val="0"/>
        <w:autoSpaceDE w:val="0"/>
        <w:autoSpaceDN w:val="0"/>
        <w:adjustRightInd w:val="0"/>
        <w:snapToGrid w:val="0"/>
        <w:spacing w:after="120"/>
        <w:ind w:left="2410" w:right="1134" w:hanging="1276"/>
        <w:jc w:val="both"/>
        <w:rPr>
          <w:rFonts w:eastAsia="SimSun"/>
          <w:lang w:eastAsia="zh-CN"/>
        </w:rPr>
      </w:pPr>
      <w:r w:rsidRPr="003D1128">
        <w:rPr>
          <w:rFonts w:eastAsia="SimSun"/>
          <w:lang w:eastAsia="zh-CN"/>
        </w:rPr>
        <w:tab/>
        <w:t>- In the first sentence, replace “lithium battery mark” by “battery mark”.</w:t>
      </w:r>
    </w:p>
    <w:p w14:paraId="1F4E8CD5" w14:textId="77777777" w:rsidR="003D1128" w:rsidRPr="003D1128" w:rsidRDefault="003D1128" w:rsidP="003D1128">
      <w:pPr>
        <w:suppressAutoHyphens/>
        <w:kinsoku w:val="0"/>
        <w:overflowPunct w:val="0"/>
        <w:autoSpaceDE w:val="0"/>
        <w:autoSpaceDN w:val="0"/>
        <w:adjustRightInd w:val="0"/>
        <w:snapToGrid w:val="0"/>
        <w:spacing w:after="120"/>
        <w:ind w:left="2410" w:right="1134" w:hanging="1276"/>
        <w:jc w:val="both"/>
        <w:rPr>
          <w:rFonts w:eastAsia="SimSun"/>
          <w:lang w:eastAsia="zh-CN"/>
        </w:rPr>
      </w:pPr>
      <w:r w:rsidRPr="003D1128">
        <w:rPr>
          <w:rFonts w:eastAsia="SimSun"/>
          <w:lang w:eastAsia="zh-CN"/>
        </w:rPr>
        <w:tab/>
        <w:t xml:space="preserve">- In the note, replace </w:t>
      </w:r>
      <w:r w:rsidRPr="003D1128">
        <w:rPr>
          <w:rFonts w:eastAsia="SimSun"/>
          <w:i/>
          <w:iCs/>
          <w:lang w:eastAsia="zh-CN"/>
        </w:rPr>
        <w:t>“(lithium battery mark)</w:t>
      </w:r>
      <w:r w:rsidRPr="003D1128">
        <w:rPr>
          <w:rFonts w:eastAsia="SimSun"/>
          <w:lang w:eastAsia="zh-CN"/>
        </w:rPr>
        <w:t>” by “</w:t>
      </w:r>
      <w:r w:rsidRPr="003D1128">
        <w:rPr>
          <w:rFonts w:eastAsia="SimSun"/>
          <w:i/>
          <w:iCs/>
          <w:lang w:eastAsia="zh-CN"/>
        </w:rPr>
        <w:t>(battery mark)</w:t>
      </w:r>
      <w:r w:rsidRPr="003D1128">
        <w:rPr>
          <w:rFonts w:eastAsia="SimSun"/>
          <w:lang w:eastAsia="zh-CN"/>
        </w:rPr>
        <w:t>”.</w:t>
      </w:r>
    </w:p>
    <w:p w14:paraId="237D936F" w14:textId="77777777" w:rsidR="003D1128" w:rsidRPr="003D1128" w:rsidRDefault="003D1128" w:rsidP="003D1128">
      <w:pPr>
        <w:suppressAutoHyphens/>
        <w:kinsoku w:val="0"/>
        <w:overflowPunct w:val="0"/>
        <w:autoSpaceDE w:val="0"/>
        <w:autoSpaceDN w:val="0"/>
        <w:adjustRightInd w:val="0"/>
        <w:snapToGrid w:val="0"/>
        <w:spacing w:after="120"/>
        <w:ind w:left="2410" w:right="1134" w:hanging="1276"/>
        <w:jc w:val="both"/>
        <w:rPr>
          <w:rFonts w:eastAsia="SimSun"/>
          <w:lang w:eastAsia="zh-CN"/>
        </w:rPr>
      </w:pPr>
      <w:r w:rsidRPr="003D1128">
        <w:rPr>
          <w:rFonts w:eastAsia="SimSun"/>
          <w:lang w:eastAsia="zh-CN"/>
        </w:rPr>
        <w:lastRenderedPageBreak/>
        <w:tab/>
        <w:t>- In the last paragraph, first sentence, replace “lithium battery mark” by “battery mark”.</w:t>
      </w:r>
    </w:p>
    <w:p w14:paraId="238DCAD0" w14:textId="77777777" w:rsidR="003D1128" w:rsidRPr="003D1128" w:rsidRDefault="003D1128" w:rsidP="003D1128">
      <w:pPr>
        <w:kinsoku w:val="0"/>
        <w:overflowPunct w:val="0"/>
        <w:autoSpaceDE w:val="0"/>
        <w:autoSpaceDN w:val="0"/>
        <w:adjustRightInd w:val="0"/>
        <w:snapToGrid w:val="0"/>
        <w:spacing w:after="120"/>
        <w:ind w:left="2268" w:right="1134" w:hanging="1134"/>
        <w:jc w:val="both"/>
        <w:rPr>
          <w:rFonts w:eastAsia="SimSun"/>
          <w:lang w:eastAsia="zh-CN"/>
        </w:rPr>
      </w:pPr>
      <w:r w:rsidRPr="003D1128">
        <w:rPr>
          <w:rFonts w:eastAsia="SimSun"/>
          <w:lang w:eastAsia="zh-CN"/>
        </w:rPr>
        <w:t>5.2.1.9</w:t>
      </w:r>
      <w:r w:rsidRPr="003D1128">
        <w:rPr>
          <w:rFonts w:eastAsia="SimSun"/>
          <w:lang w:eastAsia="zh-CN"/>
        </w:rPr>
        <w:tab/>
        <w:t>Amend the heading to read “</w:t>
      </w:r>
      <w:r w:rsidRPr="003D1128">
        <w:rPr>
          <w:rFonts w:eastAsia="SimSun"/>
          <w:b/>
          <w:bCs/>
          <w:i/>
          <w:iCs/>
          <w:lang w:eastAsia="zh-CN"/>
        </w:rPr>
        <w:t>Battery mark</w:t>
      </w:r>
      <w:r w:rsidRPr="003D1128">
        <w:rPr>
          <w:rFonts w:eastAsia="SimSun"/>
          <w:lang w:eastAsia="zh-CN"/>
        </w:rPr>
        <w:t>”.</w:t>
      </w:r>
    </w:p>
    <w:p w14:paraId="11AA5DF7" w14:textId="77777777" w:rsidR="003D1128" w:rsidRPr="003D1128" w:rsidRDefault="003D1128" w:rsidP="003D1128">
      <w:pPr>
        <w:kinsoku w:val="0"/>
        <w:overflowPunct w:val="0"/>
        <w:autoSpaceDE w:val="0"/>
        <w:autoSpaceDN w:val="0"/>
        <w:adjustRightInd w:val="0"/>
        <w:snapToGrid w:val="0"/>
        <w:spacing w:after="120"/>
        <w:ind w:left="2268" w:right="1134" w:hanging="1134"/>
        <w:jc w:val="both"/>
        <w:rPr>
          <w:rFonts w:eastAsia="SimSun"/>
          <w:lang w:eastAsia="zh-CN"/>
        </w:rPr>
      </w:pPr>
      <w:r w:rsidRPr="003D1128">
        <w:rPr>
          <w:rFonts w:eastAsia="SimSun"/>
          <w:lang w:eastAsia="zh-CN"/>
        </w:rPr>
        <w:t>5.2.1.9.1</w:t>
      </w:r>
      <w:r w:rsidRPr="003D1128">
        <w:rPr>
          <w:rFonts w:eastAsia="SimSun"/>
          <w:lang w:eastAsia="zh-CN"/>
        </w:rPr>
        <w:tab/>
        <w:t xml:space="preserve">After “lithium cells or batteries”, insert “or sodium ion cells or batteries”. </w:t>
      </w:r>
    </w:p>
    <w:p w14:paraId="4FE37C62" w14:textId="77777777" w:rsidR="003D1128" w:rsidRPr="003D1128" w:rsidRDefault="003D1128" w:rsidP="003D1128">
      <w:pPr>
        <w:kinsoku w:val="0"/>
        <w:overflowPunct w:val="0"/>
        <w:autoSpaceDE w:val="0"/>
        <w:autoSpaceDN w:val="0"/>
        <w:adjustRightInd w:val="0"/>
        <w:snapToGrid w:val="0"/>
        <w:spacing w:after="120"/>
        <w:ind w:left="2268" w:right="1134" w:hanging="1134"/>
        <w:jc w:val="both"/>
        <w:rPr>
          <w:rFonts w:eastAsia="SimSun"/>
          <w:i/>
          <w:iCs/>
          <w:lang w:eastAsia="zh-CN"/>
        </w:rPr>
      </w:pPr>
      <w:r w:rsidRPr="003D1128">
        <w:rPr>
          <w:rFonts w:eastAsia="SimSun"/>
          <w:i/>
          <w:iCs/>
          <w:lang w:eastAsia="zh-CN"/>
        </w:rPr>
        <w:t xml:space="preserve">(Reference document: ECE/TRANS/WP.15/AC.1/2023/23/Add.1 as amended in </w:t>
      </w:r>
      <w:r w:rsidRPr="003D1128">
        <w:rPr>
          <w:i/>
          <w:iCs/>
        </w:rPr>
        <w:t>ECE/TRANS/WP.15/AC.1/170, annex II</w:t>
      </w:r>
      <w:r w:rsidRPr="003D1128">
        <w:rPr>
          <w:rFonts w:eastAsia="SimSun"/>
          <w:i/>
          <w:iCs/>
          <w:lang w:eastAsia="zh-CN"/>
        </w:rPr>
        <w:t>)</w:t>
      </w:r>
    </w:p>
    <w:p w14:paraId="6527A985" w14:textId="77777777" w:rsidR="003D1128" w:rsidRPr="003D1128" w:rsidRDefault="003D1128" w:rsidP="003D1128">
      <w:pPr>
        <w:kinsoku w:val="0"/>
        <w:overflowPunct w:val="0"/>
        <w:autoSpaceDE w:val="0"/>
        <w:autoSpaceDN w:val="0"/>
        <w:adjustRightInd w:val="0"/>
        <w:snapToGrid w:val="0"/>
        <w:spacing w:after="120"/>
        <w:ind w:left="2268" w:right="1134" w:hanging="1134"/>
        <w:jc w:val="both"/>
        <w:rPr>
          <w:rFonts w:eastAsia="SimSun"/>
          <w:i/>
          <w:iCs/>
          <w:lang w:eastAsia="zh-CN"/>
        </w:rPr>
      </w:pPr>
      <w:r w:rsidRPr="003D1128">
        <w:rPr>
          <w:rFonts w:eastAsia="SimSun"/>
          <w:lang w:eastAsia="zh-CN"/>
        </w:rPr>
        <w:t>5.2.1.9.1</w:t>
      </w:r>
      <w:r w:rsidRPr="003D1128">
        <w:rPr>
          <w:rFonts w:eastAsia="SimSun"/>
          <w:i/>
          <w:iCs/>
          <w:lang w:eastAsia="zh-CN"/>
        </w:rPr>
        <w:tab/>
      </w:r>
      <w:r w:rsidRPr="003D1128">
        <w:rPr>
          <w:rFonts w:eastAsia="SimSun"/>
          <w:lang w:eastAsia="zh-CN"/>
        </w:rPr>
        <w:t>Replace “special provision 188” by “special provisions 188 or 400”.</w:t>
      </w:r>
    </w:p>
    <w:p w14:paraId="3D9F3F10" w14:textId="77777777" w:rsidR="003D1128" w:rsidRPr="003D1128" w:rsidRDefault="003D1128" w:rsidP="003D1128">
      <w:pPr>
        <w:kinsoku w:val="0"/>
        <w:overflowPunct w:val="0"/>
        <w:autoSpaceDE w:val="0"/>
        <w:autoSpaceDN w:val="0"/>
        <w:adjustRightInd w:val="0"/>
        <w:snapToGrid w:val="0"/>
        <w:spacing w:after="120"/>
        <w:ind w:left="2268" w:right="1134" w:hanging="1134"/>
        <w:jc w:val="both"/>
        <w:rPr>
          <w:rFonts w:eastAsia="SimSun"/>
          <w:i/>
          <w:iCs/>
          <w:lang w:eastAsia="zh-CN"/>
        </w:rPr>
      </w:pPr>
      <w:r w:rsidRPr="003D1128">
        <w:rPr>
          <w:rFonts w:eastAsia="SimSun"/>
          <w:i/>
          <w:iCs/>
          <w:lang w:eastAsia="zh-CN"/>
        </w:rPr>
        <w:t xml:space="preserve">(Reference document: </w:t>
      </w:r>
      <w:r w:rsidRPr="003D1128">
        <w:rPr>
          <w:i/>
          <w:iCs/>
        </w:rPr>
        <w:t>ECE/TRANS/WP.15/AC.1/170, annex II</w:t>
      </w:r>
      <w:r w:rsidRPr="003D1128">
        <w:rPr>
          <w:rFonts w:eastAsia="SimSun"/>
          <w:i/>
          <w:iCs/>
          <w:lang w:eastAsia="zh-CN"/>
        </w:rPr>
        <w:t>)</w:t>
      </w:r>
    </w:p>
    <w:p w14:paraId="21432A4C" w14:textId="77777777" w:rsidR="003D1128" w:rsidRPr="003D1128" w:rsidRDefault="003D1128" w:rsidP="003D1128">
      <w:pPr>
        <w:kinsoku w:val="0"/>
        <w:overflowPunct w:val="0"/>
        <w:autoSpaceDE w:val="0"/>
        <w:autoSpaceDN w:val="0"/>
        <w:adjustRightInd w:val="0"/>
        <w:snapToGrid w:val="0"/>
        <w:spacing w:after="120"/>
        <w:ind w:left="2268" w:right="1134" w:hanging="1134"/>
        <w:jc w:val="both"/>
        <w:rPr>
          <w:rFonts w:eastAsia="SimSun"/>
          <w:i/>
          <w:iCs/>
          <w:lang w:eastAsia="zh-CN"/>
        </w:rPr>
      </w:pPr>
      <w:r w:rsidRPr="003D1128">
        <w:rPr>
          <w:rFonts w:eastAsia="SimSun"/>
          <w:lang w:eastAsia="zh-CN"/>
        </w:rPr>
        <w:t>5.2.1.9.2</w:t>
      </w:r>
      <w:r w:rsidRPr="003D1128">
        <w:rPr>
          <w:rFonts w:eastAsia="SimSun"/>
          <w:lang w:eastAsia="zh-CN"/>
        </w:rPr>
        <w:tab/>
        <w:t>Amend the heading of figure 5.2.1.9.2 to read “</w:t>
      </w:r>
      <w:r w:rsidRPr="003D1128">
        <w:rPr>
          <w:rFonts w:eastAsia="SimSun"/>
          <w:b/>
          <w:bCs/>
          <w:lang w:eastAsia="zh-CN"/>
        </w:rPr>
        <w:t>Battery mark</w:t>
      </w:r>
      <w:r w:rsidRPr="003D1128">
        <w:rPr>
          <w:rFonts w:eastAsia="SimSun"/>
          <w:lang w:eastAsia="zh-CN"/>
        </w:rPr>
        <w:t>”.</w:t>
      </w:r>
    </w:p>
    <w:p w14:paraId="28BA6526" w14:textId="77777777" w:rsidR="003D1128" w:rsidRPr="003D1128" w:rsidRDefault="003D1128" w:rsidP="003D1128">
      <w:pPr>
        <w:kinsoku w:val="0"/>
        <w:overflowPunct w:val="0"/>
        <w:autoSpaceDE w:val="0"/>
        <w:autoSpaceDN w:val="0"/>
        <w:adjustRightInd w:val="0"/>
        <w:snapToGrid w:val="0"/>
        <w:spacing w:after="120"/>
        <w:ind w:left="2268" w:right="1134" w:hanging="1134"/>
        <w:jc w:val="both"/>
        <w:rPr>
          <w:rFonts w:eastAsia="SimSun"/>
          <w:lang w:eastAsia="zh-CN"/>
        </w:rPr>
      </w:pPr>
      <w:r w:rsidRPr="003D1128">
        <w:rPr>
          <w:rFonts w:eastAsia="SimSun"/>
          <w:lang w:eastAsia="zh-CN"/>
        </w:rPr>
        <w:t>5.2.2.1.12.1</w:t>
      </w:r>
      <w:r w:rsidRPr="003D1128">
        <w:rPr>
          <w:rFonts w:eastAsia="SimSun"/>
          <w:lang w:eastAsia="zh-CN"/>
        </w:rPr>
        <w:tab/>
        <w:t>Replace “lithium batteries” by “lithium batteries or sodium ion batteries”, and “lithium battery mark” by “battery mark”.</w:t>
      </w:r>
    </w:p>
    <w:p w14:paraId="44678665" w14:textId="12816123" w:rsidR="00B45F99" w:rsidRPr="00724A4A" w:rsidRDefault="00724A4A" w:rsidP="00724A4A">
      <w:pPr>
        <w:spacing w:before="240"/>
        <w:jc w:val="center"/>
        <w:rPr>
          <w:u w:val="single"/>
        </w:rPr>
      </w:pPr>
      <w:r>
        <w:rPr>
          <w:u w:val="single"/>
        </w:rPr>
        <w:tab/>
      </w:r>
      <w:r>
        <w:rPr>
          <w:u w:val="single"/>
        </w:rPr>
        <w:tab/>
      </w:r>
      <w:r>
        <w:rPr>
          <w:u w:val="single"/>
        </w:rPr>
        <w:tab/>
      </w:r>
    </w:p>
    <w:sectPr w:rsidR="00B45F99" w:rsidRPr="00724A4A" w:rsidSect="00B45F99">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F1473" w14:textId="77777777" w:rsidR="00D55AED" w:rsidRDefault="00D55AED"/>
  </w:endnote>
  <w:endnote w:type="continuationSeparator" w:id="0">
    <w:p w14:paraId="1B4DADCB" w14:textId="77777777" w:rsidR="00D55AED" w:rsidRDefault="00D55AED"/>
  </w:endnote>
  <w:endnote w:type="continuationNotice" w:id="1">
    <w:p w14:paraId="3D2927B5" w14:textId="77777777" w:rsidR="00D55AED" w:rsidRDefault="00D55A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C615F" w14:textId="3E45AC12" w:rsidR="00B45F99" w:rsidRPr="00B45F99" w:rsidRDefault="00B45F99" w:rsidP="00B45F99">
    <w:pPr>
      <w:pStyle w:val="Footer"/>
      <w:tabs>
        <w:tab w:val="right" w:pos="9638"/>
      </w:tabs>
      <w:rPr>
        <w:sz w:val="18"/>
      </w:rPr>
    </w:pPr>
    <w:r w:rsidRPr="00B45F99">
      <w:rPr>
        <w:b/>
        <w:sz w:val="18"/>
      </w:rPr>
      <w:fldChar w:fldCharType="begin"/>
    </w:r>
    <w:r w:rsidRPr="00B45F99">
      <w:rPr>
        <w:b/>
        <w:sz w:val="18"/>
      </w:rPr>
      <w:instrText xml:space="preserve"> PAGE  \* MERGEFORMAT </w:instrText>
    </w:r>
    <w:r w:rsidRPr="00B45F99">
      <w:rPr>
        <w:b/>
        <w:sz w:val="18"/>
      </w:rPr>
      <w:fldChar w:fldCharType="separate"/>
    </w:r>
    <w:r w:rsidRPr="00B45F99">
      <w:rPr>
        <w:b/>
        <w:noProof/>
        <w:sz w:val="18"/>
      </w:rPr>
      <w:t>2</w:t>
    </w:r>
    <w:r w:rsidRPr="00B45F9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82E8A" w14:textId="6DB68060" w:rsidR="00B45F99" w:rsidRPr="00B45F99" w:rsidRDefault="00B45F99" w:rsidP="00B45F99">
    <w:pPr>
      <w:pStyle w:val="Footer"/>
      <w:tabs>
        <w:tab w:val="right" w:pos="9638"/>
      </w:tabs>
      <w:rPr>
        <w:b/>
        <w:sz w:val="18"/>
      </w:rPr>
    </w:pPr>
    <w:r>
      <w:tab/>
    </w:r>
    <w:r w:rsidRPr="00B45F99">
      <w:rPr>
        <w:b/>
        <w:sz w:val="18"/>
      </w:rPr>
      <w:fldChar w:fldCharType="begin"/>
    </w:r>
    <w:r w:rsidRPr="00B45F99">
      <w:rPr>
        <w:b/>
        <w:sz w:val="18"/>
      </w:rPr>
      <w:instrText xml:space="preserve"> PAGE  \* MERGEFORMAT </w:instrText>
    </w:r>
    <w:r w:rsidRPr="00B45F99">
      <w:rPr>
        <w:b/>
        <w:sz w:val="18"/>
      </w:rPr>
      <w:fldChar w:fldCharType="separate"/>
    </w:r>
    <w:r w:rsidRPr="00B45F99">
      <w:rPr>
        <w:b/>
        <w:noProof/>
        <w:sz w:val="18"/>
      </w:rPr>
      <w:t>3</w:t>
    </w:r>
    <w:r w:rsidRPr="00B45F9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868A2" w14:textId="086C55F4" w:rsidR="006116B9" w:rsidRDefault="006116B9" w:rsidP="006116B9">
    <w:pPr>
      <w:pStyle w:val="Footer"/>
    </w:pPr>
    <w:bookmarkStart w:id="1" w:name="_GoBack"/>
    <w:bookmarkEnd w:id="1"/>
    <w:r>
      <w:rPr>
        <w:noProof/>
        <w:lang w:val="en-US" w:eastAsia="zh-CN"/>
      </w:rPr>
      <w:drawing>
        <wp:anchor distT="0" distB="0" distL="114300" distR="114300" simplePos="0" relativeHeight="251659264" behindDoc="1" locked="1" layoutInCell="1" allowOverlap="1" wp14:anchorId="7BED1498" wp14:editId="513C113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F2A1A41" w14:textId="48611B8E" w:rsidR="006116B9" w:rsidRPr="006116B9" w:rsidRDefault="006116B9" w:rsidP="006116B9">
    <w:pPr>
      <w:pStyle w:val="Footer"/>
      <w:ind w:right="1134"/>
      <w:rPr>
        <w:sz w:val="20"/>
      </w:rPr>
    </w:pPr>
    <w:r>
      <w:rPr>
        <w:sz w:val="20"/>
      </w:rPr>
      <w:t>GE.23-26286(E)</w:t>
    </w:r>
    <w:r>
      <w:rPr>
        <w:noProof/>
        <w:sz w:val="20"/>
      </w:rPr>
      <w:drawing>
        <wp:anchor distT="0" distB="0" distL="114300" distR="114300" simplePos="0" relativeHeight="251660288" behindDoc="0" locked="0" layoutInCell="1" allowOverlap="1" wp14:anchorId="0EEE31C8" wp14:editId="02AA32DB">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75752" w14:textId="77777777" w:rsidR="00D55AED" w:rsidRPr="000B175B" w:rsidRDefault="00D55AED" w:rsidP="000B175B">
      <w:pPr>
        <w:tabs>
          <w:tab w:val="right" w:pos="2155"/>
        </w:tabs>
        <w:spacing w:after="80"/>
        <w:ind w:left="680"/>
        <w:rPr>
          <w:u w:val="single"/>
        </w:rPr>
      </w:pPr>
      <w:r>
        <w:rPr>
          <w:u w:val="single"/>
        </w:rPr>
        <w:tab/>
      </w:r>
    </w:p>
  </w:footnote>
  <w:footnote w:type="continuationSeparator" w:id="0">
    <w:p w14:paraId="5FFF3219" w14:textId="77777777" w:rsidR="00D55AED" w:rsidRPr="00FC68B7" w:rsidRDefault="00D55AED" w:rsidP="00FC68B7">
      <w:pPr>
        <w:tabs>
          <w:tab w:val="left" w:pos="2155"/>
        </w:tabs>
        <w:spacing w:after="80"/>
        <w:ind w:left="680"/>
        <w:rPr>
          <w:u w:val="single"/>
        </w:rPr>
      </w:pPr>
      <w:r>
        <w:rPr>
          <w:u w:val="single"/>
        </w:rPr>
        <w:tab/>
      </w:r>
    </w:p>
  </w:footnote>
  <w:footnote w:type="continuationNotice" w:id="1">
    <w:p w14:paraId="7EC24250" w14:textId="77777777" w:rsidR="00D55AED" w:rsidRDefault="00D55AED"/>
  </w:footnote>
  <w:footnote w:id="2">
    <w:p w14:paraId="66F52F04" w14:textId="77777777" w:rsidR="00AC2B3D" w:rsidRPr="00570B81" w:rsidRDefault="00AC2B3D" w:rsidP="00AC2B3D">
      <w:pPr>
        <w:pStyle w:val="FootnoteText"/>
        <w:rPr>
          <w:lang w:val="en-US"/>
        </w:rPr>
      </w:pPr>
      <w:r>
        <w:rPr>
          <w:rStyle w:val="FootnoteReference"/>
        </w:rPr>
        <w:tab/>
      </w:r>
      <w:r w:rsidRPr="001E6946">
        <w:rPr>
          <w:rStyle w:val="FootnoteReference"/>
          <w:b/>
        </w:rPr>
        <w:t>*</w:t>
      </w:r>
      <w:r>
        <w:rPr>
          <w:rStyle w:val="FootnoteReference"/>
          <w:sz w:val="20"/>
          <w:vertAlign w:val="baseline"/>
        </w:rPr>
        <w:tab/>
      </w:r>
      <w:r w:rsidRPr="00513E18">
        <w:rPr>
          <w:szCs w:val="18"/>
        </w:rPr>
        <w:t>A/78/6 (Sect.20), table 20.5.</w:t>
      </w:r>
    </w:p>
  </w:footnote>
  <w:footnote w:id="3">
    <w:p w14:paraId="6719AB61" w14:textId="56772877" w:rsidR="00AC2B3D" w:rsidRPr="00570B81" w:rsidRDefault="00AC2B3D" w:rsidP="00AC2B3D">
      <w:pPr>
        <w:pStyle w:val="FootnoteText"/>
        <w:rPr>
          <w:lang w:val="en-US"/>
        </w:rPr>
      </w:pPr>
      <w:r>
        <w:rPr>
          <w:rStyle w:val="FootnoteReference"/>
        </w:rPr>
        <w:tab/>
      </w:r>
      <w:r w:rsidRPr="001E6946">
        <w:rPr>
          <w:rStyle w:val="FootnoteReference"/>
          <w:b/>
        </w:rPr>
        <w:t>**</w:t>
      </w:r>
      <w:r>
        <w:rPr>
          <w:rStyle w:val="FootnoteReference"/>
          <w:sz w:val="20"/>
          <w:vertAlign w:val="baseline"/>
        </w:rPr>
        <w:tab/>
      </w:r>
      <w:r w:rsidRPr="00513E18">
        <w:rPr>
          <w:szCs w:val="18"/>
        </w:rPr>
        <w:t>Circulated by the Intergovernmental Organisation for International Carriage by Rail (OTIF) under the symbol OTIF/RID/RC/2024/</w:t>
      </w:r>
      <w:r>
        <w:rPr>
          <w:szCs w:val="18"/>
        </w:rPr>
        <w:t>25</w:t>
      </w:r>
      <w:r w:rsidRPr="00513E18">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2119B" w14:textId="274EF96F" w:rsidR="00B45F99" w:rsidRPr="00B45F99" w:rsidRDefault="00B45F99">
    <w:pPr>
      <w:pStyle w:val="Header"/>
    </w:pPr>
    <w:r>
      <w:t>ECE/TRANS/WP.15/AC.1/2024/25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D0D0E" w14:textId="44A64559" w:rsidR="00B45F99" w:rsidRPr="00B45F99" w:rsidRDefault="00B45F99" w:rsidP="00B45F99">
    <w:pPr>
      <w:pStyle w:val="Header"/>
      <w:jc w:val="right"/>
    </w:pPr>
    <w:r>
      <w:t>ECE/TRANS/WP.15/AC.1/2024/25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118135089">
    <w:abstractNumId w:val="1"/>
  </w:num>
  <w:num w:numId="2" w16cid:durableId="2126533063">
    <w:abstractNumId w:val="0"/>
  </w:num>
  <w:num w:numId="3" w16cid:durableId="151023165">
    <w:abstractNumId w:val="2"/>
  </w:num>
  <w:num w:numId="4" w16cid:durableId="48194351">
    <w:abstractNumId w:val="3"/>
  </w:num>
  <w:num w:numId="5" w16cid:durableId="710610427">
    <w:abstractNumId w:val="8"/>
  </w:num>
  <w:num w:numId="6" w16cid:durableId="2145386872">
    <w:abstractNumId w:val="9"/>
  </w:num>
  <w:num w:numId="7" w16cid:durableId="1082947373">
    <w:abstractNumId w:val="7"/>
  </w:num>
  <w:num w:numId="8" w16cid:durableId="901058194">
    <w:abstractNumId w:val="6"/>
  </w:num>
  <w:num w:numId="9" w16cid:durableId="961964248">
    <w:abstractNumId w:val="5"/>
  </w:num>
  <w:num w:numId="10" w16cid:durableId="919146077">
    <w:abstractNumId w:val="4"/>
  </w:num>
  <w:num w:numId="11" w16cid:durableId="404228486">
    <w:abstractNumId w:val="15"/>
  </w:num>
  <w:num w:numId="12" w16cid:durableId="1740790611">
    <w:abstractNumId w:val="14"/>
  </w:num>
  <w:num w:numId="13" w16cid:durableId="2047442563">
    <w:abstractNumId w:val="10"/>
  </w:num>
  <w:num w:numId="14" w16cid:durableId="585960758">
    <w:abstractNumId w:val="12"/>
  </w:num>
  <w:num w:numId="15" w16cid:durableId="167058597">
    <w:abstractNumId w:val="16"/>
  </w:num>
  <w:num w:numId="16" w16cid:durableId="1715035676">
    <w:abstractNumId w:val="13"/>
  </w:num>
  <w:num w:numId="17" w16cid:durableId="366564913">
    <w:abstractNumId w:val="17"/>
  </w:num>
  <w:num w:numId="18" w16cid:durableId="717631356">
    <w:abstractNumId w:val="18"/>
  </w:num>
  <w:num w:numId="19" w16cid:durableId="2070296729">
    <w:abstractNumId w:val="11"/>
  </w:num>
  <w:num w:numId="20" w16cid:durableId="350842745">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F99"/>
    <w:rsid w:val="00002A7D"/>
    <w:rsid w:val="000038A8"/>
    <w:rsid w:val="00006790"/>
    <w:rsid w:val="00027624"/>
    <w:rsid w:val="00050F6B"/>
    <w:rsid w:val="000678CD"/>
    <w:rsid w:val="00072C8C"/>
    <w:rsid w:val="00075C8B"/>
    <w:rsid w:val="00081CE0"/>
    <w:rsid w:val="00084D30"/>
    <w:rsid w:val="00090320"/>
    <w:rsid w:val="000931C0"/>
    <w:rsid w:val="0009732C"/>
    <w:rsid w:val="000A01F9"/>
    <w:rsid w:val="000A2E09"/>
    <w:rsid w:val="000B175B"/>
    <w:rsid w:val="000B3A0F"/>
    <w:rsid w:val="000E0415"/>
    <w:rsid w:val="000F7715"/>
    <w:rsid w:val="00153D8A"/>
    <w:rsid w:val="00156B99"/>
    <w:rsid w:val="00166124"/>
    <w:rsid w:val="00172F51"/>
    <w:rsid w:val="00184DDA"/>
    <w:rsid w:val="001900CD"/>
    <w:rsid w:val="001A0452"/>
    <w:rsid w:val="001B4B04"/>
    <w:rsid w:val="001B5875"/>
    <w:rsid w:val="001B799B"/>
    <w:rsid w:val="001C4B9C"/>
    <w:rsid w:val="001C6663"/>
    <w:rsid w:val="001C7895"/>
    <w:rsid w:val="001D26DF"/>
    <w:rsid w:val="001E132A"/>
    <w:rsid w:val="001E555D"/>
    <w:rsid w:val="001F1599"/>
    <w:rsid w:val="001F19C4"/>
    <w:rsid w:val="002043F0"/>
    <w:rsid w:val="00211E0B"/>
    <w:rsid w:val="00232575"/>
    <w:rsid w:val="00247258"/>
    <w:rsid w:val="00257CAC"/>
    <w:rsid w:val="00264441"/>
    <w:rsid w:val="0027237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92946"/>
    <w:rsid w:val="003A46BB"/>
    <w:rsid w:val="003A4EC7"/>
    <w:rsid w:val="003A7295"/>
    <w:rsid w:val="003B1F60"/>
    <w:rsid w:val="003B6773"/>
    <w:rsid w:val="003C2CC4"/>
    <w:rsid w:val="003D1128"/>
    <w:rsid w:val="003D4B23"/>
    <w:rsid w:val="003E278A"/>
    <w:rsid w:val="00413520"/>
    <w:rsid w:val="00430D57"/>
    <w:rsid w:val="004325CB"/>
    <w:rsid w:val="00440A07"/>
    <w:rsid w:val="00462880"/>
    <w:rsid w:val="0047210C"/>
    <w:rsid w:val="00476F24"/>
    <w:rsid w:val="004C55B0"/>
    <w:rsid w:val="004F6BA0"/>
    <w:rsid w:val="00503BEA"/>
    <w:rsid w:val="00512101"/>
    <w:rsid w:val="00533616"/>
    <w:rsid w:val="00535ABA"/>
    <w:rsid w:val="0053768B"/>
    <w:rsid w:val="005420F2"/>
    <w:rsid w:val="0054285C"/>
    <w:rsid w:val="00570B81"/>
    <w:rsid w:val="00584173"/>
    <w:rsid w:val="00595520"/>
    <w:rsid w:val="005A44B9"/>
    <w:rsid w:val="005B1BA0"/>
    <w:rsid w:val="005B3844"/>
    <w:rsid w:val="005B3DB3"/>
    <w:rsid w:val="005D15CA"/>
    <w:rsid w:val="005D7969"/>
    <w:rsid w:val="005F08DF"/>
    <w:rsid w:val="005F3066"/>
    <w:rsid w:val="005F3E61"/>
    <w:rsid w:val="00604DDD"/>
    <w:rsid w:val="006115CC"/>
    <w:rsid w:val="006116B9"/>
    <w:rsid w:val="00611FC4"/>
    <w:rsid w:val="006176FB"/>
    <w:rsid w:val="00630FCB"/>
    <w:rsid w:val="00640B26"/>
    <w:rsid w:val="0065766B"/>
    <w:rsid w:val="006770B2"/>
    <w:rsid w:val="00686A48"/>
    <w:rsid w:val="006940E1"/>
    <w:rsid w:val="006A3C72"/>
    <w:rsid w:val="006A7392"/>
    <w:rsid w:val="006B03A1"/>
    <w:rsid w:val="006B67D9"/>
    <w:rsid w:val="006C28D2"/>
    <w:rsid w:val="006C5535"/>
    <w:rsid w:val="006D0589"/>
    <w:rsid w:val="006E564B"/>
    <w:rsid w:val="006E7154"/>
    <w:rsid w:val="007003CD"/>
    <w:rsid w:val="0070701E"/>
    <w:rsid w:val="007173E0"/>
    <w:rsid w:val="00724A4A"/>
    <w:rsid w:val="0072632A"/>
    <w:rsid w:val="007358E8"/>
    <w:rsid w:val="00736ECE"/>
    <w:rsid w:val="0074533B"/>
    <w:rsid w:val="007643BC"/>
    <w:rsid w:val="007801C5"/>
    <w:rsid w:val="00780C68"/>
    <w:rsid w:val="007959FE"/>
    <w:rsid w:val="007A0CF1"/>
    <w:rsid w:val="007A478E"/>
    <w:rsid w:val="007B6BA5"/>
    <w:rsid w:val="007C3390"/>
    <w:rsid w:val="007C42D8"/>
    <w:rsid w:val="007C4F4B"/>
    <w:rsid w:val="007D5F6F"/>
    <w:rsid w:val="007D7362"/>
    <w:rsid w:val="007F5CE2"/>
    <w:rsid w:val="007F6611"/>
    <w:rsid w:val="00800522"/>
    <w:rsid w:val="00810BAC"/>
    <w:rsid w:val="008175E9"/>
    <w:rsid w:val="008242D7"/>
    <w:rsid w:val="0082577B"/>
    <w:rsid w:val="008257EA"/>
    <w:rsid w:val="008272DD"/>
    <w:rsid w:val="00866893"/>
    <w:rsid w:val="00866F02"/>
    <w:rsid w:val="00867D18"/>
    <w:rsid w:val="00871F9A"/>
    <w:rsid w:val="00871FD5"/>
    <w:rsid w:val="0088172E"/>
    <w:rsid w:val="00881EFA"/>
    <w:rsid w:val="00885E61"/>
    <w:rsid w:val="008879CB"/>
    <w:rsid w:val="008979B1"/>
    <w:rsid w:val="008A6B25"/>
    <w:rsid w:val="008A6C4F"/>
    <w:rsid w:val="008A77AE"/>
    <w:rsid w:val="008B389E"/>
    <w:rsid w:val="008B686F"/>
    <w:rsid w:val="008D045E"/>
    <w:rsid w:val="008D3F25"/>
    <w:rsid w:val="008D4D82"/>
    <w:rsid w:val="008E06F1"/>
    <w:rsid w:val="008E0E46"/>
    <w:rsid w:val="008E7116"/>
    <w:rsid w:val="008F143B"/>
    <w:rsid w:val="008F3882"/>
    <w:rsid w:val="008F4B7C"/>
    <w:rsid w:val="008F7FA0"/>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06B40"/>
    <w:rsid w:val="00A10F4F"/>
    <w:rsid w:val="00A11067"/>
    <w:rsid w:val="00A1704A"/>
    <w:rsid w:val="00A33CE7"/>
    <w:rsid w:val="00A425EB"/>
    <w:rsid w:val="00A72F22"/>
    <w:rsid w:val="00A733BC"/>
    <w:rsid w:val="00A748A6"/>
    <w:rsid w:val="00A76A69"/>
    <w:rsid w:val="00A879A4"/>
    <w:rsid w:val="00AA0FF8"/>
    <w:rsid w:val="00AB3A5B"/>
    <w:rsid w:val="00AB4780"/>
    <w:rsid w:val="00AC0F2C"/>
    <w:rsid w:val="00AC2B3D"/>
    <w:rsid w:val="00AC502A"/>
    <w:rsid w:val="00AF58C1"/>
    <w:rsid w:val="00B04A3F"/>
    <w:rsid w:val="00B06643"/>
    <w:rsid w:val="00B15055"/>
    <w:rsid w:val="00B20551"/>
    <w:rsid w:val="00B23D55"/>
    <w:rsid w:val="00B30179"/>
    <w:rsid w:val="00B33FC7"/>
    <w:rsid w:val="00B37B15"/>
    <w:rsid w:val="00B45C02"/>
    <w:rsid w:val="00B45F99"/>
    <w:rsid w:val="00B70B63"/>
    <w:rsid w:val="00B72A1E"/>
    <w:rsid w:val="00B81E12"/>
    <w:rsid w:val="00BA339B"/>
    <w:rsid w:val="00BA5F6A"/>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978F5"/>
    <w:rsid w:val="00CA24A4"/>
    <w:rsid w:val="00CB348D"/>
    <w:rsid w:val="00CD46F5"/>
    <w:rsid w:val="00CE1882"/>
    <w:rsid w:val="00CE4A8F"/>
    <w:rsid w:val="00CE78F6"/>
    <w:rsid w:val="00CF071D"/>
    <w:rsid w:val="00D0123D"/>
    <w:rsid w:val="00D15B04"/>
    <w:rsid w:val="00D2031B"/>
    <w:rsid w:val="00D25FE2"/>
    <w:rsid w:val="00D368BE"/>
    <w:rsid w:val="00D37DA9"/>
    <w:rsid w:val="00D406A7"/>
    <w:rsid w:val="00D40765"/>
    <w:rsid w:val="00D43047"/>
    <w:rsid w:val="00D43252"/>
    <w:rsid w:val="00D44D86"/>
    <w:rsid w:val="00D50B7D"/>
    <w:rsid w:val="00D52012"/>
    <w:rsid w:val="00D55AED"/>
    <w:rsid w:val="00D704E5"/>
    <w:rsid w:val="00D72727"/>
    <w:rsid w:val="00D978C6"/>
    <w:rsid w:val="00DA0956"/>
    <w:rsid w:val="00DA357F"/>
    <w:rsid w:val="00DA3E12"/>
    <w:rsid w:val="00DB6908"/>
    <w:rsid w:val="00DC18AD"/>
    <w:rsid w:val="00DF7CAE"/>
    <w:rsid w:val="00E423C0"/>
    <w:rsid w:val="00E6414C"/>
    <w:rsid w:val="00E7260F"/>
    <w:rsid w:val="00E8702D"/>
    <w:rsid w:val="00E905F4"/>
    <w:rsid w:val="00E916A9"/>
    <w:rsid w:val="00E916DE"/>
    <w:rsid w:val="00E925AD"/>
    <w:rsid w:val="00E96630"/>
    <w:rsid w:val="00EA1EF2"/>
    <w:rsid w:val="00ED18DC"/>
    <w:rsid w:val="00ED6201"/>
    <w:rsid w:val="00ED7A2A"/>
    <w:rsid w:val="00EF1D7F"/>
    <w:rsid w:val="00F0137E"/>
    <w:rsid w:val="00F113AC"/>
    <w:rsid w:val="00F21786"/>
    <w:rsid w:val="00F30B13"/>
    <w:rsid w:val="00F319B1"/>
    <w:rsid w:val="00F36A2F"/>
    <w:rsid w:val="00F3742B"/>
    <w:rsid w:val="00F41FDB"/>
    <w:rsid w:val="00F50596"/>
    <w:rsid w:val="00F56D63"/>
    <w:rsid w:val="00F609A9"/>
    <w:rsid w:val="00F80C99"/>
    <w:rsid w:val="00F867EC"/>
    <w:rsid w:val="00F91B2B"/>
    <w:rsid w:val="00FA5D18"/>
    <w:rsid w:val="00FC03CD"/>
    <w:rsid w:val="00FC0646"/>
    <w:rsid w:val="00FC660B"/>
    <w:rsid w:val="00FC68B7"/>
    <w:rsid w:val="00FE6985"/>
    <w:rsid w:val="00FF4E6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F96C2"/>
  <w15:docId w15:val="{734BB37B-6B0B-4F4C-BFB5-D867461B5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character" w:styleId="CommentReference">
    <w:name w:val="annotation reference"/>
    <w:basedOn w:val="DefaultParagraphFont"/>
    <w:uiPriority w:val="99"/>
    <w:semiHidden/>
    <w:unhideWhenUsed/>
    <w:rsid w:val="003D1128"/>
    <w:rPr>
      <w:sz w:val="16"/>
      <w:szCs w:val="16"/>
    </w:rPr>
  </w:style>
  <w:style w:type="paragraph" w:styleId="CommentText">
    <w:name w:val="annotation text"/>
    <w:basedOn w:val="Normal"/>
    <w:link w:val="CommentTextChar"/>
    <w:uiPriority w:val="99"/>
    <w:unhideWhenUsed/>
    <w:rsid w:val="003D1128"/>
    <w:pPr>
      <w:spacing w:after="160" w:line="240" w:lineRule="auto"/>
    </w:pPr>
    <w:rPr>
      <w:rFonts w:ascii="Calibri" w:eastAsia="DengXian" w:hAnsi="Calibri" w:cs="Arial"/>
      <w:lang w:val="fr-CH" w:eastAsia="zh-CN"/>
    </w:rPr>
  </w:style>
  <w:style w:type="character" w:customStyle="1" w:styleId="CommentTextChar">
    <w:name w:val="Comment Text Char"/>
    <w:basedOn w:val="DefaultParagraphFont"/>
    <w:link w:val="CommentText"/>
    <w:uiPriority w:val="99"/>
    <w:rsid w:val="003D1128"/>
    <w:rPr>
      <w:rFonts w:ascii="Calibri" w:eastAsia="DengXian" w:hAnsi="Calibri" w:cs="Arial"/>
      <w:lang w:val="fr-CH" w:eastAsia="zh-CN"/>
    </w:rPr>
  </w:style>
  <w:style w:type="character" w:customStyle="1" w:styleId="FootnoteTextChar">
    <w:name w:val="Footnote Text Char"/>
    <w:aliases w:val="5_G Char,5_GR Char"/>
    <w:basedOn w:val="DefaultParagraphFont"/>
    <w:link w:val="FootnoteText"/>
    <w:rsid w:val="00D43047"/>
    <w:rPr>
      <w:sz w:val="18"/>
      <w:lang w:val="en-GB"/>
    </w:rPr>
  </w:style>
  <w:style w:type="character" w:customStyle="1" w:styleId="HChGChar">
    <w:name w:val="_ H _Ch_G Char"/>
    <w:link w:val="HChG"/>
    <w:qFormat/>
    <w:rsid w:val="00D43047"/>
    <w:rPr>
      <w:b/>
      <w:sz w:val="28"/>
      <w:lang w:val="en-GB"/>
    </w:rPr>
  </w:style>
  <w:style w:type="character" w:customStyle="1" w:styleId="H1GChar">
    <w:name w:val="_ H_1_G Char"/>
    <w:link w:val="H1G"/>
    <w:qFormat/>
    <w:locked/>
    <w:rsid w:val="00D43047"/>
    <w:rPr>
      <w:b/>
      <w:sz w:val="24"/>
      <w:lang w:val="en-GB"/>
    </w:rPr>
  </w:style>
  <w:style w:type="paragraph" w:styleId="Revision">
    <w:name w:val="Revision"/>
    <w:hidden/>
    <w:uiPriority w:val="99"/>
    <w:semiHidden/>
    <w:rsid w:val="00AB4780"/>
    <w:pPr>
      <w:spacing w:line="240" w:lineRule="auto"/>
    </w:pPr>
    <w:rPr>
      <w:lang w:val="en-GB"/>
    </w:rPr>
  </w:style>
  <w:style w:type="paragraph" w:styleId="CommentSubject">
    <w:name w:val="annotation subject"/>
    <w:basedOn w:val="CommentText"/>
    <w:next w:val="CommentText"/>
    <w:link w:val="CommentSubjectChar"/>
    <w:semiHidden/>
    <w:unhideWhenUsed/>
    <w:rsid w:val="00172F51"/>
    <w:pPr>
      <w:spacing w:after="0"/>
    </w:pPr>
    <w:rPr>
      <w:rFonts w:ascii="Times New Roman" w:eastAsia="Times New Roman" w:hAnsi="Times New Roman" w:cs="Times New Roman"/>
      <w:b/>
      <w:bCs/>
      <w:lang w:val="en-GB" w:eastAsia="fr-FR"/>
    </w:rPr>
  </w:style>
  <w:style w:type="character" w:customStyle="1" w:styleId="CommentSubjectChar">
    <w:name w:val="Comment Subject Char"/>
    <w:basedOn w:val="CommentTextChar"/>
    <w:link w:val="CommentSubject"/>
    <w:semiHidden/>
    <w:rsid w:val="00172F51"/>
    <w:rPr>
      <w:rFonts w:ascii="Calibri" w:eastAsia="DengXian" w:hAnsi="Calibri" w:cs="Arial"/>
      <w:b/>
      <w:b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DFDB4A9A-DD1D-431C-883D-883845E558B8}">
  <ds:schemaRefs>
    <ds:schemaRef ds:uri="http://schemas.microsoft.com/sharepoint/v3/contenttype/forms"/>
  </ds:schemaRefs>
</ds:datastoreItem>
</file>

<file path=customXml/itemProps2.xml><?xml version="1.0" encoding="utf-8"?>
<ds:datastoreItem xmlns:ds="http://schemas.openxmlformats.org/officeDocument/2006/customXml" ds:itemID="{80A921BD-9DC8-4B9D-8203-7A960738CCA8}"/>
</file>

<file path=customXml/itemProps3.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4.xml><?xml version="1.0" encoding="utf-8"?>
<ds:datastoreItem xmlns:ds="http://schemas.openxmlformats.org/officeDocument/2006/customXml" ds:itemID="{B0E6A19E-DE01-423D-ABB1-70531F076FD4}">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1020</Words>
  <Characters>5626</Characters>
  <Application>Microsoft Office Word</Application>
  <DocSecurity>0</DocSecurity>
  <Lines>104</Lines>
  <Paragraphs>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ECE/TRANS/WP.15/AC.1/2024/25</dc:title>
  <dc:subject>2326286</dc:subject>
  <dc:creator>Sabrina Mansion</dc:creator>
  <cp:keywords/>
  <dc:description/>
  <cp:lastModifiedBy>Anni Vi Tirol</cp:lastModifiedBy>
  <cp:revision>2</cp:revision>
  <cp:lastPrinted>2009-02-18T09:36:00Z</cp:lastPrinted>
  <dcterms:created xsi:type="dcterms:W3CDTF">2023-12-29T11:22:00Z</dcterms:created>
  <dcterms:modified xsi:type="dcterms:W3CDTF">2023-12-29T11:22:00Z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