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1FE2B07" w14:textId="77777777" w:rsidTr="00B20551">
        <w:trPr>
          <w:cantSplit/>
          <w:trHeight w:hRule="exact" w:val="851"/>
        </w:trPr>
        <w:tc>
          <w:tcPr>
            <w:tcW w:w="1276" w:type="dxa"/>
            <w:tcBorders>
              <w:bottom w:val="single" w:sz="4" w:space="0" w:color="auto"/>
            </w:tcBorders>
            <w:vAlign w:val="bottom"/>
          </w:tcPr>
          <w:p w14:paraId="5C202E28" w14:textId="77777777" w:rsidR="009E6CB7" w:rsidRDefault="009E6CB7" w:rsidP="00B20551">
            <w:pPr>
              <w:spacing w:after="80"/>
            </w:pPr>
          </w:p>
        </w:tc>
        <w:tc>
          <w:tcPr>
            <w:tcW w:w="2268" w:type="dxa"/>
            <w:tcBorders>
              <w:bottom w:val="single" w:sz="4" w:space="0" w:color="auto"/>
            </w:tcBorders>
            <w:vAlign w:val="bottom"/>
          </w:tcPr>
          <w:p w14:paraId="59979D3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876D60B" w14:textId="3204989A" w:rsidR="009E6CB7" w:rsidRPr="00D47EEA" w:rsidRDefault="000300C6" w:rsidP="000300C6">
            <w:pPr>
              <w:jc w:val="right"/>
            </w:pPr>
            <w:r w:rsidRPr="000300C6">
              <w:rPr>
                <w:sz w:val="40"/>
              </w:rPr>
              <w:t>ECE</w:t>
            </w:r>
            <w:r>
              <w:t>/TRANS/WP.15/AC.1/2024/2</w:t>
            </w:r>
          </w:p>
        </w:tc>
      </w:tr>
      <w:tr w:rsidR="009E6CB7" w14:paraId="201924AF" w14:textId="77777777" w:rsidTr="00B20551">
        <w:trPr>
          <w:cantSplit/>
          <w:trHeight w:hRule="exact" w:val="2835"/>
        </w:trPr>
        <w:tc>
          <w:tcPr>
            <w:tcW w:w="1276" w:type="dxa"/>
            <w:tcBorders>
              <w:top w:val="single" w:sz="4" w:space="0" w:color="auto"/>
              <w:bottom w:val="single" w:sz="12" w:space="0" w:color="auto"/>
            </w:tcBorders>
          </w:tcPr>
          <w:p w14:paraId="3EC58CE0" w14:textId="77777777" w:rsidR="009E6CB7" w:rsidRDefault="00686A48" w:rsidP="00B20551">
            <w:pPr>
              <w:spacing w:before="120"/>
            </w:pPr>
            <w:r>
              <w:rPr>
                <w:noProof/>
                <w:lang w:val="fr-CH" w:eastAsia="fr-CH"/>
              </w:rPr>
              <w:drawing>
                <wp:inline distT="0" distB="0" distL="0" distR="0" wp14:anchorId="615E429D" wp14:editId="782E6B0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BA456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C87066C" w14:textId="77777777" w:rsidR="009E6CB7" w:rsidRDefault="000300C6" w:rsidP="000300C6">
            <w:pPr>
              <w:spacing w:before="240" w:line="240" w:lineRule="exact"/>
            </w:pPr>
            <w:r>
              <w:t>Distr.: General</w:t>
            </w:r>
          </w:p>
          <w:p w14:paraId="3F178045" w14:textId="23608F17" w:rsidR="000300C6" w:rsidRDefault="00940EC4" w:rsidP="000300C6">
            <w:pPr>
              <w:spacing w:line="240" w:lineRule="exact"/>
            </w:pPr>
            <w:r>
              <w:t>1</w:t>
            </w:r>
            <w:r w:rsidR="00931809">
              <w:t>3</w:t>
            </w:r>
            <w:r w:rsidR="000300C6">
              <w:t xml:space="preserve"> December 2023</w:t>
            </w:r>
          </w:p>
          <w:p w14:paraId="489B0FD7" w14:textId="77777777" w:rsidR="000300C6" w:rsidRDefault="000300C6" w:rsidP="000300C6">
            <w:pPr>
              <w:spacing w:line="240" w:lineRule="exact"/>
            </w:pPr>
          </w:p>
          <w:p w14:paraId="7405DDC1" w14:textId="7FBB7654" w:rsidR="000300C6" w:rsidRDefault="000300C6" w:rsidP="000300C6">
            <w:pPr>
              <w:spacing w:line="240" w:lineRule="exact"/>
            </w:pPr>
            <w:r>
              <w:t>Original: English</w:t>
            </w:r>
          </w:p>
        </w:tc>
      </w:tr>
    </w:tbl>
    <w:p w14:paraId="0A30D2B1" w14:textId="77777777" w:rsidR="000300C6" w:rsidRPr="00960236" w:rsidRDefault="000300C6" w:rsidP="00C411EB">
      <w:pPr>
        <w:spacing w:before="120"/>
        <w:rPr>
          <w:b/>
          <w:sz w:val="28"/>
          <w:szCs w:val="28"/>
        </w:rPr>
      </w:pPr>
      <w:r w:rsidRPr="00960236">
        <w:rPr>
          <w:b/>
          <w:sz w:val="28"/>
          <w:szCs w:val="28"/>
        </w:rPr>
        <w:t>Economic Commission for Europe</w:t>
      </w:r>
    </w:p>
    <w:p w14:paraId="0E0F7492" w14:textId="77777777" w:rsidR="000300C6" w:rsidRPr="00960236" w:rsidRDefault="000300C6" w:rsidP="00C411EB">
      <w:pPr>
        <w:spacing w:before="120"/>
        <w:rPr>
          <w:sz w:val="28"/>
          <w:szCs w:val="28"/>
        </w:rPr>
      </w:pPr>
      <w:r w:rsidRPr="00960236">
        <w:rPr>
          <w:sz w:val="28"/>
          <w:szCs w:val="28"/>
        </w:rPr>
        <w:t>Inland Transport Committee</w:t>
      </w:r>
    </w:p>
    <w:p w14:paraId="01F7B539" w14:textId="77777777" w:rsidR="000300C6" w:rsidRPr="00960236" w:rsidRDefault="000300C6" w:rsidP="00C411EB">
      <w:pPr>
        <w:spacing w:before="120"/>
        <w:rPr>
          <w:b/>
          <w:sz w:val="24"/>
          <w:szCs w:val="24"/>
        </w:rPr>
      </w:pPr>
      <w:r w:rsidRPr="00960236">
        <w:rPr>
          <w:b/>
          <w:sz w:val="24"/>
          <w:szCs w:val="24"/>
        </w:rPr>
        <w:t>Working Party on the Transport of Dangerous Goods</w:t>
      </w:r>
    </w:p>
    <w:p w14:paraId="16EFF751" w14:textId="77777777" w:rsidR="000300C6" w:rsidRPr="00960236" w:rsidRDefault="000300C6"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2B468C03" w14:textId="77777777" w:rsidR="00E666CC" w:rsidRPr="00033D2B" w:rsidRDefault="00E666CC" w:rsidP="00E666CC">
      <w:r w:rsidRPr="00033D2B">
        <w:t>Bern, 2</w:t>
      </w:r>
      <w:r>
        <w:t>5</w:t>
      </w:r>
      <w:r w:rsidRPr="00033D2B">
        <w:t>-2</w:t>
      </w:r>
      <w:r>
        <w:t>8</w:t>
      </w:r>
      <w:r w:rsidRPr="00033D2B">
        <w:t xml:space="preserve"> March 202</w:t>
      </w:r>
      <w:r>
        <w:t>4</w:t>
      </w:r>
    </w:p>
    <w:p w14:paraId="4C7622A2" w14:textId="6394E8EA" w:rsidR="00E666CC" w:rsidRPr="00033D2B" w:rsidRDefault="00E666CC" w:rsidP="00E666CC">
      <w:r w:rsidRPr="00033D2B">
        <w:t>Item</w:t>
      </w:r>
      <w:r w:rsidR="008B4F2A">
        <w:t xml:space="preserve"> </w:t>
      </w:r>
      <w:r w:rsidR="00757890">
        <w:t>5</w:t>
      </w:r>
      <w:r w:rsidR="003064F1">
        <w:t xml:space="preserve"> </w:t>
      </w:r>
      <w:r w:rsidR="00757890">
        <w:t>(b)</w:t>
      </w:r>
      <w:r w:rsidRPr="00033D2B">
        <w:t xml:space="preserve"> of the provisional agenda</w:t>
      </w:r>
    </w:p>
    <w:p w14:paraId="6B1B8EFE" w14:textId="7B74EE1D" w:rsidR="00E666CC" w:rsidRPr="00215931" w:rsidRDefault="00215931" w:rsidP="00E666CC">
      <w:pPr>
        <w:rPr>
          <w:b/>
          <w:bCs/>
        </w:rPr>
      </w:pPr>
      <w:r w:rsidRPr="00215931">
        <w:rPr>
          <w:b/>
          <w:bCs/>
        </w:rPr>
        <w:t>Proposals for amendments to RID/ADR/ADN:</w:t>
      </w:r>
    </w:p>
    <w:p w14:paraId="08F1DF50" w14:textId="68EFAB49" w:rsidR="001C6663" w:rsidRDefault="00513377" w:rsidP="00C411EB">
      <w:pPr>
        <w:rPr>
          <w:b/>
          <w:bCs/>
        </w:rPr>
      </w:pPr>
      <w:r w:rsidRPr="00513377">
        <w:rPr>
          <w:b/>
          <w:bCs/>
        </w:rPr>
        <w:t>new proposals</w:t>
      </w:r>
    </w:p>
    <w:p w14:paraId="4D5CF722" w14:textId="0F11F2B2" w:rsidR="004D61D5" w:rsidRPr="00686080" w:rsidRDefault="005E1CC6" w:rsidP="005E1CC6">
      <w:pPr>
        <w:pStyle w:val="HChG"/>
      </w:pPr>
      <w:r>
        <w:tab/>
      </w:r>
      <w:r>
        <w:tab/>
      </w:r>
      <w:r w:rsidR="004D61D5">
        <w:t xml:space="preserve">Filling of </w:t>
      </w:r>
      <w:r w:rsidR="008B4F2A">
        <w:rPr>
          <w:rFonts w:ascii="TimesNewRomanPSMT" w:hAnsi="TimesNewRomanPSMT" w:cs="TimesNewRomanPSMT"/>
        </w:rPr>
        <w:t>multiple-element gas containers</w:t>
      </w:r>
    </w:p>
    <w:p w14:paraId="0281A34E" w14:textId="77777777" w:rsidR="004D61D5" w:rsidRPr="00B114B6" w:rsidRDefault="004D61D5" w:rsidP="005E1CC6">
      <w:pPr>
        <w:pStyle w:val="H1G"/>
        <w:rPr>
          <w:sz w:val="20"/>
          <w:vertAlign w:val="superscript"/>
        </w:rPr>
      </w:pPr>
      <w:r w:rsidRPr="00B114B6">
        <w:tab/>
      </w:r>
      <w:r w:rsidRPr="00B114B6">
        <w:tab/>
      </w:r>
      <w:r>
        <w:t>Transmitted by the Government of Spain</w:t>
      </w:r>
      <w:r w:rsidRPr="00B114B6">
        <w:rPr>
          <w:rStyle w:val="FootnoteReference"/>
        </w:rPr>
        <w:footnoteReference w:customMarkFollows="1" w:id="2"/>
        <w:t>*</w:t>
      </w:r>
      <w:r w:rsidRPr="00B114B6">
        <w:rPr>
          <w:sz w:val="20"/>
          <w:vertAlign w:val="superscript"/>
        </w:rPr>
        <w:t xml:space="preserve">, </w:t>
      </w:r>
      <w:r w:rsidRPr="00B114B6">
        <w:rPr>
          <w:rStyle w:val="FootnoteReference"/>
          <w:sz w:val="20"/>
        </w:rPr>
        <w:footnoteReference w:customMarkFollows="1" w:id="3"/>
        <w:t>**</w:t>
      </w:r>
    </w:p>
    <w:p w14:paraId="4262938B" w14:textId="5A478FA6" w:rsidR="004D61D5" w:rsidRPr="00B114B6" w:rsidRDefault="004D61D5" w:rsidP="005E1CC6">
      <w:pPr>
        <w:pStyle w:val="HChG"/>
      </w:pPr>
      <w:r w:rsidRPr="00B114B6">
        <w:tab/>
      </w:r>
      <w:r w:rsidRPr="00686080">
        <w:tab/>
        <w:t>Introduction</w:t>
      </w:r>
    </w:p>
    <w:p w14:paraId="5AC31BC8" w14:textId="7B168258" w:rsidR="004D61D5" w:rsidRPr="000C0A10" w:rsidRDefault="004D61D5" w:rsidP="00D32F86">
      <w:pPr>
        <w:pStyle w:val="SingleTxtG"/>
      </w:pPr>
      <w:r w:rsidRPr="000C0A10">
        <w:t>1.</w:t>
      </w:r>
      <w:r w:rsidRPr="000C0A10">
        <w:tab/>
      </w:r>
      <w:r w:rsidR="00894AE5">
        <w:t>Chapter</w:t>
      </w:r>
      <w:r w:rsidR="00894AE5" w:rsidRPr="007479FA">
        <w:t xml:space="preserve"> </w:t>
      </w:r>
      <w:r w:rsidRPr="000C0A10">
        <w:t>4.2 of</w:t>
      </w:r>
      <w:r w:rsidR="0010019E">
        <w:t xml:space="preserve"> </w:t>
      </w:r>
      <w:r w:rsidR="006A2B17">
        <w:t>RID/ADR</w:t>
      </w:r>
      <w:r w:rsidRPr="000C0A10">
        <w:t xml:space="preserve"> specifically mentions the </w:t>
      </w:r>
      <w:r w:rsidRPr="00D32F86">
        <w:t>requirements</w:t>
      </w:r>
      <w:r w:rsidRPr="000C0A10">
        <w:t xml:space="preserve"> for filling multiple element gas containers (MEGCs) in the following paragraphs:</w:t>
      </w:r>
    </w:p>
    <w:p w14:paraId="4804D64B" w14:textId="3B4D16BB" w:rsidR="004D61D5" w:rsidRPr="00BA1AD1" w:rsidRDefault="00F8019C" w:rsidP="000C0A10">
      <w:pPr>
        <w:pStyle w:val="SingleTxtG"/>
        <w:rPr>
          <w:b/>
          <w:bCs/>
        </w:rPr>
      </w:pPr>
      <w:r w:rsidRPr="00931809">
        <w:t>"</w:t>
      </w:r>
      <w:r w:rsidR="004D61D5" w:rsidRPr="00BA1AD1">
        <w:rPr>
          <w:b/>
          <w:bCs/>
        </w:rPr>
        <w:t>4.2.4.5</w:t>
      </w:r>
      <w:r w:rsidR="004D61D5" w:rsidRPr="00BA1AD1">
        <w:rPr>
          <w:b/>
          <w:bCs/>
        </w:rPr>
        <w:tab/>
        <w:t>Filling</w:t>
      </w:r>
    </w:p>
    <w:p w14:paraId="4B7ADBE4" w14:textId="33BA7438" w:rsidR="004D61D5" w:rsidRPr="00815743" w:rsidRDefault="004D61D5" w:rsidP="00E166D8">
      <w:pPr>
        <w:pStyle w:val="SingleTxtG"/>
        <w:ind w:left="2268" w:hanging="1134"/>
      </w:pPr>
      <w:r w:rsidRPr="00815743">
        <w:t>4.2.4.5.1</w:t>
      </w:r>
      <w:r w:rsidRPr="00815743">
        <w:tab/>
        <w:t xml:space="preserve">Prior to filling, the MEGC shall be inspected to ensure that it is authorized for the gas to be carried and that the applicable provisions of </w:t>
      </w:r>
      <w:r w:rsidR="00FB2733">
        <w:rPr>
          <w:rFonts w:cs="Arial"/>
        </w:rPr>
        <w:t>RID/</w:t>
      </w:r>
      <w:r w:rsidRPr="00815743">
        <w:t>ADR have been met.</w:t>
      </w:r>
    </w:p>
    <w:p w14:paraId="537EC734" w14:textId="176DE485" w:rsidR="004D61D5" w:rsidRPr="00815743" w:rsidRDefault="004D61D5" w:rsidP="00E166D8">
      <w:pPr>
        <w:pStyle w:val="SingleTxtG"/>
        <w:ind w:left="2268" w:hanging="1134"/>
      </w:pPr>
      <w:r w:rsidRPr="00580811">
        <w:t>4.2.4.5.2</w:t>
      </w:r>
      <w:r w:rsidRPr="00580811">
        <w:tab/>
        <w:t xml:space="preserve">Elements of MEGCs shall be filled according to the working pressures, filling ratios and filling </w:t>
      </w:r>
      <w:r w:rsidRPr="00815743">
        <w:t>provisions specified in packing instruction P200 of 4.1.4.1 for the specific gas being filled into each element. In no case shall an MEGC or group of elements be filled as a unit in excess of the lowest working pressure of any given element.</w:t>
      </w:r>
    </w:p>
    <w:p w14:paraId="24A35185" w14:textId="476A4BFA" w:rsidR="004D61D5" w:rsidRPr="00697C9C" w:rsidRDefault="004D61D5" w:rsidP="000C0A10">
      <w:pPr>
        <w:pStyle w:val="SingleTxtG"/>
      </w:pPr>
      <w:r w:rsidRPr="00697C9C">
        <w:t>4.2.4.5.3</w:t>
      </w:r>
      <w:r w:rsidRPr="00697C9C">
        <w:tab/>
        <w:t>MEGCs shall not be filled above their maximum permissible gross mass.</w:t>
      </w:r>
      <w:r w:rsidR="00F73D4F">
        <w:t>"</w:t>
      </w:r>
    </w:p>
    <w:p w14:paraId="35BB78F4" w14:textId="7AF63842" w:rsidR="004D61D5" w:rsidRDefault="004D61D5" w:rsidP="00910BB3">
      <w:pPr>
        <w:pStyle w:val="SingleTxtG"/>
      </w:pPr>
      <w:r>
        <w:t>2.</w:t>
      </w:r>
      <w:r>
        <w:tab/>
      </w:r>
      <w:r w:rsidRPr="00A17B92">
        <w:t>These multiple element gas containers referenced in Chapter 4.2 are UN MEGCs.</w:t>
      </w:r>
      <w:r>
        <w:t xml:space="preserve"> Nevertheless, the general requirements of </w:t>
      </w:r>
      <w:r w:rsidR="001B140A">
        <w:rPr>
          <w:rFonts w:cs="Arial"/>
        </w:rPr>
        <w:t xml:space="preserve">Chapter </w:t>
      </w:r>
      <w:r>
        <w:t xml:space="preserve">4.1 and the specific requirements for </w:t>
      </w:r>
      <w:r w:rsidRPr="00A17B92">
        <w:t>other than UN MEGCs</w:t>
      </w:r>
      <w:r>
        <w:t xml:space="preserve"> do not have so detailed requirements for filling MEGCs.</w:t>
      </w:r>
    </w:p>
    <w:p w14:paraId="6E5EFF78" w14:textId="714E157E" w:rsidR="004D61D5" w:rsidRPr="00AC703A" w:rsidRDefault="004D61D5" w:rsidP="00910BB3">
      <w:pPr>
        <w:pStyle w:val="SingleTxtG"/>
      </w:pPr>
      <w:r>
        <w:t>3.</w:t>
      </w:r>
      <w:r>
        <w:tab/>
        <w:t xml:space="preserve">The requirements of 4.2.4.5 should be applicable not only for the filling of </w:t>
      </w:r>
      <w:r w:rsidRPr="00A17B92">
        <w:t>UN MEGCs</w:t>
      </w:r>
      <w:r>
        <w:t xml:space="preserve">, but also for </w:t>
      </w:r>
      <w:r w:rsidRPr="00D71CF1">
        <w:t>other than UN MEGCs</w:t>
      </w:r>
      <w:r>
        <w:t xml:space="preserve">. They are general safety indications that should be applicable for all kinds of MEGCs. </w:t>
      </w:r>
      <w:r w:rsidR="00EE530A">
        <w:rPr>
          <w:rFonts w:cs="Arial"/>
        </w:rPr>
        <w:t>Therefore, Spain considers it necessary to include in</w:t>
      </w:r>
      <w:r w:rsidR="00EE530A" w:rsidRPr="00FB5AE5">
        <w:rPr>
          <w:rFonts w:cs="Arial"/>
        </w:rPr>
        <w:t xml:space="preserve"> </w:t>
      </w:r>
      <w:r w:rsidR="00EE530A">
        <w:rPr>
          <w:rFonts w:cs="Arial"/>
        </w:rPr>
        <w:t xml:space="preserve">Chapter </w:t>
      </w:r>
      <w:r w:rsidR="00EE530A" w:rsidRPr="00FB5AE5">
        <w:rPr>
          <w:rFonts w:cs="Arial"/>
        </w:rPr>
        <w:t>4.3</w:t>
      </w:r>
      <w:r w:rsidR="00EE530A">
        <w:rPr>
          <w:rFonts w:cs="Arial"/>
        </w:rPr>
        <w:t xml:space="preserve"> the requirements included in 4.2.4.5.</w:t>
      </w:r>
      <w:r>
        <w:t>.</w:t>
      </w:r>
    </w:p>
    <w:p w14:paraId="4D7B97E7" w14:textId="4D971C03" w:rsidR="004D61D5" w:rsidRDefault="004D61D5" w:rsidP="0054196B">
      <w:pPr>
        <w:pStyle w:val="HChG"/>
      </w:pPr>
      <w:r w:rsidRPr="00F6122A">
        <w:lastRenderedPageBreak/>
        <w:tab/>
      </w:r>
      <w:r w:rsidRPr="00B114B6">
        <w:t>I.</w:t>
      </w:r>
      <w:r w:rsidRPr="00B114B6">
        <w:tab/>
      </w:r>
      <w:r>
        <w:t>Proposal</w:t>
      </w:r>
    </w:p>
    <w:p w14:paraId="4509A8FA" w14:textId="08EBC022" w:rsidR="004D61D5" w:rsidRPr="00F3615B" w:rsidRDefault="004D61D5" w:rsidP="005228CA">
      <w:pPr>
        <w:pStyle w:val="SingleTxtG"/>
      </w:pPr>
      <w:r>
        <w:t>4.</w:t>
      </w:r>
      <w:r>
        <w:tab/>
      </w:r>
      <w:r w:rsidRPr="00F3615B">
        <w:t>The proposed amendment can be made alternatively by referencing 4.2.4.5</w:t>
      </w:r>
      <w:r>
        <w:t xml:space="preserve"> in Chapter</w:t>
      </w:r>
      <w:r w:rsidR="00E02DEC">
        <w:t> </w:t>
      </w:r>
      <w:r>
        <w:t>4.3</w:t>
      </w:r>
      <w:r w:rsidRPr="00F3615B">
        <w:t xml:space="preserve"> or by including the texts of 4.</w:t>
      </w:r>
      <w:r>
        <w:t>2</w:t>
      </w:r>
      <w:r w:rsidRPr="00F3615B">
        <w:t xml:space="preserve">.4.5 into the relevant provisions of </w:t>
      </w:r>
      <w:r>
        <w:t>C</w:t>
      </w:r>
      <w:r w:rsidRPr="00F3615B">
        <w:t>hapter 4.3.</w:t>
      </w:r>
    </w:p>
    <w:p w14:paraId="2023F181" w14:textId="77777777" w:rsidR="004D61D5" w:rsidRDefault="004D61D5" w:rsidP="005228CA">
      <w:pPr>
        <w:pStyle w:val="SingleTxtG"/>
        <w:rPr>
          <w:b/>
          <w:bCs/>
          <w:u w:val="single"/>
        </w:rPr>
      </w:pPr>
      <w:r w:rsidRPr="00A863D1">
        <w:rPr>
          <w:b/>
          <w:bCs/>
          <w:u w:val="single"/>
        </w:rPr>
        <w:t>Alternative 1</w:t>
      </w:r>
    </w:p>
    <w:p w14:paraId="4AD87EDD" w14:textId="21C07CA7" w:rsidR="004D61D5" w:rsidRPr="00F3615B" w:rsidRDefault="004D61D5" w:rsidP="005228CA">
      <w:pPr>
        <w:pStyle w:val="SingleTxtG"/>
      </w:pPr>
      <w:r>
        <w:t>5.</w:t>
      </w:r>
      <w:r>
        <w:tab/>
      </w:r>
      <w:r w:rsidRPr="00F3615B">
        <w:t>Include a new 4.3.3.2.5 as follows:</w:t>
      </w:r>
    </w:p>
    <w:p w14:paraId="2E576B43" w14:textId="33D92B0B" w:rsidR="00451E25" w:rsidRDefault="00140A53" w:rsidP="005228CA">
      <w:pPr>
        <w:pStyle w:val="SingleTxtG"/>
        <w:rPr>
          <w:bCs/>
        </w:rPr>
      </w:pPr>
      <w:r>
        <w:rPr>
          <w:bCs/>
        </w:rPr>
        <w:t>"</w:t>
      </w:r>
      <w:r w:rsidR="00A16DB8" w:rsidRPr="00931809">
        <w:rPr>
          <w:bCs/>
        </w:rPr>
        <w:t>4.3.3.2.5</w:t>
      </w:r>
      <w:r w:rsidR="00A16DB8">
        <w:rPr>
          <w:bCs/>
        </w:rPr>
        <w:tab/>
      </w:r>
      <w:r w:rsidR="00A16DB8" w:rsidRPr="00931809">
        <w:rPr>
          <w:bCs/>
        </w:rPr>
        <w:t>The MEGCs shall be filled in accord</w:t>
      </w:r>
      <w:r w:rsidR="00A16DB8">
        <w:rPr>
          <w:bCs/>
        </w:rPr>
        <w:t>ance with</w:t>
      </w:r>
      <w:r w:rsidR="00A16DB8" w:rsidRPr="00931809">
        <w:rPr>
          <w:bCs/>
        </w:rPr>
        <w:t xml:space="preserve"> 4.2.4.5.</w:t>
      </w:r>
      <w:r>
        <w:rPr>
          <w:bCs/>
        </w:rPr>
        <w:t>"</w:t>
      </w:r>
    </w:p>
    <w:p w14:paraId="269AE06C" w14:textId="19034AC0" w:rsidR="004D61D5" w:rsidRDefault="004D61D5" w:rsidP="005228CA">
      <w:pPr>
        <w:pStyle w:val="SingleTxtG"/>
        <w:rPr>
          <w:b/>
          <w:bCs/>
          <w:u w:val="single"/>
        </w:rPr>
      </w:pPr>
      <w:r w:rsidRPr="00A863D1">
        <w:rPr>
          <w:b/>
          <w:bCs/>
          <w:u w:val="single"/>
        </w:rPr>
        <w:t>Alternative 2</w:t>
      </w:r>
    </w:p>
    <w:p w14:paraId="066283D3" w14:textId="3EA3E42F" w:rsidR="004D61D5" w:rsidRPr="00F3615B" w:rsidRDefault="004D61D5" w:rsidP="005228CA">
      <w:pPr>
        <w:pStyle w:val="SingleTxtG"/>
      </w:pPr>
      <w:r>
        <w:t>6.</w:t>
      </w:r>
      <w:r>
        <w:tab/>
      </w:r>
      <w:r w:rsidR="008C2ECA" w:rsidRPr="00F3615B">
        <w:rPr>
          <w:rFonts w:cs="Arial"/>
        </w:rPr>
        <w:t>Include a new 4.3.3.2.5 as follows</w:t>
      </w:r>
      <w:r w:rsidR="008C2ECA">
        <w:rPr>
          <w:rFonts w:cs="Arial"/>
        </w:rPr>
        <w:t xml:space="preserve"> (same text as in 4.2.4.5.1-4.2.4.5.3)</w:t>
      </w:r>
      <w:r w:rsidR="008C2ECA" w:rsidRPr="00F3615B">
        <w:rPr>
          <w:rFonts w:cs="Arial"/>
        </w:rPr>
        <w:t>:</w:t>
      </w:r>
    </w:p>
    <w:p w14:paraId="486FFF86" w14:textId="3075B7DE" w:rsidR="00F40703" w:rsidRPr="00931809" w:rsidRDefault="00F40703" w:rsidP="00931809">
      <w:pPr>
        <w:pStyle w:val="ListParagraph"/>
        <w:ind w:left="1134" w:right="1134"/>
        <w:jc w:val="both"/>
        <w:rPr>
          <w:rFonts w:cs="Arial"/>
          <w:bCs/>
        </w:rPr>
      </w:pPr>
      <w:r>
        <w:rPr>
          <w:bCs/>
        </w:rPr>
        <w:t>"</w:t>
      </w:r>
      <w:r w:rsidRPr="00931809">
        <w:rPr>
          <w:bCs/>
        </w:rPr>
        <w:t>4.3.3.2.5</w:t>
      </w:r>
      <w:r w:rsidRPr="00931809">
        <w:rPr>
          <w:bCs/>
        </w:rPr>
        <w:tab/>
        <w:t xml:space="preserve">Prior to filling, the MEGC shall be inspected to ensure that it is authorized for the gas to be carried and that the applicable provisions of </w:t>
      </w:r>
      <w:r>
        <w:rPr>
          <w:bCs/>
        </w:rPr>
        <w:t>RID/</w:t>
      </w:r>
      <w:r w:rsidRPr="00931809">
        <w:rPr>
          <w:bCs/>
        </w:rPr>
        <w:t xml:space="preserve">ADR have been met. </w:t>
      </w:r>
      <w:r w:rsidRPr="00931809">
        <w:rPr>
          <w:rFonts w:cs="Arial"/>
          <w:bCs/>
        </w:rPr>
        <w:t>Elements of MEGCs shall be filled according to the working pressures, filling ratios and filling provisions specified in packing instruction P200 of 4.1.4.1 for the specific gas being filled into each element. In no case shall an MEGC or group of elements be filled as a unit in excess of the lowest working pressure of any given element. MEGCs shall not be filled above their maximum permissible gross mass.</w:t>
      </w:r>
      <w:r>
        <w:rPr>
          <w:bCs/>
        </w:rPr>
        <w:t>"</w:t>
      </w:r>
    </w:p>
    <w:p w14:paraId="018F9966" w14:textId="1C332C15" w:rsidR="004D61D5" w:rsidRPr="00E664D8" w:rsidRDefault="004D61D5" w:rsidP="005228CA">
      <w:pPr>
        <w:pStyle w:val="HChG"/>
      </w:pPr>
      <w:r>
        <w:tab/>
        <w:t>II</w:t>
      </w:r>
      <w:r w:rsidR="009843E0">
        <w:t>.</w:t>
      </w:r>
      <w:r w:rsidR="005228CA">
        <w:tab/>
      </w:r>
      <w:r w:rsidRPr="005228CA">
        <w:t>Consequential</w:t>
      </w:r>
      <w:r w:rsidRPr="00E664D8">
        <w:t xml:space="preserve"> amendments</w:t>
      </w:r>
    </w:p>
    <w:p w14:paraId="2CA61280" w14:textId="2F1B7C7E" w:rsidR="009B042A" w:rsidRDefault="009B042A" w:rsidP="00D32F86">
      <w:pPr>
        <w:pStyle w:val="SingleTxtG"/>
      </w:pPr>
      <w:r>
        <w:t>7.</w:t>
      </w:r>
      <w:r>
        <w:tab/>
      </w:r>
      <w:r w:rsidRPr="00F3615B">
        <w:t xml:space="preserve">Renumber </w:t>
      </w:r>
      <w:r>
        <w:t xml:space="preserve">current 4.3.3.2.5 as </w:t>
      </w:r>
      <w:r w:rsidRPr="00F3615B">
        <w:t>4.3.3.2.</w:t>
      </w:r>
      <w:r>
        <w:t>6.</w:t>
      </w:r>
    </w:p>
    <w:p w14:paraId="4F373423" w14:textId="249CDE95" w:rsidR="009B042A" w:rsidRDefault="009B042A" w:rsidP="00D32F86">
      <w:pPr>
        <w:pStyle w:val="SingleTxtG"/>
      </w:pPr>
      <w:r>
        <w:t>8.</w:t>
      </w:r>
      <w:r>
        <w:tab/>
      </w:r>
      <w:r w:rsidR="005E52DF">
        <w:rPr>
          <w:rFonts w:cs="Arial"/>
        </w:rPr>
        <w:t>Amend</w:t>
      </w:r>
      <w:r w:rsidR="008418BE">
        <w:rPr>
          <w:rFonts w:cs="Arial"/>
        </w:rPr>
        <w:t xml:space="preserve"> 4.3.3</w:t>
      </w:r>
      <w:r w:rsidR="0012501A">
        <w:rPr>
          <w:rFonts w:cs="Arial"/>
        </w:rPr>
        <w:t xml:space="preserve">.1.1, </w:t>
      </w:r>
      <w:r w:rsidR="0012501A" w:rsidRPr="00CF241E">
        <w:t>6.8.2.4.1</w:t>
      </w:r>
      <w:r w:rsidR="003227F6">
        <w:t xml:space="preserve"> </w:t>
      </w:r>
      <w:r w:rsidR="0012501A">
        <w:t>and 6.8.3.4.2</w:t>
      </w:r>
      <w:r w:rsidR="006B14FC">
        <w:t xml:space="preserve"> as follows</w:t>
      </w:r>
      <w:r w:rsidR="000B2AE7">
        <w:rPr>
          <w:rFonts w:cs="Arial"/>
        </w:rPr>
        <w:t>:</w:t>
      </w:r>
    </w:p>
    <w:p w14:paraId="581072B9" w14:textId="5A9D14DA" w:rsidR="009B042A" w:rsidRPr="0011642D" w:rsidRDefault="006B14FC" w:rsidP="00306F73">
      <w:pPr>
        <w:pStyle w:val="SingleTxtG"/>
        <w:rPr>
          <w:lang w:val="de-DE"/>
        </w:rPr>
      </w:pPr>
      <w:r>
        <w:rPr>
          <w:bCs/>
        </w:rPr>
        <w:t>"</w:t>
      </w:r>
      <w:r w:rsidR="009B042A" w:rsidRPr="00931809">
        <w:rPr>
          <w:u w:val="single"/>
          <w:lang w:val="en-US"/>
        </w:rPr>
        <w:t>4.</w:t>
      </w:r>
      <w:r w:rsidR="009B042A" w:rsidRPr="00931809">
        <w:rPr>
          <w:lang w:val="en-US"/>
        </w:rPr>
        <w:t>3.3.1.1</w:t>
      </w:r>
      <w:r>
        <w:rPr>
          <w:lang w:val="en-US"/>
        </w:rPr>
        <w:tab/>
      </w:r>
      <w:r w:rsidR="009B042A" w:rsidRPr="00931809">
        <w:rPr>
          <w:lang w:val="en-US"/>
        </w:rPr>
        <w:t>In the table, in row "2 Calculation pressure", in column "Tank Code", in the explanation of "x"</w:t>
      </w:r>
      <w:r w:rsidR="009B042A">
        <w:rPr>
          <w:lang w:val="en-US"/>
        </w:rPr>
        <w:t>, replace</w:t>
      </w:r>
      <w:r w:rsidR="009B042A" w:rsidRPr="00931809">
        <w:rPr>
          <w:lang w:val="en-US"/>
        </w:rPr>
        <w:t xml:space="preserve"> "4.3.2.2.5" </w:t>
      </w:r>
      <w:r w:rsidR="009B042A">
        <w:rPr>
          <w:lang w:val="en-US"/>
        </w:rPr>
        <w:t>by</w:t>
      </w:r>
      <w:r w:rsidR="003D2737">
        <w:rPr>
          <w:lang w:val="de-DE"/>
        </w:rPr>
        <w:t xml:space="preserve"> </w:t>
      </w:r>
      <w:r w:rsidR="009B042A" w:rsidRPr="0011642D">
        <w:rPr>
          <w:lang w:val="de-DE"/>
        </w:rPr>
        <w:t>"4.3.2.2.6".</w:t>
      </w:r>
    </w:p>
    <w:p w14:paraId="74349B0A" w14:textId="5FE7193A" w:rsidR="009B042A" w:rsidRPr="00CF241E" w:rsidRDefault="009B042A" w:rsidP="003D2737">
      <w:pPr>
        <w:pStyle w:val="SingleTxtG"/>
        <w:rPr>
          <w:b/>
          <w:bCs/>
        </w:rPr>
      </w:pPr>
      <w:r w:rsidRPr="00CF241E">
        <w:t>6.8.2.4.1</w:t>
      </w:r>
      <w:r w:rsidR="003227F6">
        <w:tab/>
      </w:r>
      <w:r>
        <w:t>In the sentence after the table, replace "4.3.3.2.5" by</w:t>
      </w:r>
      <w:r w:rsidR="003D2737">
        <w:t xml:space="preserve"> </w:t>
      </w:r>
      <w:r>
        <w:t>"4.3.3.2.6".</w:t>
      </w:r>
    </w:p>
    <w:p w14:paraId="7888EF0B" w14:textId="19248B16" w:rsidR="009B042A" w:rsidRDefault="009B042A" w:rsidP="003D2737">
      <w:pPr>
        <w:pStyle w:val="SingleTxtG"/>
      </w:pPr>
      <w:r>
        <w:t>6.8.3.4.2</w:t>
      </w:r>
      <w:r w:rsidR="003227F6">
        <w:tab/>
      </w:r>
      <w:r>
        <w:t>Replace "4.3.3.2.5" by</w:t>
      </w:r>
      <w:r w:rsidR="003D2737">
        <w:t xml:space="preserve"> </w:t>
      </w:r>
      <w:r>
        <w:t>"4.3.3.2.6".</w:t>
      </w:r>
      <w:r w:rsidR="006B14FC">
        <w:rPr>
          <w:bCs/>
        </w:rPr>
        <w:t>"</w:t>
      </w:r>
    </w:p>
    <w:p w14:paraId="012ED831" w14:textId="2FB795E0" w:rsidR="004D61D5" w:rsidRDefault="004D61D5" w:rsidP="009843E0">
      <w:pPr>
        <w:pStyle w:val="HChG"/>
      </w:pPr>
      <w:r>
        <w:tab/>
      </w:r>
      <w:r w:rsidR="009843E0">
        <w:t>III</w:t>
      </w:r>
      <w:r w:rsidRPr="00B114B6">
        <w:t>.</w:t>
      </w:r>
      <w:r w:rsidRPr="00B114B6">
        <w:tab/>
      </w:r>
      <w:r w:rsidRPr="009843E0">
        <w:t>Justification</w:t>
      </w:r>
    </w:p>
    <w:p w14:paraId="7D287E1A" w14:textId="06C251EC" w:rsidR="004D61D5" w:rsidRDefault="004D61D5" w:rsidP="009843E0">
      <w:pPr>
        <w:pStyle w:val="SingleTxtG"/>
      </w:pPr>
      <w:r>
        <w:t>9.</w:t>
      </w:r>
      <w:r>
        <w:tab/>
      </w:r>
      <w:r w:rsidRPr="006A0434">
        <w:t xml:space="preserve">The objective of this proposal is to add the necessary </w:t>
      </w:r>
      <w:r>
        <w:t>requirements</w:t>
      </w:r>
      <w:r w:rsidRPr="006A0434">
        <w:t xml:space="preserve"> for the filling of </w:t>
      </w:r>
      <w:r w:rsidR="005C4E2E" w:rsidRPr="006A0434">
        <w:rPr>
          <w:rFonts w:cs="Arial"/>
        </w:rPr>
        <w:t xml:space="preserve">MEGCs in </w:t>
      </w:r>
      <w:r w:rsidR="005C4E2E">
        <w:rPr>
          <w:rFonts w:cs="Arial"/>
        </w:rPr>
        <w:t>C</w:t>
      </w:r>
      <w:r w:rsidR="005C4E2E" w:rsidRPr="006A0434">
        <w:rPr>
          <w:rFonts w:cs="Arial"/>
        </w:rPr>
        <w:t>hapter 4.3</w:t>
      </w:r>
      <w:r w:rsidRPr="006A0434">
        <w:t>.</w:t>
      </w:r>
    </w:p>
    <w:p w14:paraId="1F8D8BC8" w14:textId="68253F8E" w:rsidR="004D61D5" w:rsidRDefault="004D61D5" w:rsidP="009843E0">
      <w:pPr>
        <w:pStyle w:val="SingleTxtG"/>
      </w:pPr>
      <w:r>
        <w:t>10.</w:t>
      </w:r>
      <w:r>
        <w:tab/>
      </w:r>
      <w:r w:rsidRPr="005F13CC">
        <w:t>Ensuring a more systematic approach and a better rationale in RID/ADR helps to develop clearer legal texts and avoid different criteria among different Contracting Parties/</w:t>
      </w:r>
      <w:r w:rsidR="002A28D4" w:rsidRPr="002A28D4">
        <w:rPr>
          <w:rFonts w:cs="Arial"/>
        </w:rPr>
        <w:t xml:space="preserve"> </w:t>
      </w:r>
      <w:r w:rsidR="002A28D4">
        <w:rPr>
          <w:rFonts w:cs="Arial"/>
        </w:rPr>
        <w:t xml:space="preserve">Contracting </w:t>
      </w:r>
      <w:r w:rsidRPr="005F13CC">
        <w:t>States and inspection services, and thus helps to implement the United Nations Sustainable Development Goal number 16: Peace, justice and strong institutions.</w:t>
      </w:r>
    </w:p>
    <w:p w14:paraId="4AE11D41" w14:textId="7FBCD404" w:rsidR="004D61D5" w:rsidRDefault="004D61D5" w:rsidP="009843E0">
      <w:pPr>
        <w:pStyle w:val="SingleTxtG"/>
      </w:pPr>
      <w:r>
        <w:t>11.</w:t>
      </w:r>
      <w:r>
        <w:tab/>
      </w:r>
      <w:r w:rsidRPr="00F06D81">
        <w:t xml:space="preserve">The application of transport of dangerous goods regulations based on </w:t>
      </w:r>
      <w:r w:rsidR="002046F0">
        <w:rPr>
          <w:rFonts w:cs="Arial"/>
        </w:rPr>
        <w:t xml:space="preserve">the </w:t>
      </w:r>
      <w:r w:rsidRPr="00F06D81">
        <w:t xml:space="preserve">Model Regulations, such as developed by </w:t>
      </w:r>
      <w:r w:rsidR="00F75B1D">
        <w:rPr>
          <w:rFonts w:cs="Arial"/>
        </w:rPr>
        <w:t xml:space="preserve">the </w:t>
      </w:r>
      <w:r>
        <w:t>Joint Meeting</w:t>
      </w:r>
      <w:r w:rsidRPr="00F06D81">
        <w:t xml:space="preserve"> ensures transport safety. Therefore companies, countries, workers and consumers </w:t>
      </w:r>
      <w:r>
        <w:t xml:space="preserve">can rely on a safe availability of </w:t>
      </w:r>
      <w:r w:rsidRPr="00F06D81">
        <w:t xml:space="preserve">the products they import, produce, handle, transport or use, </w:t>
      </w:r>
      <w:r>
        <w:t>contributing to maintaining</w:t>
      </w:r>
      <w:r w:rsidRPr="00F06D81">
        <w:t xml:space="preserve"> their physical health and </w:t>
      </w:r>
      <w:r>
        <w:t xml:space="preserve">reducing </w:t>
      </w:r>
      <w:r w:rsidRPr="00F06D81">
        <w:t xml:space="preserve">environmental hazards throughout the life cycle </w:t>
      </w:r>
      <w:r>
        <w:t xml:space="preserve">of the products, contributing </w:t>
      </w:r>
      <w:r w:rsidRPr="00F06D81">
        <w:t>to the implementation of the UN Sustainable Development Goal number 3: Health and well-being.</w:t>
      </w:r>
    </w:p>
    <w:p w14:paraId="665DB220" w14:textId="2535250B" w:rsidR="00513377" w:rsidRPr="009843E0" w:rsidRDefault="009843E0" w:rsidP="009843E0">
      <w:pPr>
        <w:spacing w:before="240"/>
        <w:jc w:val="center"/>
        <w:rPr>
          <w:u w:val="single"/>
        </w:rPr>
      </w:pPr>
      <w:r>
        <w:rPr>
          <w:u w:val="single"/>
        </w:rPr>
        <w:tab/>
      </w:r>
      <w:r>
        <w:rPr>
          <w:u w:val="single"/>
        </w:rPr>
        <w:tab/>
      </w:r>
      <w:r>
        <w:rPr>
          <w:u w:val="single"/>
        </w:rPr>
        <w:tab/>
      </w:r>
    </w:p>
    <w:sectPr w:rsidR="00513377" w:rsidRPr="009843E0" w:rsidSect="000300C6">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80A3" w14:textId="77777777" w:rsidR="00A84C42" w:rsidRDefault="00A84C42"/>
  </w:endnote>
  <w:endnote w:type="continuationSeparator" w:id="0">
    <w:p w14:paraId="172300FF" w14:textId="77777777" w:rsidR="00A84C42" w:rsidRDefault="00A84C42"/>
  </w:endnote>
  <w:endnote w:type="continuationNotice" w:id="1">
    <w:p w14:paraId="0DB2E19B" w14:textId="77777777" w:rsidR="00A84C42" w:rsidRDefault="00A84C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382A" w14:textId="1858548F" w:rsidR="000300C6" w:rsidRPr="000300C6" w:rsidRDefault="000300C6" w:rsidP="000300C6">
    <w:pPr>
      <w:pStyle w:val="Footer"/>
      <w:tabs>
        <w:tab w:val="right" w:pos="9638"/>
      </w:tabs>
      <w:rPr>
        <w:sz w:val="18"/>
      </w:rPr>
    </w:pPr>
    <w:r w:rsidRPr="000300C6">
      <w:rPr>
        <w:b/>
        <w:sz w:val="18"/>
      </w:rPr>
      <w:fldChar w:fldCharType="begin"/>
    </w:r>
    <w:r w:rsidRPr="000300C6">
      <w:rPr>
        <w:b/>
        <w:sz w:val="18"/>
      </w:rPr>
      <w:instrText xml:space="preserve"> PAGE  \* MERGEFORMAT </w:instrText>
    </w:r>
    <w:r w:rsidRPr="000300C6">
      <w:rPr>
        <w:b/>
        <w:sz w:val="18"/>
      </w:rPr>
      <w:fldChar w:fldCharType="separate"/>
    </w:r>
    <w:r w:rsidRPr="000300C6">
      <w:rPr>
        <w:b/>
        <w:noProof/>
        <w:sz w:val="18"/>
      </w:rPr>
      <w:t>2</w:t>
    </w:r>
    <w:r w:rsidRPr="000300C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C1DE3" w14:textId="219F27B5" w:rsidR="000300C6" w:rsidRPr="000300C6" w:rsidRDefault="000300C6" w:rsidP="000300C6">
    <w:pPr>
      <w:pStyle w:val="Footer"/>
      <w:tabs>
        <w:tab w:val="right" w:pos="9638"/>
      </w:tabs>
      <w:rPr>
        <w:b/>
        <w:sz w:val="18"/>
      </w:rPr>
    </w:pPr>
    <w:r>
      <w:tab/>
    </w:r>
    <w:r w:rsidRPr="000300C6">
      <w:rPr>
        <w:b/>
        <w:sz w:val="18"/>
      </w:rPr>
      <w:fldChar w:fldCharType="begin"/>
    </w:r>
    <w:r w:rsidRPr="000300C6">
      <w:rPr>
        <w:b/>
        <w:sz w:val="18"/>
      </w:rPr>
      <w:instrText xml:space="preserve"> PAGE  \* MERGEFORMAT </w:instrText>
    </w:r>
    <w:r w:rsidRPr="000300C6">
      <w:rPr>
        <w:b/>
        <w:sz w:val="18"/>
      </w:rPr>
      <w:fldChar w:fldCharType="separate"/>
    </w:r>
    <w:r w:rsidRPr="000300C6">
      <w:rPr>
        <w:b/>
        <w:noProof/>
        <w:sz w:val="18"/>
      </w:rPr>
      <w:t>3</w:t>
    </w:r>
    <w:r w:rsidRPr="000300C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961E" w14:textId="47824A9A" w:rsidR="0035223F" w:rsidRDefault="0052699C" w:rsidP="0052699C">
    <w:pPr>
      <w:pStyle w:val="Footer"/>
      <w:rPr>
        <w:sz w:val="20"/>
      </w:rPr>
    </w:pPr>
    <w:r w:rsidRPr="0052699C">
      <w:rPr>
        <w:noProof/>
        <w:sz w:val="20"/>
        <w:lang w:val="en-US"/>
      </w:rPr>
      <w:drawing>
        <wp:anchor distT="0" distB="0" distL="114300" distR="114300" simplePos="0" relativeHeight="251660288" behindDoc="0" locked="1" layoutInCell="1" allowOverlap="1" wp14:anchorId="7694D7BE" wp14:editId="472594A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FB41BA1" w14:textId="7E43D0C7" w:rsidR="0052699C" w:rsidRPr="0052699C" w:rsidRDefault="0052699C" w:rsidP="0052699C">
    <w:pPr>
      <w:pStyle w:val="Footer"/>
      <w:ind w:right="1134"/>
      <w:rPr>
        <w:sz w:val="20"/>
      </w:rPr>
    </w:pPr>
    <w:r>
      <w:rPr>
        <w:sz w:val="20"/>
      </w:rPr>
      <w:t>GE.23-25221(E)</w:t>
    </w:r>
    <w:r>
      <w:rPr>
        <w:noProof/>
        <w:sz w:val="20"/>
      </w:rPr>
      <w:drawing>
        <wp:anchor distT="0" distB="0" distL="114300" distR="114300" simplePos="0" relativeHeight="251661312" behindDoc="0" locked="0" layoutInCell="1" allowOverlap="1" wp14:anchorId="53BD9D04" wp14:editId="1065FD8B">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38924" w14:textId="77777777" w:rsidR="00A84C42" w:rsidRPr="000B175B" w:rsidRDefault="00A84C42" w:rsidP="000B175B">
      <w:pPr>
        <w:tabs>
          <w:tab w:val="right" w:pos="2155"/>
        </w:tabs>
        <w:spacing w:after="80"/>
        <w:ind w:left="680"/>
        <w:rPr>
          <w:u w:val="single"/>
        </w:rPr>
      </w:pPr>
      <w:r>
        <w:rPr>
          <w:u w:val="single"/>
        </w:rPr>
        <w:tab/>
      </w:r>
    </w:p>
  </w:footnote>
  <w:footnote w:type="continuationSeparator" w:id="0">
    <w:p w14:paraId="2FB4D679" w14:textId="77777777" w:rsidR="00A84C42" w:rsidRPr="00FC68B7" w:rsidRDefault="00A84C42" w:rsidP="00FC68B7">
      <w:pPr>
        <w:tabs>
          <w:tab w:val="left" w:pos="2155"/>
        </w:tabs>
        <w:spacing w:after="80"/>
        <w:ind w:left="680"/>
        <w:rPr>
          <w:u w:val="single"/>
        </w:rPr>
      </w:pPr>
      <w:r>
        <w:rPr>
          <w:u w:val="single"/>
        </w:rPr>
        <w:tab/>
      </w:r>
    </w:p>
  </w:footnote>
  <w:footnote w:type="continuationNotice" w:id="1">
    <w:p w14:paraId="2FE21632" w14:textId="77777777" w:rsidR="00A84C42" w:rsidRDefault="00A84C42"/>
  </w:footnote>
  <w:footnote w:id="2">
    <w:p w14:paraId="392C289F" w14:textId="5FDF8CDF" w:rsidR="004D61D5" w:rsidRPr="006774FA" w:rsidRDefault="004D61D5" w:rsidP="00087E63">
      <w:pPr>
        <w:pStyle w:val="FootnoteText"/>
      </w:pPr>
      <w:r w:rsidRPr="006774FA">
        <w:tab/>
      </w:r>
      <w:r w:rsidRPr="006774FA">
        <w:rPr>
          <w:rStyle w:val="FootnoteReference"/>
        </w:rPr>
        <w:t>*</w:t>
      </w:r>
      <w:r w:rsidRPr="006774FA">
        <w:tab/>
      </w:r>
      <w:r w:rsidR="00C22135" w:rsidRPr="00C22135">
        <w:t>A/78/6 (Sect. 20), table 20.5</w:t>
      </w:r>
      <w:r>
        <w:t>.</w:t>
      </w:r>
    </w:p>
  </w:footnote>
  <w:footnote w:id="3">
    <w:p w14:paraId="6E1F25B7" w14:textId="4ADC77DD" w:rsidR="004D61D5" w:rsidRPr="006774FA" w:rsidRDefault="004D61D5" w:rsidP="00087E63">
      <w:pPr>
        <w:pStyle w:val="FootnoteText"/>
      </w:pPr>
      <w:r w:rsidRPr="006774FA">
        <w:rPr>
          <w:sz w:val="20"/>
        </w:rPr>
        <w:tab/>
      </w:r>
      <w:r w:rsidRPr="006774FA">
        <w:rPr>
          <w:rStyle w:val="FootnoteReference"/>
          <w:sz w:val="20"/>
        </w:rPr>
        <w:t>**</w:t>
      </w:r>
      <w:r w:rsidRPr="006774FA">
        <w:tab/>
      </w:r>
      <w:r w:rsidRPr="00733EF5">
        <w:t xml:space="preserve">Circulated by the </w:t>
      </w:r>
      <w:r w:rsidRPr="00087E63">
        <w:t>Intergovernmental</w:t>
      </w:r>
      <w:r w:rsidRPr="00733EF5">
        <w:t xml:space="preserve"> Organisation for International Carriage by Rail (OTIF) under the symbol OTIF/RID/RC/20</w:t>
      </w:r>
      <w:r>
        <w:t>2</w:t>
      </w:r>
      <w:r w:rsidR="00C22135">
        <w:t>4</w:t>
      </w:r>
      <w:r w:rsidRPr="00733EF5">
        <w:t>/</w:t>
      </w:r>
      <w:r>
        <w:t>2</w:t>
      </w:r>
      <w:r w:rsidRPr="00733EF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E03E2" w14:textId="433B72E5" w:rsidR="000300C6" w:rsidRPr="000300C6" w:rsidRDefault="002343C6">
    <w:pPr>
      <w:pStyle w:val="Header"/>
    </w:pPr>
    <w:r>
      <w:fldChar w:fldCharType="begin"/>
    </w:r>
    <w:r>
      <w:instrText xml:space="preserve"> TITLE  \* MERGEFORMAT </w:instrText>
    </w:r>
    <w:r>
      <w:fldChar w:fldCharType="separate"/>
    </w:r>
    <w:r w:rsidR="000300C6">
      <w:t>ECE/TRANS/WP.15/AC.1/2024/2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15DE" w14:textId="76185D10" w:rsidR="000300C6" w:rsidRPr="000300C6" w:rsidRDefault="002343C6" w:rsidP="000300C6">
    <w:pPr>
      <w:pStyle w:val="Header"/>
      <w:jc w:val="right"/>
    </w:pPr>
    <w:r>
      <w:fldChar w:fldCharType="begin"/>
    </w:r>
    <w:r>
      <w:instrText xml:space="preserve"> TITLE  \* MERGEFORMAT </w:instrText>
    </w:r>
    <w:r>
      <w:fldChar w:fldCharType="separate"/>
    </w:r>
    <w:r w:rsidR="000300C6">
      <w:t>ECE/TRANS/WP.15/AC.1/2024/2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85002614">
    <w:abstractNumId w:val="1"/>
  </w:num>
  <w:num w:numId="2" w16cid:durableId="528952413">
    <w:abstractNumId w:val="0"/>
  </w:num>
  <w:num w:numId="3" w16cid:durableId="940718875">
    <w:abstractNumId w:val="2"/>
  </w:num>
  <w:num w:numId="4" w16cid:durableId="40834642">
    <w:abstractNumId w:val="3"/>
  </w:num>
  <w:num w:numId="5" w16cid:durableId="1503933414">
    <w:abstractNumId w:val="8"/>
  </w:num>
  <w:num w:numId="6" w16cid:durableId="1513375902">
    <w:abstractNumId w:val="9"/>
  </w:num>
  <w:num w:numId="7" w16cid:durableId="1314875953">
    <w:abstractNumId w:val="7"/>
  </w:num>
  <w:num w:numId="8" w16cid:durableId="1332488104">
    <w:abstractNumId w:val="6"/>
  </w:num>
  <w:num w:numId="9" w16cid:durableId="1450973413">
    <w:abstractNumId w:val="5"/>
  </w:num>
  <w:num w:numId="10" w16cid:durableId="783426086">
    <w:abstractNumId w:val="4"/>
  </w:num>
  <w:num w:numId="11" w16cid:durableId="1157526800">
    <w:abstractNumId w:val="15"/>
  </w:num>
  <w:num w:numId="12" w16cid:durableId="1410038235">
    <w:abstractNumId w:val="14"/>
  </w:num>
  <w:num w:numId="13" w16cid:durableId="1594587671">
    <w:abstractNumId w:val="10"/>
  </w:num>
  <w:num w:numId="14" w16cid:durableId="1896236635">
    <w:abstractNumId w:val="12"/>
  </w:num>
  <w:num w:numId="15" w16cid:durableId="1189027901">
    <w:abstractNumId w:val="16"/>
  </w:num>
  <w:num w:numId="16" w16cid:durableId="337001599">
    <w:abstractNumId w:val="13"/>
  </w:num>
  <w:num w:numId="17" w16cid:durableId="590310499">
    <w:abstractNumId w:val="17"/>
  </w:num>
  <w:num w:numId="18" w16cid:durableId="224880971">
    <w:abstractNumId w:val="18"/>
  </w:num>
  <w:num w:numId="19" w16cid:durableId="2102412469">
    <w:abstractNumId w:val="11"/>
  </w:num>
  <w:num w:numId="20" w16cid:durableId="195829208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0C6"/>
    <w:rsid w:val="00002A7D"/>
    <w:rsid w:val="000038A8"/>
    <w:rsid w:val="00006790"/>
    <w:rsid w:val="00027624"/>
    <w:rsid w:val="000300C6"/>
    <w:rsid w:val="00050F6B"/>
    <w:rsid w:val="000678CD"/>
    <w:rsid w:val="00072C8C"/>
    <w:rsid w:val="00081CE0"/>
    <w:rsid w:val="00084D30"/>
    <w:rsid w:val="00087E63"/>
    <w:rsid w:val="00090320"/>
    <w:rsid w:val="000931C0"/>
    <w:rsid w:val="0009732C"/>
    <w:rsid w:val="000A01F9"/>
    <w:rsid w:val="000A2E09"/>
    <w:rsid w:val="000B175B"/>
    <w:rsid w:val="000B2AE7"/>
    <w:rsid w:val="000B3A0F"/>
    <w:rsid w:val="000C0A10"/>
    <w:rsid w:val="000E0415"/>
    <w:rsid w:val="000F4C2C"/>
    <w:rsid w:val="000F7715"/>
    <w:rsid w:val="0010019E"/>
    <w:rsid w:val="0012501A"/>
    <w:rsid w:val="00140A53"/>
    <w:rsid w:val="00156B99"/>
    <w:rsid w:val="00166124"/>
    <w:rsid w:val="00174449"/>
    <w:rsid w:val="00184DDA"/>
    <w:rsid w:val="001900CD"/>
    <w:rsid w:val="001A0452"/>
    <w:rsid w:val="001B140A"/>
    <w:rsid w:val="001B4B04"/>
    <w:rsid w:val="001B5875"/>
    <w:rsid w:val="001C4B9C"/>
    <w:rsid w:val="001C6663"/>
    <w:rsid w:val="001C7895"/>
    <w:rsid w:val="001D26DF"/>
    <w:rsid w:val="001D28CC"/>
    <w:rsid w:val="001E555D"/>
    <w:rsid w:val="001F1599"/>
    <w:rsid w:val="001F19C4"/>
    <w:rsid w:val="002043F0"/>
    <w:rsid w:val="002046F0"/>
    <w:rsid w:val="00211E0B"/>
    <w:rsid w:val="00215931"/>
    <w:rsid w:val="00232575"/>
    <w:rsid w:val="00247258"/>
    <w:rsid w:val="00257CAC"/>
    <w:rsid w:val="00264441"/>
    <w:rsid w:val="0027237A"/>
    <w:rsid w:val="002974E9"/>
    <w:rsid w:val="002A28D4"/>
    <w:rsid w:val="002A7F94"/>
    <w:rsid w:val="002B109A"/>
    <w:rsid w:val="002C6D45"/>
    <w:rsid w:val="002D6E53"/>
    <w:rsid w:val="002F046D"/>
    <w:rsid w:val="002F3023"/>
    <w:rsid w:val="00301764"/>
    <w:rsid w:val="003064F1"/>
    <w:rsid w:val="00306F73"/>
    <w:rsid w:val="003227F6"/>
    <w:rsid w:val="003229D8"/>
    <w:rsid w:val="00336C97"/>
    <w:rsid w:val="00337F88"/>
    <w:rsid w:val="00342432"/>
    <w:rsid w:val="0035223F"/>
    <w:rsid w:val="00352D4B"/>
    <w:rsid w:val="0035638C"/>
    <w:rsid w:val="003A46BB"/>
    <w:rsid w:val="003A4EC7"/>
    <w:rsid w:val="003A7295"/>
    <w:rsid w:val="003B1F60"/>
    <w:rsid w:val="003C2CC4"/>
    <w:rsid w:val="003D2737"/>
    <w:rsid w:val="003D4B23"/>
    <w:rsid w:val="003E278A"/>
    <w:rsid w:val="00413520"/>
    <w:rsid w:val="00430D57"/>
    <w:rsid w:val="004325CB"/>
    <w:rsid w:val="00440A07"/>
    <w:rsid w:val="0044670D"/>
    <w:rsid w:val="00451E25"/>
    <w:rsid w:val="00462880"/>
    <w:rsid w:val="00462D85"/>
    <w:rsid w:val="00476F24"/>
    <w:rsid w:val="004A0E6A"/>
    <w:rsid w:val="004C55B0"/>
    <w:rsid w:val="004C7ED0"/>
    <w:rsid w:val="004D61D5"/>
    <w:rsid w:val="004F6BA0"/>
    <w:rsid w:val="00503BEA"/>
    <w:rsid w:val="00513377"/>
    <w:rsid w:val="005228CA"/>
    <w:rsid w:val="00522C1D"/>
    <w:rsid w:val="0052699C"/>
    <w:rsid w:val="00533616"/>
    <w:rsid w:val="00535ABA"/>
    <w:rsid w:val="0053768B"/>
    <w:rsid w:val="0054196B"/>
    <w:rsid w:val="005420F2"/>
    <w:rsid w:val="0054285C"/>
    <w:rsid w:val="00580B93"/>
    <w:rsid w:val="00584173"/>
    <w:rsid w:val="00595520"/>
    <w:rsid w:val="005A44B9"/>
    <w:rsid w:val="005B1BA0"/>
    <w:rsid w:val="005B3DB3"/>
    <w:rsid w:val="005C4E2E"/>
    <w:rsid w:val="005D15CA"/>
    <w:rsid w:val="005D7969"/>
    <w:rsid w:val="005E1CC6"/>
    <w:rsid w:val="005E508D"/>
    <w:rsid w:val="005E52DF"/>
    <w:rsid w:val="005F08DF"/>
    <w:rsid w:val="005F3066"/>
    <w:rsid w:val="005F3E61"/>
    <w:rsid w:val="00604DDD"/>
    <w:rsid w:val="00607623"/>
    <w:rsid w:val="006115CC"/>
    <w:rsid w:val="00611FC4"/>
    <w:rsid w:val="006176FB"/>
    <w:rsid w:val="00630FCB"/>
    <w:rsid w:val="00640B26"/>
    <w:rsid w:val="0065766B"/>
    <w:rsid w:val="006770B2"/>
    <w:rsid w:val="00686A48"/>
    <w:rsid w:val="006940E1"/>
    <w:rsid w:val="006A2B17"/>
    <w:rsid w:val="006A3C72"/>
    <w:rsid w:val="006A7392"/>
    <w:rsid w:val="006B03A1"/>
    <w:rsid w:val="006B0567"/>
    <w:rsid w:val="006B14FC"/>
    <w:rsid w:val="006B67D9"/>
    <w:rsid w:val="006C1DDB"/>
    <w:rsid w:val="006C5535"/>
    <w:rsid w:val="006D0589"/>
    <w:rsid w:val="006E564B"/>
    <w:rsid w:val="006E7154"/>
    <w:rsid w:val="007003CD"/>
    <w:rsid w:val="0070701E"/>
    <w:rsid w:val="007173E0"/>
    <w:rsid w:val="0072632A"/>
    <w:rsid w:val="00731DB4"/>
    <w:rsid w:val="007358E8"/>
    <w:rsid w:val="00736ECE"/>
    <w:rsid w:val="0074533B"/>
    <w:rsid w:val="00757890"/>
    <w:rsid w:val="007643BC"/>
    <w:rsid w:val="007801C5"/>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418BE"/>
    <w:rsid w:val="00847C0C"/>
    <w:rsid w:val="00866893"/>
    <w:rsid w:val="00866F02"/>
    <w:rsid w:val="00867D18"/>
    <w:rsid w:val="00871F9A"/>
    <w:rsid w:val="00871FD5"/>
    <w:rsid w:val="0088172E"/>
    <w:rsid w:val="00881EFA"/>
    <w:rsid w:val="008879CB"/>
    <w:rsid w:val="00894AE5"/>
    <w:rsid w:val="008979B1"/>
    <w:rsid w:val="008A6B25"/>
    <w:rsid w:val="008A6C4F"/>
    <w:rsid w:val="008A77AE"/>
    <w:rsid w:val="008B389E"/>
    <w:rsid w:val="008B4F2A"/>
    <w:rsid w:val="008C2ECA"/>
    <w:rsid w:val="008D045E"/>
    <w:rsid w:val="008D3F25"/>
    <w:rsid w:val="008D4D82"/>
    <w:rsid w:val="008D6EDE"/>
    <w:rsid w:val="008E0E46"/>
    <w:rsid w:val="008E7116"/>
    <w:rsid w:val="008F143B"/>
    <w:rsid w:val="008F3882"/>
    <w:rsid w:val="008F4B7C"/>
    <w:rsid w:val="00910BB3"/>
    <w:rsid w:val="00926E47"/>
    <w:rsid w:val="00926F60"/>
    <w:rsid w:val="00931809"/>
    <w:rsid w:val="00940EC4"/>
    <w:rsid w:val="00947162"/>
    <w:rsid w:val="009610D0"/>
    <w:rsid w:val="0096375C"/>
    <w:rsid w:val="009662E6"/>
    <w:rsid w:val="0097095E"/>
    <w:rsid w:val="0097451D"/>
    <w:rsid w:val="009843E0"/>
    <w:rsid w:val="0098592B"/>
    <w:rsid w:val="00985FC4"/>
    <w:rsid w:val="00990766"/>
    <w:rsid w:val="00991261"/>
    <w:rsid w:val="009964C4"/>
    <w:rsid w:val="009A7B81"/>
    <w:rsid w:val="009B042A"/>
    <w:rsid w:val="009B1966"/>
    <w:rsid w:val="009D01C0"/>
    <w:rsid w:val="009D6A08"/>
    <w:rsid w:val="009E0A16"/>
    <w:rsid w:val="009E6CB7"/>
    <w:rsid w:val="009E7970"/>
    <w:rsid w:val="009F2EAC"/>
    <w:rsid w:val="009F2F76"/>
    <w:rsid w:val="009F57E3"/>
    <w:rsid w:val="00A10F4F"/>
    <w:rsid w:val="00A11067"/>
    <w:rsid w:val="00A16DB8"/>
    <w:rsid w:val="00A1704A"/>
    <w:rsid w:val="00A425EB"/>
    <w:rsid w:val="00A72F22"/>
    <w:rsid w:val="00A733BC"/>
    <w:rsid w:val="00A748A6"/>
    <w:rsid w:val="00A76A69"/>
    <w:rsid w:val="00A84C42"/>
    <w:rsid w:val="00A879A4"/>
    <w:rsid w:val="00AA0FF8"/>
    <w:rsid w:val="00AA6B40"/>
    <w:rsid w:val="00AC0F2C"/>
    <w:rsid w:val="00AC502A"/>
    <w:rsid w:val="00AD612C"/>
    <w:rsid w:val="00AF58C1"/>
    <w:rsid w:val="00B04A3F"/>
    <w:rsid w:val="00B06643"/>
    <w:rsid w:val="00B13E89"/>
    <w:rsid w:val="00B15055"/>
    <w:rsid w:val="00B20551"/>
    <w:rsid w:val="00B23D55"/>
    <w:rsid w:val="00B30179"/>
    <w:rsid w:val="00B33FC7"/>
    <w:rsid w:val="00B37B15"/>
    <w:rsid w:val="00B45C02"/>
    <w:rsid w:val="00B579CA"/>
    <w:rsid w:val="00B63190"/>
    <w:rsid w:val="00B70B63"/>
    <w:rsid w:val="00B72A1E"/>
    <w:rsid w:val="00B81E12"/>
    <w:rsid w:val="00BA1AD1"/>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167BE"/>
    <w:rsid w:val="00C22135"/>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2F86"/>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B6908"/>
    <w:rsid w:val="00DC18AD"/>
    <w:rsid w:val="00DC43DC"/>
    <w:rsid w:val="00DF7CAE"/>
    <w:rsid w:val="00E00F4A"/>
    <w:rsid w:val="00E02DEC"/>
    <w:rsid w:val="00E166D8"/>
    <w:rsid w:val="00E423C0"/>
    <w:rsid w:val="00E60E96"/>
    <w:rsid w:val="00E63498"/>
    <w:rsid w:val="00E6414C"/>
    <w:rsid w:val="00E666CC"/>
    <w:rsid w:val="00E7260F"/>
    <w:rsid w:val="00E835ED"/>
    <w:rsid w:val="00E8702D"/>
    <w:rsid w:val="00E905F4"/>
    <w:rsid w:val="00E916A9"/>
    <w:rsid w:val="00E916DE"/>
    <w:rsid w:val="00E925AD"/>
    <w:rsid w:val="00E96630"/>
    <w:rsid w:val="00ED18DC"/>
    <w:rsid w:val="00ED6201"/>
    <w:rsid w:val="00ED7A2A"/>
    <w:rsid w:val="00EE530A"/>
    <w:rsid w:val="00EF1D7F"/>
    <w:rsid w:val="00F0137E"/>
    <w:rsid w:val="00F21786"/>
    <w:rsid w:val="00F36ADC"/>
    <w:rsid w:val="00F3742B"/>
    <w:rsid w:val="00F40703"/>
    <w:rsid w:val="00F41FDB"/>
    <w:rsid w:val="00F50596"/>
    <w:rsid w:val="00F56D63"/>
    <w:rsid w:val="00F609A9"/>
    <w:rsid w:val="00F73D4F"/>
    <w:rsid w:val="00F75B1D"/>
    <w:rsid w:val="00F8019C"/>
    <w:rsid w:val="00F80C99"/>
    <w:rsid w:val="00F867EC"/>
    <w:rsid w:val="00F91B2B"/>
    <w:rsid w:val="00FB2733"/>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3A2A3"/>
  <w15:docId w15:val="{12279866-DB41-4C47-9C0B-3CD91F96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1GChar">
    <w:name w:val="_ H_1_G Char"/>
    <w:link w:val="H1G"/>
    <w:rsid w:val="004D61D5"/>
    <w:rPr>
      <w:b/>
      <w:sz w:val="24"/>
      <w:lang w:val="en-GB"/>
    </w:rPr>
  </w:style>
  <w:style w:type="character" w:customStyle="1" w:styleId="FootnoteTextChar">
    <w:name w:val="Footnote Text Char"/>
    <w:aliases w:val="5_G Char"/>
    <w:link w:val="FootnoteText"/>
    <w:rsid w:val="004D61D5"/>
    <w:rPr>
      <w:sz w:val="18"/>
      <w:lang w:val="en-GB"/>
    </w:rPr>
  </w:style>
  <w:style w:type="character" w:customStyle="1" w:styleId="HChGChar">
    <w:name w:val="_ H _Ch_G Char"/>
    <w:link w:val="HChG"/>
    <w:rsid w:val="004D61D5"/>
    <w:rPr>
      <w:b/>
      <w:sz w:val="28"/>
      <w:lang w:val="en-GB"/>
    </w:rPr>
  </w:style>
  <w:style w:type="paragraph" w:styleId="ListParagraph">
    <w:name w:val="List Paragraph"/>
    <w:basedOn w:val="Normal"/>
    <w:uiPriority w:val="34"/>
    <w:semiHidden/>
    <w:qFormat/>
    <w:rsid w:val="004D61D5"/>
    <w:pPr>
      <w:suppressAutoHyphens/>
      <w:ind w:left="720"/>
      <w:contextualSpacing/>
    </w:pPr>
  </w:style>
  <w:style w:type="paragraph" w:styleId="Revision">
    <w:name w:val="Revision"/>
    <w:hidden/>
    <w:uiPriority w:val="99"/>
    <w:semiHidden/>
    <w:rsid w:val="00C167BE"/>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Nadiya Dzyubynska</DisplayName>
        <AccountId>453</AccountId>
        <AccountType/>
      </UserInfo>
      <UserInfo>
        <DisplayName>Alicia Dorca Garcia</DisplayName>
        <AccountId>1313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3.xml><?xml version="1.0" encoding="utf-8"?>
<ds:datastoreItem xmlns:ds="http://schemas.openxmlformats.org/officeDocument/2006/customXml" ds:itemID="{FDFF841B-5C9A-423F-A702-915051F244F2}"/>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2</Pages>
  <Words>659</Words>
  <Characters>3622</Characters>
  <Application>Microsoft Office Word</Application>
  <DocSecurity>0</DocSecurity>
  <Lines>77</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ECE/TRANS/WP.15/AC.1/2024/2</dc:title>
  <dc:subject>2325221</dc:subject>
  <dc:creator>editorial</dc:creator>
  <cp:keywords/>
  <dc:description/>
  <cp:lastModifiedBy>Maria Rosario Corazon Gatmaytan</cp:lastModifiedBy>
  <cp:revision>2</cp:revision>
  <cp:lastPrinted>2009-02-18T09:36:00Z</cp:lastPrinted>
  <dcterms:created xsi:type="dcterms:W3CDTF">2023-12-14T09:02:00Z</dcterms:created>
  <dcterms:modified xsi:type="dcterms:W3CDTF">2023-12-14T09:02:00Z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