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B44654C" w14:textId="77777777" w:rsidTr="005316B0">
        <w:trPr>
          <w:trHeight w:hRule="exact" w:val="851"/>
        </w:trPr>
        <w:tc>
          <w:tcPr>
            <w:tcW w:w="1276" w:type="dxa"/>
            <w:tcBorders>
              <w:bottom w:val="single" w:sz="4" w:space="0" w:color="auto"/>
            </w:tcBorders>
          </w:tcPr>
          <w:p w14:paraId="75A121F6" w14:textId="77777777" w:rsidR="001433FD" w:rsidRPr="00DB58B5" w:rsidRDefault="001433FD" w:rsidP="0001207F"/>
        </w:tc>
        <w:tc>
          <w:tcPr>
            <w:tcW w:w="2268" w:type="dxa"/>
            <w:tcBorders>
              <w:bottom w:val="single" w:sz="4" w:space="0" w:color="auto"/>
            </w:tcBorders>
            <w:vAlign w:val="bottom"/>
          </w:tcPr>
          <w:p w14:paraId="41A0D7CC"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8389A5" w14:textId="66354D79" w:rsidR="001433FD" w:rsidRPr="00E745EC" w:rsidRDefault="00E745EC" w:rsidP="00E745EC">
            <w:pPr>
              <w:jc w:val="right"/>
            </w:pPr>
            <w:r w:rsidRPr="00E745EC">
              <w:rPr>
                <w:sz w:val="40"/>
              </w:rPr>
              <w:t>ECE</w:t>
            </w:r>
            <w:r>
              <w:t>/TRANS/WP.15/264</w:t>
            </w:r>
          </w:p>
        </w:tc>
      </w:tr>
      <w:tr w:rsidR="001433FD" w:rsidRPr="00DB58B5" w14:paraId="6DBAAF9F" w14:textId="77777777" w:rsidTr="007D3236">
        <w:trPr>
          <w:trHeight w:hRule="exact" w:val="2835"/>
        </w:trPr>
        <w:tc>
          <w:tcPr>
            <w:tcW w:w="1276" w:type="dxa"/>
            <w:tcBorders>
              <w:top w:val="single" w:sz="4" w:space="0" w:color="auto"/>
              <w:bottom w:val="single" w:sz="12" w:space="0" w:color="auto"/>
            </w:tcBorders>
          </w:tcPr>
          <w:p w14:paraId="29EECCBB" w14:textId="77777777" w:rsidR="001433FD" w:rsidRPr="00DB58B5" w:rsidRDefault="001433FD" w:rsidP="007D3236">
            <w:pPr>
              <w:spacing w:before="120"/>
              <w:jc w:val="center"/>
            </w:pPr>
            <w:r>
              <w:rPr>
                <w:noProof/>
                <w:lang w:eastAsia="fr-CH"/>
              </w:rPr>
              <w:drawing>
                <wp:inline distT="0" distB="0" distL="0" distR="0" wp14:anchorId="76BCD0BD" wp14:editId="44A0D9F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30FDA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7F895E" w14:textId="77777777" w:rsidR="0001207F" w:rsidRDefault="00173F98" w:rsidP="00173F98">
            <w:pPr>
              <w:spacing w:before="240" w:line="240" w:lineRule="exact"/>
            </w:pPr>
            <w:r>
              <w:t>Distr. générale</w:t>
            </w:r>
          </w:p>
          <w:p w14:paraId="72C5C099" w14:textId="36911E13" w:rsidR="00173F98" w:rsidRDefault="00A86620" w:rsidP="00173F98">
            <w:pPr>
              <w:spacing w:line="240" w:lineRule="exact"/>
            </w:pPr>
            <w:r w:rsidRPr="00A86620">
              <w:t>2</w:t>
            </w:r>
            <w:r w:rsidR="00015BE4">
              <w:t>2</w:t>
            </w:r>
            <w:r w:rsidR="00173F98" w:rsidRPr="00A86620">
              <w:t xml:space="preserve"> novembre 2023</w:t>
            </w:r>
          </w:p>
          <w:p w14:paraId="277AABB0" w14:textId="4672909D" w:rsidR="00173F98" w:rsidRDefault="00F94515" w:rsidP="00173F98">
            <w:pPr>
              <w:spacing w:line="240" w:lineRule="exact"/>
            </w:pPr>
            <w:r>
              <w:t>F</w:t>
            </w:r>
            <w:r w:rsidR="007668D0">
              <w:t>ran</w:t>
            </w:r>
            <w:r w:rsidR="00916F3C">
              <w:t>çais</w:t>
            </w:r>
          </w:p>
          <w:p w14:paraId="28194D64" w14:textId="03C55E07" w:rsidR="00173F98" w:rsidRPr="00DB58B5" w:rsidRDefault="00173F98" w:rsidP="00173F98">
            <w:pPr>
              <w:spacing w:line="240" w:lineRule="exact"/>
            </w:pPr>
            <w:r>
              <w:t>Original</w:t>
            </w:r>
            <w:r w:rsidR="00BF1687">
              <w:t> </w:t>
            </w:r>
            <w:r>
              <w:t xml:space="preserve">: </w:t>
            </w:r>
            <w:r w:rsidR="00A86620">
              <w:t xml:space="preserve">anglais et </w:t>
            </w:r>
            <w:r>
              <w:t>français</w:t>
            </w:r>
          </w:p>
        </w:tc>
      </w:tr>
    </w:tbl>
    <w:p w14:paraId="68668617" w14:textId="77777777" w:rsidR="007668D0" w:rsidRDefault="007668D0" w:rsidP="00FD1581">
      <w:pPr>
        <w:spacing w:before="120"/>
        <w:rPr>
          <w:b/>
          <w:sz w:val="28"/>
          <w:szCs w:val="28"/>
        </w:rPr>
      </w:pPr>
      <w:r w:rsidRPr="00883605">
        <w:rPr>
          <w:b/>
          <w:sz w:val="28"/>
          <w:szCs w:val="28"/>
        </w:rPr>
        <w:t>Commission économique pour l’Europe</w:t>
      </w:r>
    </w:p>
    <w:p w14:paraId="40331312" w14:textId="77777777" w:rsidR="007668D0" w:rsidRPr="00990CE8" w:rsidRDefault="007668D0" w:rsidP="00FD1581">
      <w:pPr>
        <w:spacing w:before="120"/>
        <w:rPr>
          <w:sz w:val="28"/>
          <w:szCs w:val="28"/>
        </w:rPr>
      </w:pPr>
      <w:r w:rsidRPr="00990CE8">
        <w:rPr>
          <w:sz w:val="28"/>
          <w:szCs w:val="28"/>
        </w:rPr>
        <w:t>Comité des transports intérieurs</w:t>
      </w:r>
    </w:p>
    <w:p w14:paraId="026F76E7" w14:textId="77777777" w:rsidR="007668D0" w:rsidRPr="00990CE8" w:rsidRDefault="007668D0" w:rsidP="00FD1581">
      <w:pPr>
        <w:spacing w:before="120"/>
        <w:rPr>
          <w:b/>
          <w:sz w:val="24"/>
          <w:szCs w:val="24"/>
        </w:rPr>
      </w:pPr>
      <w:r w:rsidRPr="00990CE8">
        <w:rPr>
          <w:b/>
          <w:sz w:val="24"/>
          <w:szCs w:val="24"/>
        </w:rPr>
        <w:t xml:space="preserve">Groupe de travail des transports </w:t>
      </w:r>
      <w:r w:rsidRPr="00990CE8">
        <w:rPr>
          <w:b/>
          <w:sz w:val="24"/>
          <w:szCs w:val="24"/>
        </w:rPr>
        <w:br/>
        <w:t>de marchandises dangereuses</w:t>
      </w:r>
    </w:p>
    <w:p w14:paraId="09313BD6" w14:textId="662A865A" w:rsidR="007668D0" w:rsidRPr="00990CE8" w:rsidRDefault="000A6D51" w:rsidP="00FD1581">
      <w:pPr>
        <w:spacing w:before="120"/>
        <w:rPr>
          <w:rFonts w:eastAsia="SimSun"/>
          <w:b/>
        </w:rPr>
      </w:pPr>
      <w:r w:rsidRPr="000A6D51">
        <w:rPr>
          <w:b/>
        </w:rPr>
        <w:t>114</w:t>
      </w:r>
      <w:r w:rsidRPr="000A6D51">
        <w:rPr>
          <w:b/>
          <w:vertAlign w:val="superscript"/>
        </w:rPr>
        <w:t>e</w:t>
      </w:r>
      <w:r>
        <w:rPr>
          <w:b/>
        </w:rPr>
        <w:t xml:space="preserve"> </w:t>
      </w:r>
      <w:r w:rsidR="007668D0">
        <w:rPr>
          <w:b/>
        </w:rPr>
        <w:t>session</w:t>
      </w:r>
    </w:p>
    <w:p w14:paraId="40D131E6" w14:textId="20F86663" w:rsidR="007668D0" w:rsidRPr="00990CE8" w:rsidRDefault="007668D0" w:rsidP="00FD1581">
      <w:pPr>
        <w:rPr>
          <w:rFonts w:eastAsia="SimSun"/>
        </w:rPr>
      </w:pPr>
      <w:r w:rsidRPr="00990CE8">
        <w:t xml:space="preserve">Genève, </w:t>
      </w:r>
      <w:r w:rsidR="005633D2">
        <w:t>6-10 novembre 2023</w:t>
      </w:r>
    </w:p>
    <w:p w14:paraId="34741505" w14:textId="1E4F4B2F" w:rsidR="007668D0" w:rsidRDefault="009329F1" w:rsidP="00F94515">
      <w:pPr>
        <w:pStyle w:val="HChG"/>
        <w:rPr>
          <w:lang w:val="fr-FR"/>
        </w:rPr>
      </w:pPr>
      <w:r>
        <w:tab/>
      </w:r>
      <w:r>
        <w:tab/>
      </w:r>
      <w:r w:rsidRPr="00F46438">
        <w:rPr>
          <w:lang w:val="fr-FR"/>
        </w:rPr>
        <w:t>Rapport du Groupe de travail sur sa 11</w:t>
      </w:r>
      <w:r>
        <w:rPr>
          <w:lang w:val="fr-FR"/>
        </w:rPr>
        <w:t>4</w:t>
      </w:r>
      <w:r w:rsidRPr="00F46438">
        <w:rPr>
          <w:vertAlign w:val="superscript"/>
          <w:lang w:val="fr-FR"/>
        </w:rPr>
        <w:t>e</w:t>
      </w:r>
      <w:r w:rsidRPr="00F46438">
        <w:rPr>
          <w:lang w:val="fr-FR"/>
        </w:rPr>
        <w:t xml:space="preserve"> session</w:t>
      </w:r>
    </w:p>
    <w:p w14:paraId="74E76A8B" w14:textId="02122438" w:rsidR="007635F1" w:rsidRPr="00F46438" w:rsidRDefault="007635F1" w:rsidP="007635F1">
      <w:pPr>
        <w:pStyle w:val="SingleTxtG"/>
        <w:rPr>
          <w:lang w:val="fr-FR"/>
        </w:rPr>
      </w:pPr>
      <w:r w:rsidRPr="00F46438">
        <w:rPr>
          <w:lang w:val="fr-FR"/>
        </w:rPr>
        <w:t xml:space="preserve">tenue à Genève du </w:t>
      </w:r>
      <w:r>
        <w:rPr>
          <w:lang w:val="fr-FR"/>
        </w:rPr>
        <w:t xml:space="preserve">6 au 10 novembre </w:t>
      </w:r>
      <w:r w:rsidRPr="00F46438">
        <w:rPr>
          <w:lang w:val="fr-FR"/>
        </w:rPr>
        <w:t>202</w:t>
      </w:r>
      <w:r>
        <w:rPr>
          <w:lang w:val="fr-FR"/>
        </w:rPr>
        <w:t>3</w:t>
      </w:r>
    </w:p>
    <w:p w14:paraId="5E14C05B" w14:textId="567184A8" w:rsidR="00A5159F" w:rsidRPr="00827ABF" w:rsidRDefault="00A46CC9" w:rsidP="00827ABF">
      <w:pPr>
        <w:rPr>
          <w:sz w:val="28"/>
          <w:szCs w:val="28"/>
          <w:lang w:val="fr-FR"/>
        </w:rPr>
      </w:pPr>
      <w:r w:rsidRPr="00ED4CEA">
        <w:rPr>
          <w:sz w:val="28"/>
        </w:rPr>
        <w:t>Table des matières</w:t>
      </w:r>
    </w:p>
    <w:p w14:paraId="436497B8" w14:textId="77777777" w:rsidR="00BB7436" w:rsidRDefault="00BB7436" w:rsidP="00BB7436">
      <w:pPr>
        <w:tabs>
          <w:tab w:val="right" w:pos="8929"/>
          <w:tab w:val="right" w:pos="9638"/>
        </w:tabs>
        <w:spacing w:after="120"/>
        <w:ind w:left="283"/>
      </w:pPr>
      <w:r>
        <w:rPr>
          <w:i/>
          <w:sz w:val="18"/>
        </w:rPr>
        <w:tab/>
        <w:t>Paragraphes</w:t>
      </w:r>
      <w:r>
        <w:rPr>
          <w:i/>
          <w:sz w:val="18"/>
        </w:rPr>
        <w:tab/>
        <w:t>Page</w:t>
      </w:r>
    </w:p>
    <w:p w14:paraId="051D3B79" w14:textId="77777777" w:rsidR="00BB7436" w:rsidRDefault="00BB7436" w:rsidP="00BB7436">
      <w:pPr>
        <w:tabs>
          <w:tab w:val="right" w:pos="850"/>
          <w:tab w:val="left" w:pos="1134"/>
          <w:tab w:val="left" w:pos="1559"/>
          <w:tab w:val="left" w:pos="1984"/>
          <w:tab w:val="left" w:leader="dot" w:pos="7654"/>
          <w:tab w:val="right" w:pos="8929"/>
          <w:tab w:val="right" w:pos="9638"/>
        </w:tabs>
        <w:spacing w:after="120"/>
        <w:rPr>
          <w:b/>
          <w:bCs/>
        </w:rPr>
      </w:pPr>
      <w:r>
        <w:tab/>
        <w:t>I.</w:t>
      </w:r>
      <w:r>
        <w:tab/>
        <w:t>Participation</w:t>
      </w:r>
      <w:r>
        <w:tab/>
      </w:r>
      <w:r>
        <w:tab/>
        <w:t>1-6</w:t>
      </w:r>
      <w:r>
        <w:tab/>
        <w:t>4</w:t>
      </w:r>
    </w:p>
    <w:p w14:paraId="4D7F4B53" w14:textId="77777777" w:rsidR="00BB7436" w:rsidRDefault="00BB7436" w:rsidP="00BB7436">
      <w:pPr>
        <w:tabs>
          <w:tab w:val="right" w:pos="850"/>
          <w:tab w:val="left" w:pos="1134"/>
          <w:tab w:val="left" w:pos="1559"/>
          <w:tab w:val="left" w:pos="1984"/>
          <w:tab w:val="left" w:leader="dot" w:pos="7654"/>
          <w:tab w:val="right" w:pos="8929"/>
          <w:tab w:val="right" w:pos="9638"/>
        </w:tabs>
        <w:spacing w:after="120"/>
      </w:pPr>
      <w:r>
        <w:tab/>
        <w:t>II.</w:t>
      </w:r>
      <w:r>
        <w:tab/>
      </w:r>
      <w:r>
        <w:rPr>
          <w:lang w:val="fr-FR"/>
        </w:rPr>
        <w:t>Adoption de l’ordre du jour (point 1 de l’ordre du jour)</w:t>
      </w:r>
      <w:r>
        <w:tab/>
      </w:r>
      <w:r>
        <w:tab/>
        <w:t>7</w:t>
      </w:r>
      <w:r>
        <w:tab/>
        <w:t>4</w:t>
      </w:r>
    </w:p>
    <w:p w14:paraId="27799C1A" w14:textId="595AB192" w:rsidR="00BB7436" w:rsidRDefault="00BB7436" w:rsidP="00BB7436">
      <w:pPr>
        <w:tabs>
          <w:tab w:val="right" w:pos="850"/>
          <w:tab w:val="left" w:pos="1134"/>
          <w:tab w:val="left" w:pos="1559"/>
          <w:tab w:val="left" w:pos="1984"/>
          <w:tab w:val="left" w:leader="dot" w:pos="7654"/>
          <w:tab w:val="right" w:pos="8929"/>
          <w:tab w:val="right" w:pos="9638"/>
        </w:tabs>
        <w:spacing w:after="120"/>
      </w:pPr>
      <w:r>
        <w:tab/>
        <w:t>III.</w:t>
      </w:r>
      <w:r>
        <w:tab/>
      </w:r>
      <w:r>
        <w:rPr>
          <w:bCs/>
          <w:lang w:eastAsia="en-US"/>
        </w:rPr>
        <w:t xml:space="preserve">Quatre-vingt-cinquième session du Comité des transports intérieurs </w:t>
      </w:r>
      <w:r>
        <w:rPr>
          <w:lang w:eastAsia="en-US"/>
        </w:rPr>
        <w:br/>
      </w:r>
      <w:r>
        <w:rPr>
          <w:lang w:eastAsia="en-US"/>
        </w:rPr>
        <w:tab/>
      </w:r>
      <w:r>
        <w:rPr>
          <w:lang w:eastAsia="en-US"/>
        </w:rPr>
        <w:tab/>
        <w:t>(point 2 de l’ordre du jour)</w:t>
      </w:r>
      <w:r>
        <w:rPr>
          <w:lang w:eastAsia="en-US"/>
        </w:rPr>
        <w:tab/>
      </w:r>
      <w:r>
        <w:rPr>
          <w:lang w:eastAsia="en-US"/>
        </w:rPr>
        <w:tab/>
        <w:t>8-9</w:t>
      </w:r>
      <w:r>
        <w:rPr>
          <w:lang w:eastAsia="en-US"/>
        </w:rPr>
        <w:tab/>
        <w:t>4</w:t>
      </w:r>
    </w:p>
    <w:p w14:paraId="7F6648F7"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34" w:hanging="1134"/>
        <w:rPr>
          <w:bCs/>
          <w:lang w:eastAsia="en-US"/>
        </w:rPr>
      </w:pPr>
      <w:r>
        <w:rPr>
          <w:bCs/>
        </w:rPr>
        <w:tab/>
      </w:r>
      <w:r>
        <w:rPr>
          <w:bCs/>
          <w:lang w:eastAsia="en-US"/>
        </w:rPr>
        <w:t>IV.</w:t>
      </w:r>
      <w:r>
        <w:rPr>
          <w:bCs/>
          <w:lang w:eastAsia="en-US"/>
        </w:rPr>
        <w:tab/>
        <w:t xml:space="preserve">État de l’Accord relatif au transport international des marchandises dangereuses </w:t>
      </w:r>
      <w:r>
        <w:rPr>
          <w:bCs/>
          <w:lang w:eastAsia="en-US"/>
        </w:rPr>
        <w:br/>
        <w:t>par route (ADR) et questions connexes (point 3 de l’ordre du jour)</w:t>
      </w:r>
      <w:r>
        <w:rPr>
          <w:bCs/>
          <w:lang w:eastAsia="en-US"/>
        </w:rPr>
        <w:tab/>
      </w:r>
      <w:r>
        <w:rPr>
          <w:bCs/>
          <w:lang w:eastAsia="en-US"/>
        </w:rPr>
        <w:tab/>
        <w:t>10-12</w:t>
      </w:r>
      <w:r>
        <w:rPr>
          <w:bCs/>
          <w:lang w:eastAsia="en-US"/>
        </w:rPr>
        <w:tab/>
        <w:t>5</w:t>
      </w:r>
    </w:p>
    <w:p w14:paraId="120A1C6D"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0"/>
        <w:rPr>
          <w:bCs/>
          <w:lang w:eastAsia="en-US"/>
        </w:rPr>
      </w:pPr>
      <w:r>
        <w:rPr>
          <w:rFonts w:eastAsia="Calibri"/>
          <w:bCs/>
          <w:lang w:val="fr-FR" w:eastAsia="en-US"/>
        </w:rPr>
        <w:t>A.</w:t>
      </w:r>
      <w:r>
        <w:rPr>
          <w:rFonts w:eastAsia="Calibri"/>
          <w:bCs/>
          <w:lang w:val="fr-FR" w:eastAsia="en-US"/>
        </w:rPr>
        <w:tab/>
        <w:t>État de l’Accord</w:t>
      </w:r>
      <w:r>
        <w:rPr>
          <w:rFonts w:eastAsia="Calibri"/>
          <w:bCs/>
          <w:lang w:val="fr-FR" w:eastAsia="en-US"/>
        </w:rPr>
        <w:tab/>
      </w:r>
      <w:r>
        <w:rPr>
          <w:rFonts w:eastAsia="Calibri"/>
          <w:bCs/>
          <w:lang w:val="fr-FR" w:eastAsia="en-US"/>
        </w:rPr>
        <w:tab/>
        <w:t>10</w:t>
      </w:r>
      <w:r>
        <w:rPr>
          <w:rFonts w:eastAsia="Calibri"/>
          <w:bCs/>
          <w:lang w:val="fr-FR" w:eastAsia="en-US"/>
        </w:rPr>
        <w:tab/>
        <w:t>5</w:t>
      </w:r>
    </w:p>
    <w:p w14:paraId="28F13C45"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0"/>
      </w:pPr>
      <w:r>
        <w:t>B.</w:t>
      </w:r>
      <w:r>
        <w:tab/>
        <w:t>Protocole d’amendement de 1993</w:t>
      </w:r>
      <w:r>
        <w:tab/>
      </w:r>
      <w:r>
        <w:tab/>
        <w:t>11</w:t>
      </w:r>
      <w:r>
        <w:tab/>
        <w:t>5</w:t>
      </w:r>
    </w:p>
    <w:p w14:paraId="49A1DF29"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0"/>
      </w:pPr>
      <w:r>
        <w:t>C.</w:t>
      </w:r>
      <w:r>
        <w:tab/>
      </w:r>
      <w:r w:rsidRPr="00657F58">
        <w:rPr>
          <w:lang w:val="fr-FR"/>
        </w:rPr>
        <w:t xml:space="preserve">Traduction de l’ADR en </w:t>
      </w:r>
      <w:r>
        <w:rPr>
          <w:lang w:val="fr-FR"/>
        </w:rPr>
        <w:t xml:space="preserve">langue </w:t>
      </w:r>
      <w:r w:rsidRPr="00657F58">
        <w:rPr>
          <w:lang w:val="fr-FR"/>
        </w:rPr>
        <w:t>arabe</w:t>
      </w:r>
      <w:r>
        <w:tab/>
      </w:r>
      <w:r>
        <w:tab/>
        <w:t>12</w:t>
      </w:r>
      <w:r>
        <w:tab/>
        <w:t>5</w:t>
      </w:r>
    </w:p>
    <w:p w14:paraId="61FAF54B"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firstLine="709"/>
      </w:pPr>
      <w:r>
        <w:t>V.</w:t>
      </w:r>
      <w:r>
        <w:tab/>
        <w:t>Travaux de la réunion commune RID/ADR/ADN (point 4 de l’ordre du jour)</w:t>
      </w:r>
      <w:r>
        <w:tab/>
      </w:r>
      <w:r>
        <w:tab/>
        <w:t>13-23</w:t>
      </w:r>
      <w:r>
        <w:tab/>
        <w:t>5</w:t>
      </w:r>
    </w:p>
    <w:p w14:paraId="73A1306F"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A.</w:t>
      </w:r>
      <w:r>
        <w:tab/>
      </w:r>
      <w:r w:rsidRPr="00657F58">
        <w:rPr>
          <w:lang w:val="fr-FR"/>
        </w:rPr>
        <w:t>Généralités</w:t>
      </w:r>
      <w:r>
        <w:tab/>
      </w:r>
      <w:r>
        <w:tab/>
        <w:t>13</w:t>
      </w:r>
      <w:r>
        <w:tab/>
        <w:t>5</w:t>
      </w:r>
    </w:p>
    <w:p w14:paraId="09CC0BA3"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B.</w:t>
      </w:r>
      <w:r>
        <w:tab/>
      </w:r>
      <w:r w:rsidRPr="00657F58">
        <w:rPr>
          <w:lang w:val="fr-FR"/>
        </w:rPr>
        <w:t>Questions spécifiques</w:t>
      </w:r>
      <w:r>
        <w:tab/>
      </w:r>
      <w:r>
        <w:tab/>
        <w:t>14-23</w:t>
      </w:r>
      <w:r>
        <w:tab/>
        <w:t>5</w:t>
      </w:r>
    </w:p>
    <w:p w14:paraId="73E722AF" w14:textId="221C3E38" w:rsidR="00BB7436" w:rsidRDefault="00BB7436" w:rsidP="00BB7436">
      <w:pPr>
        <w:tabs>
          <w:tab w:val="right" w:pos="851"/>
          <w:tab w:val="left" w:pos="1559"/>
          <w:tab w:val="left" w:pos="1985"/>
          <w:tab w:val="left" w:leader="dot" w:pos="7654"/>
          <w:tab w:val="right" w:pos="8929"/>
          <w:tab w:val="right" w:pos="9638"/>
        </w:tabs>
        <w:spacing w:after="120"/>
        <w:ind w:left="1985" w:hanging="841"/>
      </w:pPr>
      <w:r>
        <w:tab/>
        <w:t>1.</w:t>
      </w:r>
      <w:r>
        <w:tab/>
      </w:r>
      <w:r w:rsidRPr="00D06271">
        <w:rPr>
          <w:lang w:val="fr-FR"/>
        </w:rPr>
        <w:t xml:space="preserve">Transport en vrac de catégories spécifiques de déchets contenant </w:t>
      </w:r>
      <w:r>
        <w:rPr>
          <w:lang w:val="fr-FR"/>
        </w:rPr>
        <w:br/>
      </w:r>
      <w:r w:rsidR="00B91DF6" w:rsidRPr="00D06271">
        <w:rPr>
          <w:lang w:val="fr-FR"/>
        </w:rPr>
        <w:t>de l</w:t>
      </w:r>
      <w:r w:rsidR="00B91DF6">
        <w:rPr>
          <w:lang w:val="fr-FR"/>
        </w:rPr>
        <w:t>’</w:t>
      </w:r>
      <w:r w:rsidR="00B91DF6" w:rsidRPr="00D06271">
        <w:rPr>
          <w:lang w:val="fr-FR"/>
        </w:rPr>
        <w:t xml:space="preserve">amiante </w:t>
      </w:r>
      <w:r w:rsidRPr="00D06271">
        <w:rPr>
          <w:lang w:val="fr-FR"/>
        </w:rPr>
        <w:t>(</w:t>
      </w:r>
      <w:r>
        <w:rPr>
          <w:rFonts w:eastAsia="MS Mincho"/>
          <w:lang w:val="fr-FR"/>
        </w:rPr>
        <w:t>N</w:t>
      </w:r>
      <w:r w:rsidRPr="00B91DF6">
        <w:rPr>
          <w:rFonts w:eastAsia="MS Mincho"/>
          <w:lang w:val="fr-FR"/>
        </w:rPr>
        <w:t>os</w:t>
      </w:r>
      <w:r>
        <w:rPr>
          <w:rFonts w:eastAsia="MS Mincho"/>
          <w:vertAlign w:val="superscript"/>
          <w:lang w:val="fr-FR"/>
        </w:rPr>
        <w:t> </w:t>
      </w:r>
      <w:r w:rsidRPr="00D06271">
        <w:rPr>
          <w:lang w:val="fr-FR"/>
        </w:rPr>
        <w:t>ONU 2590 et 2212)</w:t>
      </w:r>
      <w:r>
        <w:tab/>
      </w:r>
      <w:r>
        <w:tab/>
        <w:t>14</w:t>
      </w:r>
      <w:r>
        <w:tab/>
        <w:t>5</w:t>
      </w:r>
    </w:p>
    <w:p w14:paraId="052A95CE" w14:textId="68C22591" w:rsidR="00BB7436" w:rsidRDefault="00BB7436" w:rsidP="00BB7436">
      <w:pPr>
        <w:tabs>
          <w:tab w:val="right" w:pos="851"/>
          <w:tab w:val="left" w:pos="1560"/>
          <w:tab w:val="left" w:pos="1985"/>
          <w:tab w:val="left" w:leader="dot" w:pos="7654"/>
          <w:tab w:val="right" w:pos="8929"/>
          <w:tab w:val="right" w:pos="9638"/>
        </w:tabs>
        <w:spacing w:after="120"/>
        <w:ind w:left="1985" w:hanging="841"/>
      </w:pPr>
      <w:r>
        <w:tab/>
        <w:t>2.</w:t>
      </w:r>
      <w:r>
        <w:tab/>
      </w:r>
      <w:r w:rsidRPr="00D06271">
        <w:rPr>
          <w:lang w:val="fr-FR"/>
        </w:rPr>
        <w:t xml:space="preserve">Transport </w:t>
      </w:r>
      <w:r>
        <w:rPr>
          <w:lang w:val="fr-FR"/>
        </w:rPr>
        <w:t xml:space="preserve">de déchets dans des emballages intérieurs emballés </w:t>
      </w:r>
      <w:r>
        <w:rPr>
          <w:lang w:val="fr-FR"/>
        </w:rPr>
        <w:br/>
      </w:r>
      <w:r w:rsidR="00B91DF6">
        <w:rPr>
          <w:lang w:val="fr-FR"/>
        </w:rPr>
        <w:t xml:space="preserve">ensemble </w:t>
      </w:r>
      <w:r>
        <w:rPr>
          <w:lang w:val="fr-FR"/>
        </w:rPr>
        <w:t>dans un emballage extérieur</w:t>
      </w:r>
      <w:r>
        <w:tab/>
      </w:r>
      <w:r>
        <w:tab/>
        <w:t>15</w:t>
      </w:r>
      <w:r>
        <w:tab/>
        <w:t>6</w:t>
      </w:r>
    </w:p>
    <w:p w14:paraId="4DC1A79F"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3.</w:t>
      </w:r>
      <w:r>
        <w:tab/>
      </w:r>
      <w:r w:rsidRPr="00657F58">
        <w:rPr>
          <w:lang w:val="fr-FR"/>
        </w:rPr>
        <w:t>Questions en suspens</w:t>
      </w:r>
      <w:r>
        <w:rPr>
          <w:lang w:val="fr-FR"/>
        </w:rPr>
        <w:tab/>
      </w:r>
      <w:r>
        <w:rPr>
          <w:lang w:val="fr-FR"/>
        </w:rPr>
        <w:tab/>
        <w:t>16-19</w:t>
      </w:r>
      <w:r>
        <w:rPr>
          <w:lang w:val="fr-FR"/>
        </w:rPr>
        <w:tab/>
        <w:t>6</w:t>
      </w:r>
    </w:p>
    <w:p w14:paraId="194869E9"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rPr>
          <w:lang w:eastAsia="fr-FR"/>
        </w:rPr>
      </w:pPr>
      <w:r>
        <w:tab/>
        <w:t>4.</w:t>
      </w:r>
      <w:r>
        <w:tab/>
      </w:r>
      <w:r>
        <w:rPr>
          <w:lang w:eastAsia="fr-FR"/>
        </w:rPr>
        <w:tab/>
      </w:r>
      <w:r>
        <w:rPr>
          <w:lang w:val="fr-FR"/>
        </w:rPr>
        <w:t>Amendement d’ordre rédactionnel complémentaire</w:t>
      </w:r>
      <w:r>
        <w:rPr>
          <w:lang w:eastAsia="fr-FR"/>
        </w:rPr>
        <w:tab/>
      </w:r>
      <w:r>
        <w:rPr>
          <w:lang w:eastAsia="fr-FR"/>
        </w:rPr>
        <w:tab/>
        <w:t>20</w:t>
      </w:r>
      <w:r>
        <w:rPr>
          <w:lang w:eastAsia="fr-FR"/>
        </w:rPr>
        <w:tab/>
        <w:t>6</w:t>
      </w:r>
    </w:p>
    <w:p w14:paraId="0A13DFBF"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5.</w:t>
      </w:r>
      <w:r>
        <w:tab/>
      </w:r>
      <w:r>
        <w:tab/>
      </w:r>
      <w:r w:rsidRPr="007F21DA">
        <w:rPr>
          <w:lang w:val="fr-FR"/>
        </w:rPr>
        <w:t>Documents de transport : projet d’amendement au 5.4.0.</w:t>
      </w:r>
      <w:r>
        <w:rPr>
          <w:lang w:val="fr-FR"/>
        </w:rPr>
        <w:t>2</w:t>
      </w:r>
      <w:r>
        <w:tab/>
      </w:r>
      <w:r>
        <w:tab/>
        <w:t>21-23</w:t>
      </w:r>
      <w:r>
        <w:tab/>
        <w:t>6</w:t>
      </w:r>
    </w:p>
    <w:p w14:paraId="377B5C88"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29" w:hanging="420"/>
        <w:rPr>
          <w:lang w:eastAsia="en-US"/>
        </w:rPr>
      </w:pPr>
      <w:r>
        <w:lastRenderedPageBreak/>
        <w:tab/>
        <w:t>VI.</w:t>
      </w:r>
      <w:r>
        <w:tab/>
      </w:r>
      <w:r>
        <w:rPr>
          <w:lang w:eastAsia="en-US"/>
        </w:rPr>
        <w:t xml:space="preserve">Propositions d’amendements aux annexes A et B de l’ADR </w:t>
      </w:r>
      <w:r>
        <w:rPr>
          <w:lang w:eastAsia="en-US"/>
        </w:rPr>
        <w:br/>
        <w:t>(point 5 de l’ordre du jour)</w:t>
      </w:r>
      <w:r>
        <w:rPr>
          <w:lang w:eastAsia="en-US"/>
        </w:rPr>
        <w:tab/>
      </w:r>
      <w:r>
        <w:rPr>
          <w:lang w:eastAsia="en-US"/>
        </w:rPr>
        <w:tab/>
        <w:t>24-59</w:t>
      </w:r>
      <w:r>
        <w:rPr>
          <w:lang w:eastAsia="en-US"/>
        </w:rPr>
        <w:tab/>
        <w:t>7</w:t>
      </w:r>
    </w:p>
    <w:p w14:paraId="1299A573" w14:textId="25ED06EF"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A.</w:t>
      </w:r>
      <w:r>
        <w:tab/>
        <w:t>Construction et agrément des véhicules</w:t>
      </w:r>
      <w:r>
        <w:tab/>
      </w:r>
      <w:r>
        <w:tab/>
        <w:t>24-</w:t>
      </w:r>
      <w:r w:rsidR="005B3656">
        <w:t>4</w:t>
      </w:r>
      <w:r>
        <w:t>5</w:t>
      </w:r>
      <w:r>
        <w:tab/>
        <w:t>7</w:t>
      </w:r>
    </w:p>
    <w:p w14:paraId="2B6CF0AA"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ab/>
        <w:t>1.</w:t>
      </w:r>
      <w:r>
        <w:tab/>
      </w:r>
      <w:r w:rsidRPr="00094A10">
        <w:rPr>
          <w:lang w:val="fr-FR"/>
        </w:rPr>
        <w:t>Proposition de modification de la section 9.7.8</w:t>
      </w:r>
      <w:r>
        <w:tab/>
      </w:r>
      <w:r>
        <w:tab/>
        <w:t>24-25</w:t>
      </w:r>
      <w:r>
        <w:tab/>
        <w:t>7</w:t>
      </w:r>
    </w:p>
    <w:p w14:paraId="0D5972F7"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144"/>
      </w:pPr>
      <w:r>
        <w:tab/>
        <w:t>2.</w:t>
      </w:r>
      <w:r>
        <w:tab/>
      </w:r>
      <w:r w:rsidRPr="00094A10">
        <w:rPr>
          <w:lang w:val="fr-FR"/>
        </w:rPr>
        <w:t>Section 9.1.3 : certificat d’agrément</w:t>
      </w:r>
      <w:r>
        <w:rPr>
          <w:lang w:val="fr-FR"/>
        </w:rPr>
        <w:t xml:space="preserve"> </w:t>
      </w:r>
      <w:r>
        <w:rPr>
          <w:bCs/>
          <w:lang w:val="fr-FR"/>
        </w:rPr>
        <w:t>sous forme électronique</w:t>
      </w:r>
      <w:r>
        <w:tab/>
      </w:r>
      <w:r>
        <w:tab/>
        <w:t>26-28</w:t>
      </w:r>
      <w:r>
        <w:tab/>
        <w:t>7</w:t>
      </w:r>
    </w:p>
    <w:p w14:paraId="3B9C32F7"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3.</w:t>
      </w:r>
      <w:r>
        <w:tab/>
      </w:r>
      <w:r>
        <w:rPr>
          <w:lang w:val="fr-FR"/>
        </w:rPr>
        <w:tab/>
      </w:r>
      <w:r w:rsidRPr="00094A10">
        <w:rPr>
          <w:lang w:val="fr-FR"/>
        </w:rPr>
        <w:t>Section 9.7.6 : protection arrière des véhicules</w:t>
      </w:r>
      <w:r>
        <w:rPr>
          <w:lang w:val="fr-FR"/>
        </w:rPr>
        <w:tab/>
      </w:r>
      <w:r>
        <w:rPr>
          <w:lang w:val="fr-FR"/>
        </w:rPr>
        <w:tab/>
        <w:t>29-31</w:t>
      </w:r>
      <w:r>
        <w:rPr>
          <w:lang w:val="fr-FR"/>
        </w:rPr>
        <w:tab/>
        <w:t>7</w:t>
      </w:r>
    </w:p>
    <w:p w14:paraId="725C0146"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rPr>
          <w:lang w:eastAsia="fr-FR"/>
        </w:rPr>
      </w:pPr>
      <w:r>
        <w:tab/>
        <w:t>4.</w:t>
      </w:r>
      <w:r>
        <w:tab/>
      </w:r>
      <w:r>
        <w:rPr>
          <w:lang w:eastAsia="fr-FR"/>
        </w:rPr>
        <w:tab/>
      </w:r>
      <w:r w:rsidRPr="00EB4859">
        <w:rPr>
          <w:lang w:val="fr-FR"/>
        </w:rPr>
        <w:t>Amendement au 9.2.2.8</w:t>
      </w:r>
      <w:r>
        <w:rPr>
          <w:lang w:eastAsia="fr-FR"/>
        </w:rPr>
        <w:tab/>
      </w:r>
      <w:r>
        <w:rPr>
          <w:lang w:eastAsia="fr-FR"/>
        </w:rPr>
        <w:tab/>
        <w:t>32-33</w:t>
      </w:r>
      <w:r>
        <w:rPr>
          <w:lang w:eastAsia="fr-FR"/>
        </w:rPr>
        <w:tab/>
        <w:t>7</w:t>
      </w:r>
    </w:p>
    <w:p w14:paraId="4EA9C893"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5.</w:t>
      </w:r>
      <w:r>
        <w:tab/>
      </w:r>
      <w:r>
        <w:tab/>
      </w:r>
      <w:r w:rsidRPr="00EE5722">
        <w:rPr>
          <w:lang w:val="fr-FR"/>
        </w:rPr>
        <w:t>Véhicules électrifiés à batterie</w:t>
      </w:r>
      <w:r>
        <w:rPr>
          <w:lang w:val="fr-FR"/>
        </w:rPr>
        <w:t>s</w:t>
      </w:r>
      <w:r w:rsidRPr="00EE5722">
        <w:rPr>
          <w:lang w:val="fr-FR"/>
        </w:rPr>
        <w:t xml:space="preserve"> et véhicules alimentés à l’hydrogène</w:t>
      </w:r>
      <w:r>
        <w:rPr>
          <w:lang w:val="fr-FR"/>
        </w:rPr>
        <w:tab/>
      </w:r>
      <w:r>
        <w:tab/>
        <w:t>34-36</w:t>
      </w:r>
      <w:r>
        <w:tab/>
        <w:t>8</w:t>
      </w:r>
    </w:p>
    <w:p w14:paraId="628089D7"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6.</w:t>
      </w:r>
      <w:r>
        <w:tab/>
      </w:r>
      <w:r>
        <w:tab/>
        <w:t>S</w:t>
      </w:r>
      <w:r w:rsidRPr="00051DD1">
        <w:t>ystème de freinage par récupération</w:t>
      </w:r>
      <w:r>
        <w:tab/>
      </w:r>
      <w:r>
        <w:tab/>
        <w:t>37-39</w:t>
      </w:r>
      <w:r>
        <w:tab/>
        <w:t>8</w:t>
      </w:r>
    </w:p>
    <w:p w14:paraId="7834E028"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7.</w:t>
      </w:r>
      <w:r>
        <w:tab/>
      </w:r>
      <w:r w:rsidRPr="003F1A03">
        <w:rPr>
          <w:lang w:val="fr-FR"/>
        </w:rPr>
        <w:t>9.8.4 – Stabilité des MEMU</w:t>
      </w:r>
      <w:r>
        <w:tab/>
      </w:r>
      <w:r>
        <w:tab/>
        <w:t>40</w:t>
      </w:r>
      <w:r>
        <w:tab/>
        <w:t>8</w:t>
      </w:r>
    </w:p>
    <w:p w14:paraId="1F8863AE"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8.</w:t>
      </w:r>
      <w:r>
        <w:tab/>
      </w:r>
      <w:r w:rsidRPr="00B10B3F">
        <w:rPr>
          <w:lang w:val="fr-FR"/>
        </w:rPr>
        <w:t>Problèmes d’interprétation du tableau du 9.2.1.1</w:t>
      </w:r>
      <w:r>
        <w:tab/>
      </w:r>
      <w:r>
        <w:tab/>
        <w:t>41</w:t>
      </w:r>
      <w:r>
        <w:tab/>
        <w:t>8</w:t>
      </w:r>
    </w:p>
    <w:p w14:paraId="4E64DB82"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9.</w:t>
      </w:r>
      <w:r>
        <w:tab/>
      </w:r>
      <w:r w:rsidRPr="0022758A">
        <w:rPr>
          <w:lang w:val="fr-FR"/>
        </w:rPr>
        <w:t>Système d'extinction d'incendie pour les compartiments moteurs</w:t>
      </w:r>
      <w:r>
        <w:tab/>
      </w:r>
      <w:r>
        <w:tab/>
        <w:t>42-43</w:t>
      </w:r>
      <w:r>
        <w:tab/>
        <w:t>8</w:t>
      </w:r>
    </w:p>
    <w:p w14:paraId="0E45E724" w14:textId="143FC047"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10.</w:t>
      </w:r>
      <w:r>
        <w:tab/>
      </w:r>
      <w:r>
        <w:tab/>
      </w:r>
      <w:r w:rsidRPr="002C1523">
        <w:t xml:space="preserve">Systèmes de </w:t>
      </w:r>
      <w:r>
        <w:t>vision</w:t>
      </w:r>
      <w:r w:rsidRPr="002C1523">
        <w:t xml:space="preserve"> par caméra </w:t>
      </w:r>
      <w:r w:rsidRPr="002C1523">
        <w:rPr>
          <w:lang w:val="fr-FR"/>
        </w:rPr>
        <w:t xml:space="preserve">sur les véhicules EX/III et FL </w:t>
      </w:r>
      <w:r>
        <w:rPr>
          <w:lang w:val="fr-FR"/>
        </w:rPr>
        <w:br/>
      </w:r>
      <w:r w:rsidR="00B91DF6" w:rsidRPr="002C1523">
        <w:rPr>
          <w:lang w:val="fr-FR"/>
        </w:rPr>
        <w:t xml:space="preserve">(véhicules </w:t>
      </w:r>
      <w:r w:rsidRPr="002C1523">
        <w:rPr>
          <w:lang w:val="fr-FR"/>
        </w:rPr>
        <w:t xml:space="preserve">avec </w:t>
      </w:r>
      <w:r w:rsidR="00EC08BF" w:rsidRPr="002C1523">
        <w:rPr>
          <w:lang w:val="fr-FR"/>
        </w:rPr>
        <w:t>coupe-batterie</w:t>
      </w:r>
      <w:r w:rsidRPr="002C1523">
        <w:rPr>
          <w:lang w:val="fr-FR"/>
        </w:rPr>
        <w:t>)</w:t>
      </w:r>
      <w:r>
        <w:tab/>
      </w:r>
      <w:r>
        <w:tab/>
        <w:t>44-45</w:t>
      </w:r>
      <w:r>
        <w:tab/>
        <w:t>9</w:t>
      </w:r>
    </w:p>
    <w:p w14:paraId="2AC10C8C"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B.</w:t>
      </w:r>
      <w:r>
        <w:tab/>
        <w:t>Propositions diverses</w:t>
      </w:r>
      <w:r>
        <w:tab/>
      </w:r>
      <w:r>
        <w:tab/>
        <w:t>46-59</w:t>
      </w:r>
      <w:r>
        <w:tab/>
        <w:t>9</w:t>
      </w:r>
    </w:p>
    <w:p w14:paraId="4B0B20BD"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ab/>
        <w:t>1.</w:t>
      </w:r>
      <w:r>
        <w:tab/>
      </w:r>
      <w:r>
        <w:rPr>
          <w:lang w:val="fr-FR"/>
        </w:rPr>
        <w:t>Modification des textes adoptés à la 113</w:t>
      </w:r>
      <w:r w:rsidRPr="00AB1D9C">
        <w:rPr>
          <w:vertAlign w:val="superscript"/>
          <w:lang w:val="fr-FR"/>
        </w:rPr>
        <w:t>e</w:t>
      </w:r>
      <w:r>
        <w:rPr>
          <w:lang w:val="fr-FR"/>
        </w:rPr>
        <w:t xml:space="preserve"> session</w:t>
      </w:r>
      <w:r>
        <w:tab/>
      </w:r>
      <w:r>
        <w:tab/>
        <w:t>46</w:t>
      </w:r>
      <w:r>
        <w:tab/>
        <w:t>9</w:t>
      </w:r>
    </w:p>
    <w:p w14:paraId="04F3D040" w14:textId="3478EF4A" w:rsidR="00BB7436" w:rsidRDefault="00BB7436" w:rsidP="00BB7436">
      <w:pPr>
        <w:tabs>
          <w:tab w:val="right" w:pos="851"/>
          <w:tab w:val="left" w:pos="1560"/>
          <w:tab w:val="left" w:pos="1985"/>
          <w:tab w:val="left" w:leader="dot" w:pos="7654"/>
          <w:tab w:val="right" w:pos="8929"/>
          <w:tab w:val="right" w:pos="9638"/>
        </w:tabs>
        <w:spacing w:after="120"/>
        <w:ind w:left="1985" w:hanging="841"/>
      </w:pPr>
      <w:r>
        <w:tab/>
        <w:t>2.</w:t>
      </w:r>
      <w:r>
        <w:tab/>
      </w:r>
      <w:r w:rsidRPr="00970B91">
        <w:rPr>
          <w:lang w:val="fr-FR"/>
        </w:rPr>
        <w:t xml:space="preserve">Obligation de formation des conducteurs (équipage du véhicule) </w:t>
      </w:r>
      <w:r>
        <w:rPr>
          <w:lang w:val="fr-FR"/>
        </w:rPr>
        <w:br/>
      </w:r>
      <w:r w:rsidR="00B91DF6" w:rsidRPr="00970B91">
        <w:rPr>
          <w:lang w:val="fr-FR"/>
        </w:rPr>
        <w:t xml:space="preserve">transportant </w:t>
      </w:r>
      <w:r w:rsidRPr="00970B91">
        <w:rPr>
          <w:lang w:val="fr-FR"/>
        </w:rPr>
        <w:t>des marchandises dangereuses emballées en quantités limitées</w:t>
      </w:r>
      <w:r w:rsidR="00B91DF6">
        <w:rPr>
          <w:lang w:val="fr-FR"/>
        </w:rPr>
        <w:t xml:space="preserve"> </w:t>
      </w:r>
      <w:r>
        <w:tab/>
        <w:t>47</w:t>
      </w:r>
      <w:r>
        <w:tab/>
        <w:t>9</w:t>
      </w:r>
    </w:p>
    <w:p w14:paraId="1888D5B5" w14:textId="41E9D2FE"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3.</w:t>
      </w:r>
      <w:r>
        <w:tab/>
      </w:r>
      <w:r>
        <w:rPr>
          <w:lang w:val="fr-FR"/>
        </w:rPr>
        <w:t xml:space="preserve">Amendement au 5.4.1.4 de l’ADR : prescriptions de l’ADR concernant </w:t>
      </w:r>
      <w:r>
        <w:rPr>
          <w:lang w:val="fr-FR"/>
        </w:rPr>
        <w:br/>
      </w:r>
      <w:r w:rsidR="00B91DF6">
        <w:rPr>
          <w:lang w:val="fr-FR"/>
        </w:rPr>
        <w:t xml:space="preserve">la langue </w:t>
      </w:r>
      <w:r>
        <w:rPr>
          <w:lang w:val="fr-FR"/>
        </w:rPr>
        <w:t>du document de transport</w:t>
      </w:r>
      <w:r>
        <w:tab/>
      </w:r>
      <w:r>
        <w:tab/>
        <w:t>48</w:t>
      </w:r>
      <w:r>
        <w:tab/>
        <w:t>9</w:t>
      </w:r>
    </w:p>
    <w:p w14:paraId="547B4BE8"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144"/>
      </w:pPr>
      <w:r>
        <w:tab/>
        <w:t>4.</w:t>
      </w:r>
      <w:r>
        <w:tab/>
      </w:r>
      <w:r w:rsidRPr="00F6298C">
        <w:rPr>
          <w:lang w:val="fr-FR"/>
        </w:rPr>
        <w:t>Chauffage à combustion</w:t>
      </w:r>
      <w:r>
        <w:tab/>
      </w:r>
      <w:r>
        <w:tab/>
        <w:t>49</w:t>
      </w:r>
      <w:r>
        <w:tab/>
        <w:t>9</w:t>
      </w:r>
    </w:p>
    <w:p w14:paraId="191BE43E" w14:textId="7D65658E"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5</w:t>
      </w:r>
      <w:r w:rsidR="00446D79">
        <w:t>.</w:t>
      </w:r>
      <w:r>
        <w:tab/>
      </w:r>
      <w:r>
        <w:tab/>
      </w:r>
      <w:r w:rsidRPr="007C35E4">
        <w:rPr>
          <w:lang w:val="fr-FR"/>
        </w:rPr>
        <w:t>Documents de bord</w:t>
      </w:r>
      <w:r>
        <w:tab/>
      </w:r>
      <w:r>
        <w:tab/>
        <w:t>50-51</w:t>
      </w:r>
      <w:r>
        <w:tab/>
        <w:t>9</w:t>
      </w:r>
    </w:p>
    <w:p w14:paraId="5E0FD3A5" w14:textId="35F5F7BD"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6</w:t>
      </w:r>
      <w:r w:rsidR="00446D79">
        <w:t>.</w:t>
      </w:r>
      <w:r>
        <w:tab/>
      </w:r>
      <w:r>
        <w:rPr>
          <w:lang w:val="fr-FR"/>
        </w:rPr>
        <w:t>Définition de véhicule couvert</w:t>
      </w:r>
      <w:r>
        <w:tab/>
      </w:r>
      <w:r>
        <w:tab/>
        <w:t>52-53</w:t>
      </w:r>
      <w:r>
        <w:tab/>
        <w:t>10</w:t>
      </w:r>
    </w:p>
    <w:p w14:paraId="203758D4" w14:textId="382DF0F1"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7</w:t>
      </w:r>
      <w:r w:rsidR="00446D79">
        <w:t>.</w:t>
      </w:r>
      <w:r>
        <w:tab/>
      </w:r>
      <w:r>
        <w:tab/>
      </w:r>
      <w:r w:rsidRPr="00DE5E9E">
        <w:rPr>
          <w:lang w:val="fr-FR"/>
        </w:rPr>
        <w:t>Amendement au</w:t>
      </w:r>
      <w:r>
        <w:rPr>
          <w:lang w:val="fr-FR"/>
        </w:rPr>
        <w:t>x</w:t>
      </w:r>
      <w:r w:rsidRPr="00DE5E9E">
        <w:rPr>
          <w:lang w:val="fr-FR"/>
        </w:rPr>
        <w:t xml:space="preserve"> 7.5.7.5</w:t>
      </w:r>
      <w:r>
        <w:rPr>
          <w:lang w:val="fr-FR"/>
        </w:rPr>
        <w:t xml:space="preserve"> et </w:t>
      </w:r>
      <w:r w:rsidRPr="00DE5E9E">
        <w:rPr>
          <w:lang w:val="fr-FR"/>
        </w:rPr>
        <w:t>8.3.3</w:t>
      </w:r>
      <w:r>
        <w:tab/>
      </w:r>
      <w:r>
        <w:tab/>
        <w:t>54-55</w:t>
      </w:r>
      <w:r>
        <w:tab/>
        <w:t>10</w:t>
      </w:r>
    </w:p>
    <w:p w14:paraId="06578879" w14:textId="55811AE0"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8</w:t>
      </w:r>
      <w:r w:rsidR="00446D79">
        <w:t>.</w:t>
      </w:r>
      <w:r>
        <w:tab/>
      </w:r>
      <w:r>
        <w:tab/>
      </w:r>
      <w:r w:rsidRPr="002F0A7C">
        <w:t xml:space="preserve">Temps de retenue réel - conteneurs-citernes et citernes mobiles </w:t>
      </w:r>
      <w:r>
        <w:br/>
      </w:r>
      <w:r w:rsidR="00B91DF6" w:rsidRPr="002F0A7C">
        <w:t xml:space="preserve">en transport routier </w:t>
      </w:r>
      <w:r w:rsidRPr="002F0A7C">
        <w:t>uniquement</w:t>
      </w:r>
      <w:r>
        <w:tab/>
      </w:r>
      <w:r>
        <w:tab/>
        <w:t>56-57</w:t>
      </w:r>
      <w:r>
        <w:tab/>
        <w:t>10</w:t>
      </w:r>
    </w:p>
    <w:p w14:paraId="671B3A0F" w14:textId="040CCA0F"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9</w:t>
      </w:r>
      <w:r w:rsidR="00701153">
        <w:t>.</w:t>
      </w:r>
      <w:r>
        <w:tab/>
      </w:r>
      <w:r>
        <w:tab/>
      </w:r>
      <w:r w:rsidRPr="00B8558A">
        <w:t>Proposition de correction à l’ADR 2023</w:t>
      </w:r>
      <w:r>
        <w:tab/>
      </w:r>
      <w:r>
        <w:tab/>
        <w:t>58</w:t>
      </w:r>
      <w:r>
        <w:tab/>
        <w:t>10</w:t>
      </w:r>
    </w:p>
    <w:p w14:paraId="1A8F42D1" w14:textId="79B05FA4"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rPr>
          <w:lang w:val="fr-FR" w:eastAsia="en-US"/>
        </w:rPr>
      </w:pPr>
      <w:r>
        <w:tab/>
        <w:t>10</w:t>
      </w:r>
      <w:r w:rsidR="00701153">
        <w:t>.</w:t>
      </w:r>
      <w:r>
        <w:tab/>
      </w:r>
      <w:r>
        <w:tab/>
      </w:r>
      <w:r w:rsidRPr="00B52226">
        <w:rPr>
          <w:lang w:val="fr-FR"/>
        </w:rPr>
        <w:t xml:space="preserve">Signalisation orange d'un véhicule-citerne portant les </w:t>
      </w:r>
      <w:r>
        <w:rPr>
          <w:lang w:val="fr-FR"/>
        </w:rPr>
        <w:br/>
      </w:r>
      <w:r w:rsidR="00B91DF6" w:rsidRPr="00B52226">
        <w:rPr>
          <w:lang w:val="fr-FR"/>
        </w:rPr>
        <w:t>numéros ONU 1202, 1203</w:t>
      </w:r>
      <w:r w:rsidR="00B91DF6">
        <w:rPr>
          <w:lang w:val="fr-FR"/>
        </w:rPr>
        <w:t xml:space="preserve"> </w:t>
      </w:r>
      <w:r w:rsidRPr="00B52226">
        <w:rPr>
          <w:lang w:val="fr-FR"/>
        </w:rPr>
        <w:t>et 3475</w:t>
      </w:r>
      <w:r>
        <w:tab/>
      </w:r>
      <w:r>
        <w:tab/>
        <w:t>59</w:t>
      </w:r>
      <w:r>
        <w:tab/>
        <w:t>10</w:t>
      </w:r>
    </w:p>
    <w:p w14:paraId="05031EF3"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hanging="435"/>
        <w:rPr>
          <w:lang w:eastAsia="en-US"/>
        </w:rPr>
      </w:pPr>
      <w:r>
        <w:tab/>
        <w:t>VII.</w:t>
      </w:r>
      <w:r>
        <w:tab/>
      </w:r>
      <w:r>
        <w:rPr>
          <w:lang w:eastAsia="en-US"/>
        </w:rPr>
        <w:t>Interprétation de l’ADR (point 6 de l’ordre du jour)</w:t>
      </w:r>
      <w:r>
        <w:rPr>
          <w:lang w:eastAsia="en-US"/>
        </w:rPr>
        <w:tab/>
      </w:r>
      <w:r>
        <w:rPr>
          <w:lang w:eastAsia="en-US"/>
        </w:rPr>
        <w:tab/>
        <w:t>60-71</w:t>
      </w:r>
      <w:r>
        <w:rPr>
          <w:lang w:eastAsia="en-US"/>
        </w:rPr>
        <w:tab/>
        <w:t>11</w:t>
      </w:r>
    </w:p>
    <w:p w14:paraId="63C70DA4"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pPr>
      <w:r>
        <w:tab/>
        <w:t>1.</w:t>
      </w:r>
      <w:r>
        <w:tab/>
      </w:r>
      <w:r w:rsidRPr="008C5EB0">
        <w:rPr>
          <w:lang w:val="fr-FR"/>
        </w:rPr>
        <w:t>Champ d’application de l’ADR</w:t>
      </w:r>
      <w:r>
        <w:tab/>
      </w:r>
      <w:r>
        <w:tab/>
        <w:t>60-63</w:t>
      </w:r>
      <w:r>
        <w:tab/>
        <w:t>11</w:t>
      </w:r>
    </w:p>
    <w:p w14:paraId="666343B6" w14:textId="77777777" w:rsidR="00BB7436" w:rsidRDefault="00BB7436" w:rsidP="00BB7436">
      <w:pPr>
        <w:tabs>
          <w:tab w:val="right" w:pos="851"/>
          <w:tab w:val="left" w:pos="1560"/>
          <w:tab w:val="left" w:pos="1985"/>
          <w:tab w:val="left" w:leader="dot" w:pos="7654"/>
          <w:tab w:val="right" w:pos="8929"/>
          <w:tab w:val="right" w:pos="9638"/>
        </w:tabs>
        <w:spacing w:after="120"/>
        <w:ind w:left="1985" w:hanging="841"/>
      </w:pPr>
      <w:r>
        <w:tab/>
        <w:t>2.</w:t>
      </w:r>
      <w:r>
        <w:tab/>
      </w:r>
      <w:r w:rsidRPr="008C5EB0">
        <w:rPr>
          <w:lang w:val="fr-FR"/>
        </w:rPr>
        <w:t>Interprétation du 4.1.1.15</w:t>
      </w:r>
      <w:r>
        <w:tab/>
      </w:r>
      <w:r>
        <w:tab/>
        <w:t>64-66</w:t>
      </w:r>
      <w:r>
        <w:tab/>
        <w:t>11</w:t>
      </w:r>
    </w:p>
    <w:p w14:paraId="092995FB" w14:textId="2F160BE2" w:rsidR="00BB7436" w:rsidRDefault="00BB7436" w:rsidP="00BB7436">
      <w:pPr>
        <w:tabs>
          <w:tab w:val="right" w:pos="851"/>
          <w:tab w:val="left" w:pos="1134"/>
          <w:tab w:val="left" w:pos="1560"/>
          <w:tab w:val="left" w:pos="1985"/>
          <w:tab w:val="left" w:leader="dot" w:pos="7654"/>
          <w:tab w:val="right" w:pos="8929"/>
          <w:tab w:val="right" w:pos="9638"/>
        </w:tabs>
        <w:spacing w:after="120"/>
        <w:ind w:left="1984" w:hanging="840"/>
      </w:pPr>
      <w:r>
        <w:tab/>
        <w:t>3.</w:t>
      </w:r>
      <w:r>
        <w:tab/>
      </w:r>
      <w:r>
        <w:tab/>
      </w:r>
      <w:r w:rsidRPr="00FD151F">
        <w:rPr>
          <w:lang w:val="fr-FR"/>
        </w:rPr>
        <w:t xml:space="preserve">Document de transport et informations connexes - marchandises </w:t>
      </w:r>
      <w:r>
        <w:rPr>
          <w:lang w:val="fr-FR"/>
        </w:rPr>
        <w:br/>
      </w:r>
      <w:r w:rsidR="00B91DF6" w:rsidRPr="00FD151F">
        <w:rPr>
          <w:lang w:val="fr-FR"/>
        </w:rPr>
        <w:t xml:space="preserve">dans chaque </w:t>
      </w:r>
      <w:r w:rsidRPr="00FD151F">
        <w:rPr>
          <w:lang w:val="fr-FR"/>
        </w:rPr>
        <w:t>unité de transport</w:t>
      </w:r>
      <w:r>
        <w:tab/>
      </w:r>
      <w:r>
        <w:tab/>
        <w:t>67-69</w:t>
      </w:r>
      <w:r>
        <w:tab/>
        <w:t>11</w:t>
      </w:r>
    </w:p>
    <w:p w14:paraId="1B6B7123"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144"/>
      </w:pPr>
      <w:r>
        <w:tab/>
        <w:t>4.</w:t>
      </w:r>
      <w:r>
        <w:tab/>
      </w:r>
      <w:r w:rsidRPr="00FD151F">
        <w:rPr>
          <w:lang w:val="fr-FR"/>
        </w:rPr>
        <w:t>Certificat d’agrément des véhicules</w:t>
      </w:r>
      <w:r>
        <w:tab/>
      </w:r>
      <w:r>
        <w:tab/>
        <w:t>70-71</w:t>
      </w:r>
      <w:r>
        <w:tab/>
        <w:t>12</w:t>
      </w:r>
    </w:p>
    <w:p w14:paraId="03E012FA" w14:textId="77777777" w:rsidR="00BB7436" w:rsidRDefault="00BB7436" w:rsidP="00D93341">
      <w:pPr>
        <w:tabs>
          <w:tab w:val="right" w:pos="851"/>
          <w:tab w:val="left" w:pos="1134"/>
          <w:tab w:val="left" w:pos="1559"/>
          <w:tab w:val="left" w:pos="1984"/>
          <w:tab w:val="left" w:leader="dot" w:pos="7654"/>
          <w:tab w:val="right" w:pos="8929"/>
          <w:tab w:val="right" w:pos="9638"/>
        </w:tabs>
        <w:spacing w:after="120"/>
        <w:ind w:left="1144" w:hanging="435"/>
        <w:rPr>
          <w:lang w:eastAsia="en-US"/>
        </w:rPr>
      </w:pPr>
      <w:r>
        <w:tab/>
        <w:t>VIII.</w:t>
      </w:r>
      <w:r>
        <w:tab/>
      </w:r>
      <w:r>
        <w:rPr>
          <w:lang w:eastAsia="en-US"/>
        </w:rPr>
        <w:t xml:space="preserve">Économie circulaire, utilisation durable des ressources naturelles et </w:t>
      </w:r>
      <w:r>
        <w:rPr>
          <w:lang w:eastAsia="en-US"/>
        </w:rPr>
        <w:br/>
        <w:t>objectifs de développement durable (point 7 de l’ordre du jour)</w:t>
      </w:r>
      <w:r>
        <w:rPr>
          <w:lang w:eastAsia="en-US"/>
        </w:rPr>
        <w:tab/>
      </w:r>
      <w:r>
        <w:rPr>
          <w:lang w:eastAsia="en-US"/>
        </w:rPr>
        <w:tab/>
        <w:t>72-73</w:t>
      </w:r>
      <w:r>
        <w:rPr>
          <w:lang w:eastAsia="en-US"/>
        </w:rPr>
        <w:tab/>
        <w:t>12</w:t>
      </w:r>
    </w:p>
    <w:p w14:paraId="4644AA55"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144" w:hanging="435"/>
        <w:rPr>
          <w:lang w:eastAsia="en-US"/>
        </w:rPr>
      </w:pPr>
      <w:r>
        <w:rPr>
          <w:lang w:eastAsia="en-US"/>
        </w:rPr>
        <w:t>IX.</w:t>
      </w:r>
      <w:r>
        <w:rPr>
          <w:lang w:eastAsia="en-US"/>
        </w:rPr>
        <w:tab/>
        <w:t>Programme de travail (point 8 de l’ordre du jour)</w:t>
      </w:r>
      <w:r>
        <w:rPr>
          <w:lang w:eastAsia="en-US"/>
        </w:rPr>
        <w:tab/>
      </w:r>
      <w:r>
        <w:rPr>
          <w:lang w:eastAsia="en-US"/>
        </w:rPr>
        <w:tab/>
        <w:t>74-83</w:t>
      </w:r>
      <w:r>
        <w:rPr>
          <w:lang w:eastAsia="en-US"/>
        </w:rPr>
        <w:tab/>
        <w:t>12</w:t>
      </w:r>
    </w:p>
    <w:p w14:paraId="53474A7B"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560" w:hanging="416"/>
      </w:pPr>
      <w:r>
        <w:t>A.</w:t>
      </w:r>
      <w:r>
        <w:tab/>
      </w:r>
      <w:r w:rsidRPr="00D126EA">
        <w:rPr>
          <w:lang w:val="fr-FR"/>
        </w:rPr>
        <w:t>115</w:t>
      </w:r>
      <w:r w:rsidRPr="00D126EA">
        <w:rPr>
          <w:vertAlign w:val="superscript"/>
          <w:lang w:val="fr-FR"/>
        </w:rPr>
        <w:t>e</w:t>
      </w:r>
      <w:r w:rsidRPr="00D126EA">
        <w:rPr>
          <w:lang w:val="fr-FR"/>
        </w:rPr>
        <w:t xml:space="preserve"> session</w:t>
      </w:r>
      <w:r>
        <w:tab/>
      </w:r>
      <w:r>
        <w:tab/>
        <w:t>74-75</w:t>
      </w:r>
      <w:r>
        <w:tab/>
        <w:t>12</w:t>
      </w:r>
    </w:p>
    <w:p w14:paraId="71013516"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560" w:hanging="416"/>
      </w:pPr>
      <w:r>
        <w:t>B.</w:t>
      </w:r>
      <w:r>
        <w:tab/>
      </w:r>
      <w:r w:rsidRPr="00D126EA">
        <w:rPr>
          <w:lang w:val="fr-FR"/>
        </w:rPr>
        <w:t>Amendements de 2025</w:t>
      </w:r>
      <w:r>
        <w:tab/>
      </w:r>
      <w:r>
        <w:tab/>
        <w:t>76-77</w:t>
      </w:r>
      <w:r>
        <w:tab/>
        <w:t>12</w:t>
      </w:r>
    </w:p>
    <w:p w14:paraId="565E761E" w14:textId="77777777" w:rsidR="00BB7436" w:rsidRDefault="00BB7436" w:rsidP="00BB7436">
      <w:pPr>
        <w:tabs>
          <w:tab w:val="right" w:pos="851"/>
          <w:tab w:val="left" w:pos="1134"/>
          <w:tab w:val="left" w:pos="1560"/>
          <w:tab w:val="left" w:pos="1985"/>
          <w:tab w:val="left" w:leader="dot" w:pos="7654"/>
          <w:tab w:val="right" w:pos="8929"/>
          <w:tab w:val="right" w:pos="9638"/>
        </w:tabs>
        <w:spacing w:after="120"/>
        <w:ind w:left="1560" w:hanging="416"/>
      </w:pPr>
      <w:r>
        <w:t>C.</w:t>
      </w:r>
      <w:r>
        <w:tab/>
      </w:r>
      <w:r w:rsidRPr="00FD151F">
        <w:rPr>
          <w:lang w:val="fr-FR"/>
        </w:rPr>
        <w:t>Efficacité et méthodes du Groupe de travail</w:t>
      </w:r>
      <w:r>
        <w:tab/>
      </w:r>
      <w:r>
        <w:tab/>
        <w:t>78-83</w:t>
      </w:r>
      <w:r>
        <w:tab/>
        <w:t>13</w:t>
      </w:r>
    </w:p>
    <w:p w14:paraId="00E630BF"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hanging="435"/>
        <w:rPr>
          <w:lang w:eastAsia="en-US"/>
        </w:rPr>
      </w:pPr>
      <w:r>
        <w:rPr>
          <w:lang w:eastAsia="en-US"/>
        </w:rPr>
        <w:t>X.</w:t>
      </w:r>
      <w:r>
        <w:rPr>
          <w:lang w:eastAsia="en-US"/>
        </w:rPr>
        <w:tab/>
        <w:t>Questions diverses (point 9 de l’ordre du jour)</w:t>
      </w:r>
      <w:r>
        <w:rPr>
          <w:lang w:eastAsia="en-US"/>
        </w:rPr>
        <w:tab/>
      </w:r>
      <w:r>
        <w:rPr>
          <w:lang w:eastAsia="en-US"/>
        </w:rPr>
        <w:tab/>
        <w:t>84</w:t>
      </w:r>
      <w:r>
        <w:rPr>
          <w:lang w:eastAsia="en-US"/>
        </w:rPr>
        <w:tab/>
        <w:t>13</w:t>
      </w:r>
    </w:p>
    <w:p w14:paraId="19E8CCAE"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hanging="435"/>
        <w:rPr>
          <w:lang w:eastAsia="en-US"/>
        </w:rPr>
      </w:pPr>
      <w:r>
        <w:rPr>
          <w:lang w:eastAsia="en-US"/>
        </w:rPr>
        <w:lastRenderedPageBreak/>
        <w:t>XI.</w:t>
      </w:r>
      <w:r>
        <w:rPr>
          <w:lang w:eastAsia="en-US"/>
        </w:rPr>
        <w:tab/>
      </w:r>
      <w:r w:rsidRPr="00970DD9">
        <w:rPr>
          <w:lang w:eastAsia="en-US"/>
        </w:rPr>
        <w:t>Élection du Bureau pour 2024 (point 10 de l’ordre du jour)</w:t>
      </w:r>
      <w:r>
        <w:rPr>
          <w:lang w:eastAsia="en-US"/>
        </w:rPr>
        <w:tab/>
      </w:r>
      <w:r>
        <w:rPr>
          <w:lang w:eastAsia="en-US"/>
        </w:rPr>
        <w:tab/>
        <w:t>85</w:t>
      </w:r>
      <w:r>
        <w:rPr>
          <w:lang w:eastAsia="en-US"/>
        </w:rPr>
        <w:tab/>
        <w:t>14</w:t>
      </w:r>
    </w:p>
    <w:p w14:paraId="1300F905"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hanging="435"/>
        <w:rPr>
          <w:lang w:eastAsia="en-US"/>
        </w:rPr>
      </w:pPr>
      <w:r>
        <w:rPr>
          <w:lang w:eastAsia="en-US"/>
        </w:rPr>
        <w:t>XII.</w:t>
      </w:r>
      <w:r>
        <w:rPr>
          <w:lang w:eastAsia="en-US"/>
        </w:rPr>
        <w:tab/>
      </w:r>
      <w:r>
        <w:rPr>
          <w:lang w:eastAsia="en-US"/>
        </w:rPr>
        <w:tab/>
      </w:r>
      <w:r w:rsidRPr="00970DD9">
        <w:rPr>
          <w:lang w:eastAsia="en-US"/>
        </w:rPr>
        <w:t>Adoption du rapport (point 11 de l’ordre du jour)</w:t>
      </w:r>
      <w:r>
        <w:rPr>
          <w:lang w:eastAsia="en-US"/>
        </w:rPr>
        <w:tab/>
      </w:r>
      <w:r>
        <w:rPr>
          <w:lang w:eastAsia="en-US"/>
        </w:rPr>
        <w:tab/>
        <w:t>86</w:t>
      </w:r>
      <w:r>
        <w:rPr>
          <w:lang w:eastAsia="en-US"/>
        </w:rPr>
        <w:tab/>
        <w:t>14</w:t>
      </w:r>
    </w:p>
    <w:p w14:paraId="275DF093" w14:textId="77777777" w:rsidR="00BB7436" w:rsidRDefault="00BB7436" w:rsidP="00BB7436">
      <w:pPr>
        <w:tabs>
          <w:tab w:val="right" w:pos="851"/>
          <w:tab w:val="left" w:pos="1134"/>
          <w:tab w:val="left" w:pos="1559"/>
          <w:tab w:val="left" w:pos="1984"/>
          <w:tab w:val="left" w:leader="dot" w:pos="7654"/>
          <w:tab w:val="right" w:pos="8929"/>
          <w:tab w:val="right" w:pos="9638"/>
        </w:tabs>
        <w:spacing w:after="120"/>
        <w:ind w:left="1144" w:hanging="435"/>
        <w:rPr>
          <w:lang w:eastAsia="en-US"/>
        </w:rPr>
      </w:pPr>
    </w:p>
    <w:p w14:paraId="4704A785" w14:textId="77777777" w:rsidR="00B91DF6" w:rsidRPr="006D68C7" w:rsidRDefault="00B91DF6" w:rsidP="00B91DF6">
      <w:pPr>
        <w:tabs>
          <w:tab w:val="right" w:pos="850"/>
          <w:tab w:val="left" w:leader="dot" w:pos="7654"/>
          <w:tab w:val="right" w:pos="8929"/>
          <w:tab w:val="right" w:pos="9638"/>
        </w:tabs>
        <w:suppressAutoHyphens/>
        <w:spacing w:after="120"/>
        <w:rPr>
          <w:lang w:val="fr-FR" w:eastAsia="en-US"/>
        </w:rPr>
      </w:pPr>
      <w:r w:rsidRPr="006D68C7">
        <w:rPr>
          <w:lang w:val="fr-FR" w:eastAsia="en-US"/>
        </w:rPr>
        <w:t>Annexes</w:t>
      </w:r>
    </w:p>
    <w:p w14:paraId="189B7EEC" w14:textId="5C3A5968" w:rsidR="00B91DF6" w:rsidRPr="006D68C7" w:rsidRDefault="00B91DF6" w:rsidP="00B91DF6">
      <w:pPr>
        <w:tabs>
          <w:tab w:val="right" w:pos="850"/>
          <w:tab w:val="left" w:pos="1134"/>
          <w:tab w:val="left" w:pos="1559"/>
          <w:tab w:val="left" w:pos="1984"/>
          <w:tab w:val="left" w:leader="dot" w:pos="7654"/>
          <w:tab w:val="right" w:pos="8929"/>
          <w:tab w:val="right" w:pos="9638"/>
        </w:tabs>
        <w:suppressAutoHyphens/>
        <w:spacing w:after="120"/>
        <w:rPr>
          <w:lang w:val="fr-FR" w:eastAsia="en-US"/>
        </w:rPr>
      </w:pPr>
      <w:r w:rsidRPr="006D68C7">
        <w:rPr>
          <w:lang w:val="fr-FR" w:eastAsia="en-US"/>
        </w:rPr>
        <w:tab/>
        <w:t>I.</w:t>
      </w:r>
      <w:r w:rsidRPr="006D68C7">
        <w:rPr>
          <w:lang w:val="fr-FR" w:eastAsia="en-US"/>
        </w:rPr>
        <w:tab/>
      </w:r>
      <w:r>
        <w:rPr>
          <w:bCs/>
          <w:lang w:val="fr-FR"/>
        </w:rPr>
        <w:t>Projet de m</w:t>
      </w:r>
      <w:r w:rsidRPr="00455A13">
        <w:rPr>
          <w:bCs/>
          <w:lang w:val="fr-FR"/>
        </w:rPr>
        <w:t>andat</w:t>
      </w:r>
      <w:r>
        <w:rPr>
          <w:bCs/>
          <w:lang w:val="fr-FR"/>
        </w:rPr>
        <w:t xml:space="preserve"> révisé proposé par le </w:t>
      </w:r>
      <w:r w:rsidRPr="00455A13">
        <w:rPr>
          <w:lang w:val="fr-FR"/>
        </w:rPr>
        <w:t>Groupe</w:t>
      </w:r>
      <w:r w:rsidRPr="00455A13">
        <w:rPr>
          <w:bCs/>
          <w:lang w:val="fr-FR"/>
        </w:rPr>
        <w:t xml:space="preserve"> de travail</w:t>
      </w:r>
      <w:r w:rsidRPr="006D68C7">
        <w:rPr>
          <w:webHidden/>
          <w:lang w:val="fr-FR" w:eastAsia="en-US"/>
        </w:rPr>
        <w:tab/>
      </w:r>
      <w:r w:rsidRPr="006D68C7">
        <w:rPr>
          <w:webHidden/>
          <w:lang w:val="fr-FR" w:eastAsia="en-US"/>
        </w:rPr>
        <w:tab/>
      </w:r>
      <w:r w:rsidRPr="006D68C7">
        <w:rPr>
          <w:webHidden/>
          <w:lang w:val="fr-FR" w:eastAsia="en-US"/>
        </w:rPr>
        <w:tab/>
        <w:t>1</w:t>
      </w:r>
      <w:r>
        <w:rPr>
          <w:webHidden/>
          <w:lang w:val="fr-FR" w:eastAsia="en-US"/>
        </w:rPr>
        <w:t>5</w:t>
      </w:r>
    </w:p>
    <w:p w14:paraId="2060E2E7" w14:textId="090D6389" w:rsidR="00B91DF6" w:rsidRPr="00B91DF6" w:rsidRDefault="00B91DF6" w:rsidP="00B91DF6">
      <w:pPr>
        <w:tabs>
          <w:tab w:val="right" w:pos="850"/>
          <w:tab w:val="left" w:pos="1134"/>
          <w:tab w:val="left" w:pos="1559"/>
          <w:tab w:val="left" w:pos="1984"/>
          <w:tab w:val="left" w:leader="dot" w:pos="7654"/>
          <w:tab w:val="right" w:pos="8929"/>
          <w:tab w:val="right" w:pos="9638"/>
        </w:tabs>
        <w:suppressAutoHyphens/>
        <w:spacing w:after="120"/>
        <w:rPr>
          <w:webHidden/>
          <w:lang w:val="fr-FR" w:eastAsia="en-US"/>
        </w:rPr>
      </w:pPr>
      <w:r w:rsidRPr="006D68C7">
        <w:rPr>
          <w:lang w:val="fr-FR" w:eastAsia="en-US"/>
        </w:rPr>
        <w:tab/>
        <w:t>II</w:t>
      </w:r>
      <w:r w:rsidRPr="00B91DF6">
        <w:rPr>
          <w:lang w:val="fr-FR" w:eastAsia="en-US"/>
        </w:rPr>
        <w:t>.</w:t>
      </w:r>
      <w:r w:rsidRPr="006D68C7">
        <w:rPr>
          <w:webHidden/>
          <w:lang w:val="fr-FR" w:eastAsia="en-US"/>
        </w:rPr>
        <w:tab/>
      </w:r>
      <w:r w:rsidRPr="004A2EDD">
        <w:rPr>
          <w:lang w:val="fr-FR"/>
        </w:rPr>
        <w:t xml:space="preserve">Projet d’amendements aux annexes A et B de l’ADR pour entrée </w:t>
      </w:r>
      <w:r>
        <w:rPr>
          <w:lang w:val="fr-FR"/>
        </w:rPr>
        <w:br/>
      </w:r>
      <w:r>
        <w:rPr>
          <w:lang w:val="fr-FR"/>
        </w:rPr>
        <w:tab/>
      </w:r>
      <w:r>
        <w:rPr>
          <w:lang w:val="fr-FR"/>
        </w:rPr>
        <w:tab/>
      </w:r>
      <w:r w:rsidRPr="004A2EDD">
        <w:rPr>
          <w:lang w:val="fr-FR"/>
        </w:rPr>
        <w:t>en vigueur le 1er janvier 2025</w:t>
      </w:r>
      <w:r w:rsidRPr="006D68C7">
        <w:rPr>
          <w:webHidden/>
          <w:lang w:val="fr-FR" w:eastAsia="en-US"/>
        </w:rPr>
        <w:tab/>
      </w:r>
      <w:r w:rsidRPr="006D68C7">
        <w:rPr>
          <w:webHidden/>
          <w:lang w:val="fr-FR" w:eastAsia="en-US"/>
        </w:rPr>
        <w:tab/>
      </w:r>
      <w:r>
        <w:rPr>
          <w:webHidden/>
          <w:lang w:val="fr-FR" w:eastAsia="en-US"/>
        </w:rPr>
        <w:tab/>
        <w:t>17</w:t>
      </w:r>
    </w:p>
    <w:p w14:paraId="3FED701D" w14:textId="692A9BFA" w:rsidR="00B91DF6" w:rsidRPr="00B91DF6" w:rsidRDefault="00B91DF6" w:rsidP="00B91DF6">
      <w:pPr>
        <w:tabs>
          <w:tab w:val="right" w:pos="850"/>
          <w:tab w:val="left" w:pos="1134"/>
          <w:tab w:val="left" w:pos="1559"/>
          <w:tab w:val="left" w:pos="1984"/>
          <w:tab w:val="left" w:leader="dot" w:pos="7654"/>
          <w:tab w:val="right" w:pos="8929"/>
          <w:tab w:val="right" w:pos="9638"/>
        </w:tabs>
        <w:suppressAutoHyphens/>
        <w:spacing w:after="120"/>
        <w:ind w:left="1134" w:hanging="1134"/>
        <w:rPr>
          <w:webHidden/>
          <w:lang w:val="fr-FR" w:eastAsia="en-US"/>
        </w:rPr>
      </w:pPr>
      <w:r w:rsidRPr="006D68C7">
        <w:rPr>
          <w:lang w:val="fr-FR" w:eastAsia="en-US"/>
        </w:rPr>
        <w:tab/>
        <w:t>II</w:t>
      </w:r>
      <w:r w:rsidRPr="00B91DF6">
        <w:rPr>
          <w:lang w:val="fr-FR" w:eastAsia="en-US"/>
        </w:rPr>
        <w:t>I.</w:t>
      </w:r>
      <w:r w:rsidRPr="006D68C7">
        <w:rPr>
          <w:webHidden/>
          <w:lang w:val="fr-FR" w:eastAsia="en-US"/>
        </w:rPr>
        <w:tab/>
      </w:r>
      <w:r w:rsidRPr="004A2EDD">
        <w:rPr>
          <w:lang w:val="fr-FR"/>
        </w:rPr>
        <w:t xml:space="preserve">Projet d’amendements aux annexes A et B de l’ADR pour entrée </w:t>
      </w:r>
      <w:r>
        <w:rPr>
          <w:lang w:val="fr-FR"/>
        </w:rPr>
        <w:br/>
      </w:r>
      <w:r w:rsidRPr="004A2EDD">
        <w:rPr>
          <w:lang w:val="fr-FR"/>
        </w:rPr>
        <w:t>en vigueur le 1er janvier 2025 à confirmer lors de la prochaine session</w:t>
      </w:r>
      <w:r w:rsidRPr="006D68C7">
        <w:rPr>
          <w:webHidden/>
          <w:lang w:val="fr-FR" w:eastAsia="en-US"/>
        </w:rPr>
        <w:tab/>
      </w:r>
      <w:r w:rsidRPr="00B91DF6">
        <w:rPr>
          <w:webHidden/>
          <w:lang w:val="fr-FR" w:eastAsia="en-US"/>
        </w:rPr>
        <w:tab/>
      </w:r>
      <w:r w:rsidRPr="006D68C7">
        <w:rPr>
          <w:webHidden/>
          <w:lang w:val="fr-FR" w:eastAsia="en-US"/>
        </w:rPr>
        <w:tab/>
      </w:r>
      <w:r>
        <w:rPr>
          <w:webHidden/>
          <w:lang w:val="fr-FR" w:eastAsia="en-US"/>
        </w:rPr>
        <w:t>20</w:t>
      </w:r>
    </w:p>
    <w:p w14:paraId="53802D13" w14:textId="784FE8BE" w:rsidR="00B91DF6" w:rsidRDefault="00B91DF6" w:rsidP="00B91DF6">
      <w:pPr>
        <w:tabs>
          <w:tab w:val="right" w:pos="850"/>
          <w:tab w:val="left" w:pos="1134"/>
          <w:tab w:val="left" w:pos="1559"/>
          <w:tab w:val="left" w:pos="1984"/>
          <w:tab w:val="left" w:leader="dot" w:pos="7654"/>
          <w:tab w:val="right" w:pos="8929"/>
          <w:tab w:val="right" w:pos="9638"/>
        </w:tabs>
        <w:suppressAutoHyphens/>
        <w:spacing w:after="120"/>
        <w:rPr>
          <w:webHidden/>
          <w:lang w:val="fr-FR" w:eastAsia="en-US"/>
        </w:rPr>
      </w:pPr>
      <w:r w:rsidRPr="006D68C7">
        <w:rPr>
          <w:lang w:val="fr-FR" w:eastAsia="en-US"/>
        </w:rPr>
        <w:tab/>
      </w:r>
      <w:r w:rsidRPr="00B91DF6">
        <w:rPr>
          <w:lang w:val="fr-FR" w:eastAsia="en-US"/>
        </w:rPr>
        <w:t>IV.</w:t>
      </w:r>
      <w:r w:rsidRPr="006D68C7">
        <w:rPr>
          <w:webHidden/>
          <w:lang w:val="fr-FR" w:eastAsia="en-US"/>
        </w:rPr>
        <w:tab/>
      </w:r>
      <w:r w:rsidRPr="00840F7A">
        <w:rPr>
          <w:lang w:val="fr-FR"/>
        </w:rPr>
        <w:t>Corrections</w:t>
      </w:r>
      <w:r>
        <w:t xml:space="preserve"> à la version anglaise de l’ADR 2023</w:t>
      </w:r>
      <w:r w:rsidRPr="006D68C7">
        <w:rPr>
          <w:webHidden/>
          <w:lang w:val="fr-FR" w:eastAsia="en-US"/>
        </w:rPr>
        <w:tab/>
      </w:r>
      <w:r w:rsidRPr="006D68C7">
        <w:rPr>
          <w:webHidden/>
          <w:lang w:val="fr-FR" w:eastAsia="en-US"/>
        </w:rPr>
        <w:tab/>
      </w:r>
      <w:r w:rsidRPr="00B91DF6">
        <w:rPr>
          <w:webHidden/>
          <w:lang w:val="fr-FR" w:eastAsia="en-US"/>
        </w:rPr>
        <w:tab/>
        <w:t>2</w:t>
      </w:r>
      <w:r>
        <w:rPr>
          <w:webHidden/>
          <w:lang w:val="fr-FR" w:eastAsia="en-US"/>
        </w:rPr>
        <w:t>5</w:t>
      </w:r>
    </w:p>
    <w:p w14:paraId="3BF4E70C" w14:textId="3D5098EB" w:rsidR="00C80937" w:rsidRDefault="00C80937">
      <w:pPr>
        <w:rPr>
          <w:lang w:val="fr-FR"/>
        </w:rPr>
      </w:pPr>
      <w:r>
        <w:rPr>
          <w:lang w:val="fr-FR"/>
        </w:rPr>
        <w:br w:type="page"/>
      </w:r>
    </w:p>
    <w:p w14:paraId="5CA1D3B1" w14:textId="4C1D0557" w:rsidR="007F600E" w:rsidRPr="00495E83" w:rsidRDefault="007F600E" w:rsidP="007F600E">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lastRenderedPageBreak/>
        <w:tab/>
        <w:t>I.</w:t>
      </w:r>
      <w:r w:rsidRPr="00495E83">
        <w:rPr>
          <w:b/>
          <w:sz w:val="28"/>
          <w:lang w:eastAsia="en-US"/>
        </w:rPr>
        <w:tab/>
        <w:t>Participation</w:t>
      </w:r>
    </w:p>
    <w:p w14:paraId="474307F7" w14:textId="00D63ED2" w:rsidR="007F600E" w:rsidRPr="00495E83" w:rsidRDefault="007F600E" w:rsidP="007F600E">
      <w:pPr>
        <w:suppressAutoHyphens/>
        <w:kinsoku w:val="0"/>
        <w:overflowPunct w:val="0"/>
        <w:autoSpaceDE w:val="0"/>
        <w:autoSpaceDN w:val="0"/>
        <w:adjustRightInd w:val="0"/>
        <w:snapToGrid w:val="0"/>
        <w:spacing w:after="120"/>
        <w:ind w:left="1134" w:right="1134"/>
        <w:jc w:val="both"/>
        <w:rPr>
          <w:lang w:val="fr-FR"/>
        </w:rPr>
      </w:pPr>
      <w:r w:rsidRPr="00495E83">
        <w:rPr>
          <w:lang w:val="fr-FR"/>
        </w:rPr>
        <w:t>1.</w:t>
      </w:r>
      <w:r w:rsidRPr="00495E83">
        <w:rPr>
          <w:lang w:val="fr-FR"/>
        </w:rPr>
        <w:tab/>
        <w:t>Le Groupe de travail des transports de marchandises dangereuses a tenu sa 11</w:t>
      </w:r>
      <w:r>
        <w:rPr>
          <w:lang w:val="fr-FR"/>
        </w:rPr>
        <w:t>4</w:t>
      </w:r>
      <w:r w:rsidRPr="000A6D51">
        <w:rPr>
          <w:vertAlign w:val="superscript"/>
          <w:lang w:val="fr-FR"/>
        </w:rPr>
        <w:t>e</w:t>
      </w:r>
      <w:r w:rsidR="000A6D51">
        <w:rPr>
          <w:lang w:val="fr-FR"/>
        </w:rPr>
        <w:t xml:space="preserve"> </w:t>
      </w:r>
      <w:r w:rsidRPr="00495E83">
        <w:rPr>
          <w:lang w:val="fr-FR"/>
        </w:rPr>
        <w:t xml:space="preserve">session du </w:t>
      </w:r>
      <w:r>
        <w:rPr>
          <w:lang w:val="fr-FR"/>
        </w:rPr>
        <w:t>6 au 10 novembre 2023</w:t>
      </w:r>
      <w:r w:rsidRPr="00495E83">
        <w:rPr>
          <w:lang w:val="fr-FR"/>
        </w:rPr>
        <w:t xml:space="preserve"> sous la présidence de M</w:t>
      </w:r>
      <w:r w:rsidRPr="00495E83">
        <w:rPr>
          <w:vertAlign w:val="superscript"/>
          <w:lang w:val="fr-FR"/>
        </w:rPr>
        <w:t>me</w:t>
      </w:r>
      <w:r w:rsidRPr="00495E83">
        <w:rPr>
          <w:lang w:val="fr-FR"/>
        </w:rPr>
        <w:t> A. Roumier (France).</w:t>
      </w:r>
    </w:p>
    <w:p w14:paraId="71956053" w14:textId="77777777" w:rsidR="007F600E" w:rsidRPr="00495E83" w:rsidRDefault="007F600E" w:rsidP="007F600E">
      <w:pPr>
        <w:suppressAutoHyphens/>
        <w:kinsoku w:val="0"/>
        <w:overflowPunct w:val="0"/>
        <w:autoSpaceDE w:val="0"/>
        <w:autoSpaceDN w:val="0"/>
        <w:adjustRightInd w:val="0"/>
        <w:snapToGrid w:val="0"/>
        <w:spacing w:after="120"/>
        <w:ind w:left="1134" w:right="1134"/>
        <w:jc w:val="both"/>
      </w:pPr>
      <w:r>
        <w:t>2</w:t>
      </w:r>
      <w:r w:rsidRPr="00495E83">
        <w:t>.</w:t>
      </w:r>
      <w:r w:rsidRPr="00495E83">
        <w:tab/>
        <w:t xml:space="preserve">Ont pris part à la session des représentants des pays suivants : </w:t>
      </w:r>
      <w:r w:rsidRPr="00353C79">
        <w:t xml:space="preserve">Allemagne, Autriche, Bélarus, Belgique, Danemark, </w:t>
      </w:r>
      <w:r w:rsidRPr="00C767DB">
        <w:t xml:space="preserve">Espagne, </w:t>
      </w:r>
      <w:r w:rsidRPr="00FF55C8">
        <w:t xml:space="preserve">Fédération de Russie, </w:t>
      </w:r>
      <w:r w:rsidRPr="00353C79">
        <w:t xml:space="preserve">Finlande, France, Hongrie, </w:t>
      </w:r>
      <w:r w:rsidRPr="00FF55C8">
        <w:t xml:space="preserve">Lettonie, Luxembourg, </w:t>
      </w:r>
      <w:r>
        <w:t xml:space="preserve">Malte, Norvège, </w:t>
      </w:r>
      <w:r w:rsidRPr="00FF55C8">
        <w:t xml:space="preserve">Pays-Bas, </w:t>
      </w:r>
      <w:r>
        <w:t xml:space="preserve">Portugal, </w:t>
      </w:r>
      <w:r w:rsidRPr="00FF55C8">
        <w:t xml:space="preserve">Roumanie, </w:t>
      </w:r>
      <w:r w:rsidRPr="00C767DB">
        <w:t xml:space="preserve">Royaume-Uni, Slovaquie, </w:t>
      </w:r>
      <w:r w:rsidRPr="004A6135">
        <w:t xml:space="preserve">Suède, Suisse </w:t>
      </w:r>
      <w:r w:rsidRPr="00C767DB">
        <w:t>et Türkiye.</w:t>
      </w:r>
    </w:p>
    <w:p w14:paraId="0A9D48F1" w14:textId="4A86BB09" w:rsidR="007F600E" w:rsidRPr="00495E83" w:rsidRDefault="007F600E" w:rsidP="007F600E">
      <w:pPr>
        <w:suppressAutoHyphens/>
        <w:kinsoku w:val="0"/>
        <w:overflowPunct w:val="0"/>
        <w:autoSpaceDE w:val="0"/>
        <w:autoSpaceDN w:val="0"/>
        <w:adjustRightInd w:val="0"/>
        <w:snapToGrid w:val="0"/>
        <w:spacing w:after="120"/>
        <w:ind w:left="1134" w:right="1134"/>
        <w:jc w:val="both"/>
        <w:rPr>
          <w:lang w:val="fr-FR"/>
        </w:rPr>
      </w:pPr>
      <w:r>
        <w:rPr>
          <w:lang w:val="fr-FR"/>
        </w:rPr>
        <w:t>3</w:t>
      </w:r>
      <w:r w:rsidRPr="00495E83">
        <w:rPr>
          <w:lang w:val="fr-FR"/>
        </w:rPr>
        <w:t>.</w:t>
      </w:r>
      <w:r w:rsidRPr="00495E83">
        <w:rPr>
          <w:lang w:val="fr-FR"/>
        </w:rPr>
        <w:tab/>
        <w:t xml:space="preserve">Des représentants </w:t>
      </w:r>
      <w:r>
        <w:rPr>
          <w:lang w:val="fr-FR"/>
        </w:rPr>
        <w:t xml:space="preserve">de l’Algérie, de l’Arabie Saoudite, de l’Égypte, de l’Iran, de la Jordanie, du Liban et du Maroc </w:t>
      </w:r>
      <w:r w:rsidRPr="00495E83">
        <w:rPr>
          <w:lang w:val="fr-FR"/>
        </w:rPr>
        <w:t xml:space="preserve">ont participé à la session conformément aux dispositions du paragraphe 11 du mandat de la Commission économique pour l’Europe. </w:t>
      </w:r>
      <w:r>
        <w:rPr>
          <w:lang w:val="fr-FR"/>
        </w:rPr>
        <w:t>La représentante du Maroc a pris part de plein droit à la session pour les questions relatives à l’Accord relatif au transport international des marchandises dangereuses par route (ADR), conformément à l’article premier, alinéa b), du règlement intérieur du Groupe de travail.</w:t>
      </w:r>
    </w:p>
    <w:p w14:paraId="4F03F188" w14:textId="77777777" w:rsidR="007F600E" w:rsidRPr="00495E83" w:rsidRDefault="007F600E" w:rsidP="007F600E">
      <w:pPr>
        <w:suppressAutoHyphens/>
        <w:kinsoku w:val="0"/>
        <w:overflowPunct w:val="0"/>
        <w:autoSpaceDE w:val="0"/>
        <w:autoSpaceDN w:val="0"/>
        <w:adjustRightInd w:val="0"/>
        <w:snapToGrid w:val="0"/>
        <w:spacing w:after="120"/>
        <w:ind w:left="1134" w:right="1134"/>
        <w:jc w:val="both"/>
        <w:rPr>
          <w:lang w:val="fr-FR"/>
        </w:rPr>
      </w:pPr>
      <w:r>
        <w:rPr>
          <w:lang w:val="fr-FR"/>
        </w:rPr>
        <w:t>4</w:t>
      </w:r>
      <w:r w:rsidRPr="00495E83">
        <w:rPr>
          <w:lang w:val="fr-FR"/>
        </w:rPr>
        <w:t>.</w:t>
      </w:r>
      <w:r w:rsidRPr="00495E83">
        <w:rPr>
          <w:lang w:val="fr-FR"/>
        </w:rPr>
        <w:tab/>
        <w:t>L’Union Européenne était représentée.</w:t>
      </w:r>
    </w:p>
    <w:p w14:paraId="6555E025" w14:textId="5381FD78" w:rsidR="007F600E" w:rsidRPr="00495E83" w:rsidRDefault="007F600E" w:rsidP="007F600E">
      <w:pPr>
        <w:suppressAutoHyphens/>
        <w:kinsoku w:val="0"/>
        <w:overflowPunct w:val="0"/>
        <w:autoSpaceDE w:val="0"/>
        <w:autoSpaceDN w:val="0"/>
        <w:adjustRightInd w:val="0"/>
        <w:snapToGrid w:val="0"/>
        <w:spacing w:after="120"/>
        <w:ind w:left="1134" w:right="1134"/>
        <w:jc w:val="both"/>
        <w:rPr>
          <w:lang w:val="fr-FR"/>
        </w:rPr>
      </w:pPr>
      <w:r>
        <w:rPr>
          <w:lang w:val="fr-FR"/>
        </w:rPr>
        <w:t>5</w:t>
      </w:r>
      <w:r w:rsidRPr="00495E83">
        <w:rPr>
          <w:lang w:val="fr-FR"/>
        </w:rPr>
        <w:t>.</w:t>
      </w:r>
      <w:r w:rsidRPr="00495E83">
        <w:rPr>
          <w:lang w:val="fr-FR"/>
        </w:rPr>
        <w:tab/>
      </w:r>
      <w:r>
        <w:rPr>
          <w:lang w:val="fr-FR"/>
        </w:rPr>
        <w:t>L’</w:t>
      </w:r>
      <w:r w:rsidRPr="00495E83">
        <w:rPr>
          <w:lang w:val="fr-FR"/>
        </w:rPr>
        <w:t>organisation intergouvernementale suivante était représentée : Organisation intergouvernementale pour les transports internationaux ferroviaires (OTIF)</w:t>
      </w:r>
      <w:r>
        <w:rPr>
          <w:lang w:val="fr-FR"/>
        </w:rPr>
        <w:t>.</w:t>
      </w:r>
    </w:p>
    <w:p w14:paraId="2A84E14E" w14:textId="5AE12C77" w:rsidR="007F600E" w:rsidRPr="00495E83" w:rsidRDefault="007F600E" w:rsidP="007F600E">
      <w:pPr>
        <w:suppressAutoHyphens/>
        <w:kinsoku w:val="0"/>
        <w:overflowPunct w:val="0"/>
        <w:autoSpaceDE w:val="0"/>
        <w:autoSpaceDN w:val="0"/>
        <w:adjustRightInd w:val="0"/>
        <w:snapToGrid w:val="0"/>
        <w:spacing w:after="120"/>
        <w:ind w:left="1134" w:right="1134"/>
        <w:jc w:val="both"/>
        <w:rPr>
          <w:lang w:val="fr-FR"/>
        </w:rPr>
      </w:pPr>
      <w:r w:rsidRPr="005C5879">
        <w:rPr>
          <w:lang w:val="fr-FR"/>
        </w:rPr>
        <w:t>6.</w:t>
      </w:r>
      <w:r w:rsidRPr="005C5879">
        <w:rPr>
          <w:lang w:val="fr-FR"/>
        </w:rPr>
        <w:tab/>
        <w:t xml:space="preserve">Les organisations non gouvernementales suivantes étaient représentées : </w:t>
      </w:r>
      <w:r w:rsidRPr="00EF620E">
        <w:rPr>
          <w:lang w:val="fr-FR"/>
        </w:rPr>
        <w:t>l'Association internationale de la construction de carrosseries et de remorques (CLCCR)</w:t>
      </w:r>
      <w:r>
        <w:rPr>
          <w:lang w:val="fr-FR"/>
        </w:rPr>
        <w:t xml:space="preserve">, </w:t>
      </w:r>
      <w:r w:rsidRPr="005C5879">
        <w:rPr>
          <w:lang w:val="fr-FR"/>
        </w:rPr>
        <w:t>la</w:t>
      </w:r>
      <w:r w:rsidRPr="00EA58B9">
        <w:rPr>
          <w:lang w:val="fr-FR"/>
        </w:rPr>
        <w:t xml:space="preserve"> Confédération européenne des distributeurs de carburant (</w:t>
      </w:r>
      <w:proofErr w:type="spellStart"/>
      <w:r w:rsidRPr="00EA58B9">
        <w:rPr>
          <w:lang w:val="fr-FR"/>
        </w:rPr>
        <w:t>European</w:t>
      </w:r>
      <w:proofErr w:type="spellEnd"/>
      <w:r w:rsidRPr="00EA58B9">
        <w:rPr>
          <w:lang w:val="fr-FR"/>
        </w:rPr>
        <w:t xml:space="preserve"> </w:t>
      </w:r>
      <w:proofErr w:type="spellStart"/>
      <w:r w:rsidRPr="00EA58B9">
        <w:rPr>
          <w:lang w:val="fr-FR"/>
        </w:rPr>
        <w:t>Confederation</w:t>
      </w:r>
      <w:proofErr w:type="spellEnd"/>
      <w:r w:rsidRPr="00EA58B9">
        <w:rPr>
          <w:lang w:val="fr-FR"/>
        </w:rPr>
        <w:t xml:space="preserve"> of Fuel </w:t>
      </w:r>
      <w:proofErr w:type="spellStart"/>
      <w:r w:rsidRPr="00EA58B9">
        <w:rPr>
          <w:lang w:val="fr-FR"/>
        </w:rPr>
        <w:t>Distributors</w:t>
      </w:r>
      <w:proofErr w:type="spellEnd"/>
      <w:r w:rsidRPr="00EA58B9">
        <w:rPr>
          <w:lang w:val="fr-FR"/>
        </w:rPr>
        <w:t xml:space="preserve">) (ECFD), </w:t>
      </w:r>
      <w:r w:rsidRPr="009219CB">
        <w:rPr>
          <w:lang w:val="fr-FR"/>
        </w:rPr>
        <w:t>la Fédération européenne des activités de la dépollution et de l’environnement (FEAD)</w:t>
      </w:r>
      <w:r>
        <w:rPr>
          <w:lang w:val="fr-FR"/>
        </w:rPr>
        <w:t xml:space="preserve">, </w:t>
      </w:r>
      <w:r>
        <w:t xml:space="preserve">Fuels Europe, </w:t>
      </w:r>
      <w:r w:rsidRPr="00B975BA">
        <w:rPr>
          <w:lang w:val="fr-FR"/>
        </w:rPr>
        <w:t xml:space="preserve">International Association of Dangerous </w:t>
      </w:r>
      <w:proofErr w:type="spellStart"/>
      <w:r w:rsidRPr="00B975BA">
        <w:rPr>
          <w:lang w:val="fr-FR"/>
        </w:rPr>
        <w:t>Goods</w:t>
      </w:r>
      <w:proofErr w:type="spellEnd"/>
      <w:r w:rsidRPr="00B975BA">
        <w:rPr>
          <w:lang w:val="fr-FR"/>
        </w:rPr>
        <w:t xml:space="preserve"> </w:t>
      </w:r>
      <w:proofErr w:type="spellStart"/>
      <w:r w:rsidRPr="00B975BA">
        <w:rPr>
          <w:lang w:val="fr-FR"/>
        </w:rPr>
        <w:t>Safety</w:t>
      </w:r>
      <w:proofErr w:type="spellEnd"/>
      <w:r w:rsidRPr="00B975BA">
        <w:rPr>
          <w:lang w:val="fr-FR"/>
        </w:rPr>
        <w:t xml:space="preserve"> </w:t>
      </w:r>
      <w:proofErr w:type="spellStart"/>
      <w:r w:rsidRPr="00B975BA">
        <w:rPr>
          <w:lang w:val="fr-FR"/>
        </w:rPr>
        <w:t>Advisers</w:t>
      </w:r>
      <w:proofErr w:type="spellEnd"/>
      <w:r w:rsidRPr="00B975BA">
        <w:rPr>
          <w:lang w:val="fr-FR"/>
        </w:rPr>
        <w:t xml:space="preserve"> (IASA)</w:t>
      </w:r>
      <w:r>
        <w:rPr>
          <w:lang w:val="fr-FR"/>
        </w:rPr>
        <w:t>,</w:t>
      </w:r>
      <w:r w:rsidRPr="00B975BA">
        <w:rPr>
          <w:lang w:val="fr-FR"/>
        </w:rPr>
        <w:t xml:space="preserve"> </w:t>
      </w:r>
      <w:r w:rsidRPr="00EA58B9">
        <w:rPr>
          <w:lang w:val="fr-FR"/>
        </w:rPr>
        <w:t>l’Organisation internationale des constructeurs automobiles (OICA) et l’Union internationale des transports routiers (IRU).</w:t>
      </w:r>
      <w:r w:rsidRPr="00852C64">
        <w:rPr>
          <w:lang w:val="fr-FR"/>
        </w:rPr>
        <w:t xml:space="preserve"> </w:t>
      </w:r>
      <w:r w:rsidRPr="00A91A7C">
        <w:rPr>
          <w:lang w:val="fr-FR"/>
        </w:rPr>
        <w:t xml:space="preserve">Le projet </w:t>
      </w:r>
      <w:proofErr w:type="spellStart"/>
      <w:r w:rsidRPr="00A91A7C">
        <w:rPr>
          <w:lang w:val="fr-FR"/>
        </w:rPr>
        <w:t>EuroMed</w:t>
      </w:r>
      <w:proofErr w:type="spellEnd"/>
      <w:r w:rsidRPr="00A91A7C">
        <w:rPr>
          <w:lang w:val="fr-FR"/>
        </w:rPr>
        <w:t xml:space="preserve"> </w:t>
      </w:r>
      <w:r w:rsidR="00A96EEF" w:rsidRPr="00016FB7">
        <w:rPr>
          <w:lang w:val="fr-FR"/>
        </w:rPr>
        <w:t xml:space="preserve">de soutien au transport </w:t>
      </w:r>
      <w:r w:rsidR="00A96EEF">
        <w:rPr>
          <w:lang w:val="fr-FR"/>
        </w:rPr>
        <w:t xml:space="preserve">(TSP) </w:t>
      </w:r>
      <w:r w:rsidRPr="00A91A7C">
        <w:rPr>
          <w:lang w:val="fr-FR"/>
        </w:rPr>
        <w:t>était également représenté.</w:t>
      </w:r>
    </w:p>
    <w:p w14:paraId="46C43C76" w14:textId="77777777" w:rsidR="007F600E" w:rsidRPr="00495E83" w:rsidRDefault="007F600E" w:rsidP="007F600E">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t>II.</w:t>
      </w:r>
      <w:r w:rsidRPr="00495E83">
        <w:rPr>
          <w:b/>
          <w:sz w:val="28"/>
          <w:lang w:eastAsia="en-US"/>
        </w:rPr>
        <w:tab/>
      </w:r>
      <w:bookmarkStart w:id="0" w:name="_Hlk6316889"/>
      <w:r w:rsidRPr="00495E83">
        <w:rPr>
          <w:b/>
          <w:sz w:val="28"/>
          <w:lang w:eastAsia="en-US"/>
        </w:rPr>
        <w:t>Adoption de l’ordre du jour (point 1 de l’ordre du jour)</w:t>
      </w:r>
      <w:bookmarkStart w:id="1" w:name="_Toc499903630"/>
      <w:bookmarkEnd w:id="0"/>
      <w:bookmarkEnd w:id="1"/>
    </w:p>
    <w:p w14:paraId="71504D83" w14:textId="5FF0E1B8" w:rsidR="007F600E" w:rsidRPr="00495E83" w:rsidRDefault="007F600E" w:rsidP="007F600E">
      <w:pPr>
        <w:suppressAutoHyphens/>
        <w:kinsoku w:val="0"/>
        <w:overflowPunct w:val="0"/>
        <w:autoSpaceDE w:val="0"/>
        <w:autoSpaceDN w:val="0"/>
        <w:adjustRightInd w:val="0"/>
        <w:snapToGrid w:val="0"/>
        <w:ind w:left="3402" w:right="1134" w:hanging="2268"/>
        <w:jc w:val="both"/>
        <w:rPr>
          <w:lang w:val="fr-FR"/>
        </w:rPr>
      </w:pPr>
      <w:r w:rsidRPr="00495E83">
        <w:rPr>
          <w:i/>
          <w:iCs/>
          <w:lang w:val="fr-FR"/>
        </w:rPr>
        <w:t>Documents </w:t>
      </w:r>
      <w:r w:rsidRPr="00495E83">
        <w:rPr>
          <w:iCs/>
          <w:lang w:val="fr-FR"/>
        </w:rPr>
        <w:t>:</w:t>
      </w:r>
      <w:r w:rsidRPr="00495E83">
        <w:rPr>
          <w:lang w:val="fr-FR"/>
        </w:rPr>
        <w:tab/>
        <w:t>ECE/TRANS/WP.15/2</w:t>
      </w:r>
      <w:r>
        <w:rPr>
          <w:lang w:val="fr-FR"/>
        </w:rPr>
        <w:t>63</w:t>
      </w:r>
      <w:r w:rsidRPr="00495E83">
        <w:rPr>
          <w:lang w:val="fr-FR"/>
        </w:rPr>
        <w:t xml:space="preserve"> et Add.1 (</w:t>
      </w:r>
      <w:r w:rsidR="00A06805">
        <w:rPr>
          <w:lang w:val="fr-FR"/>
        </w:rPr>
        <w:t>S</w:t>
      </w:r>
      <w:r w:rsidR="00A06805" w:rsidRPr="00495E83">
        <w:rPr>
          <w:lang w:val="fr-FR"/>
        </w:rPr>
        <w:t>ecrétariat</w:t>
      </w:r>
      <w:r w:rsidRPr="00495E83">
        <w:rPr>
          <w:lang w:val="fr-FR"/>
        </w:rPr>
        <w:t>)</w:t>
      </w:r>
    </w:p>
    <w:p w14:paraId="30BA81D8" w14:textId="37104C4D" w:rsidR="007F600E" w:rsidRPr="00495E83" w:rsidRDefault="007F600E" w:rsidP="007F600E">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Documents informels </w:t>
      </w:r>
      <w:r w:rsidRPr="00495E83">
        <w:rPr>
          <w:lang w:val="fr-FR"/>
        </w:rPr>
        <w:t>:</w:t>
      </w:r>
      <w:r w:rsidRPr="00495E83">
        <w:rPr>
          <w:lang w:val="fr-FR"/>
        </w:rPr>
        <w:tab/>
        <w:t>INF.1, INF.2 et INF.</w:t>
      </w:r>
      <w:r>
        <w:rPr>
          <w:lang w:val="fr-FR"/>
        </w:rPr>
        <w:t>13</w:t>
      </w:r>
      <w:r w:rsidRPr="00495E83">
        <w:rPr>
          <w:lang w:val="fr-FR"/>
        </w:rPr>
        <w:t xml:space="preserve"> (</w:t>
      </w:r>
      <w:r w:rsidR="00A06805">
        <w:rPr>
          <w:lang w:val="fr-FR"/>
        </w:rPr>
        <w:t>S</w:t>
      </w:r>
      <w:r w:rsidR="00A06805" w:rsidRPr="00495E83">
        <w:rPr>
          <w:lang w:val="fr-FR"/>
        </w:rPr>
        <w:t>ecrétariat</w:t>
      </w:r>
      <w:r w:rsidRPr="00495E83">
        <w:rPr>
          <w:lang w:val="fr-FR"/>
        </w:rPr>
        <w:t>)</w:t>
      </w:r>
    </w:p>
    <w:p w14:paraId="7E13FAA1" w14:textId="074BF480" w:rsidR="007F600E" w:rsidRPr="00495E83" w:rsidRDefault="007F600E" w:rsidP="007F600E">
      <w:pPr>
        <w:suppressAutoHyphens/>
        <w:kinsoku w:val="0"/>
        <w:overflowPunct w:val="0"/>
        <w:autoSpaceDE w:val="0"/>
        <w:autoSpaceDN w:val="0"/>
        <w:adjustRightInd w:val="0"/>
        <w:snapToGrid w:val="0"/>
        <w:spacing w:after="120"/>
        <w:ind w:left="1134" w:right="1134"/>
        <w:jc w:val="both"/>
        <w:rPr>
          <w:lang w:val="fr-FR"/>
        </w:rPr>
      </w:pPr>
      <w:r>
        <w:rPr>
          <w:lang w:val="fr-FR"/>
        </w:rPr>
        <w:t>7</w:t>
      </w:r>
      <w:r w:rsidRPr="00495E83">
        <w:rPr>
          <w:lang w:val="fr-FR"/>
        </w:rPr>
        <w:t>.</w:t>
      </w:r>
      <w:r w:rsidRPr="00495E83">
        <w:rPr>
          <w:lang w:val="fr-FR"/>
        </w:rPr>
        <w:tab/>
        <w:t>Le Groupe de travail a adopté l’ordre du jour provisoire établi par le secrétariat, tel que modifié par le document informel INF.2 pour tenir compte des documents informels INF.1 à INF.</w:t>
      </w:r>
      <w:r>
        <w:rPr>
          <w:lang w:val="fr-FR"/>
        </w:rPr>
        <w:t>26</w:t>
      </w:r>
      <w:r w:rsidRPr="00495E83">
        <w:rPr>
          <w:lang w:val="fr-FR"/>
        </w:rPr>
        <w:t xml:space="preserve">. </w:t>
      </w:r>
    </w:p>
    <w:p w14:paraId="5F82F769" w14:textId="07EF93C4" w:rsidR="007F600E" w:rsidRPr="00495E83" w:rsidRDefault="007F600E" w:rsidP="007F600E">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t>III.</w:t>
      </w:r>
      <w:r w:rsidRPr="00495E83">
        <w:rPr>
          <w:b/>
          <w:sz w:val="28"/>
          <w:lang w:eastAsia="en-US"/>
        </w:rPr>
        <w:tab/>
        <w:t>Quatre-vingt-</w:t>
      </w:r>
      <w:r>
        <w:rPr>
          <w:b/>
          <w:sz w:val="28"/>
          <w:lang w:eastAsia="en-US"/>
        </w:rPr>
        <w:t>cinqu</w:t>
      </w:r>
      <w:r w:rsidRPr="00495E83">
        <w:rPr>
          <w:b/>
          <w:sz w:val="28"/>
          <w:lang w:eastAsia="en-US"/>
        </w:rPr>
        <w:t>ième session du Comité des transports intérieurs (point 2 de l’ordre du jour)</w:t>
      </w:r>
    </w:p>
    <w:p w14:paraId="22B1ED8A" w14:textId="1E4AD1C6" w:rsidR="00836792" w:rsidRPr="008D35BA" w:rsidRDefault="00836792" w:rsidP="00836792">
      <w:pPr>
        <w:keepNext/>
        <w:keepLines/>
        <w:tabs>
          <w:tab w:val="left" w:pos="2410"/>
        </w:tabs>
        <w:suppressAutoHyphens/>
        <w:kinsoku w:val="0"/>
        <w:overflowPunct w:val="0"/>
        <w:autoSpaceDE w:val="0"/>
        <w:autoSpaceDN w:val="0"/>
        <w:adjustRightInd w:val="0"/>
        <w:snapToGrid w:val="0"/>
        <w:spacing w:after="120"/>
        <w:ind w:left="2552" w:right="1134" w:hanging="1418"/>
        <w:rPr>
          <w:lang w:val="fr-FR"/>
        </w:rPr>
      </w:pPr>
      <w:r w:rsidRPr="008D35BA">
        <w:rPr>
          <w:i/>
          <w:lang w:val="fr-FR"/>
        </w:rPr>
        <w:t>Documents </w:t>
      </w:r>
      <w:r w:rsidRPr="008D35BA">
        <w:rPr>
          <w:lang w:val="fr-FR"/>
        </w:rPr>
        <w:t>:</w:t>
      </w:r>
      <w:r w:rsidRPr="008D35BA">
        <w:rPr>
          <w:lang w:val="fr-FR"/>
        </w:rPr>
        <w:tab/>
      </w:r>
      <w:r w:rsidRPr="008D35BA">
        <w:rPr>
          <w:lang w:val="fr-FR"/>
        </w:rPr>
        <w:tab/>
        <w:t xml:space="preserve">ECE/TRANS/328 et </w:t>
      </w:r>
      <w:r w:rsidR="00AC6D09" w:rsidRPr="00E54679">
        <w:rPr>
          <w:lang w:val="en-CA"/>
        </w:rPr>
        <w:t>ECE/TRANS/328/</w:t>
      </w:r>
      <w:r w:rsidRPr="008D35BA">
        <w:rPr>
          <w:lang w:val="fr-FR"/>
        </w:rPr>
        <w:t xml:space="preserve">Add.1 (Rapport du </w:t>
      </w:r>
      <w:r w:rsidR="007D134A" w:rsidRPr="007D134A">
        <w:rPr>
          <w:lang w:val="fr-FR"/>
        </w:rPr>
        <w:t>Comité des transports intérieurs</w:t>
      </w:r>
      <w:r w:rsidRPr="008D35BA">
        <w:rPr>
          <w:lang w:val="fr-FR"/>
        </w:rPr>
        <w:t xml:space="preserve"> sur sa quatre-vingt-cinquième session)</w:t>
      </w:r>
      <w:r w:rsidR="007D1F43">
        <w:rPr>
          <w:lang w:val="fr-FR"/>
        </w:rPr>
        <w:t xml:space="preserve">, </w:t>
      </w:r>
      <w:r w:rsidRPr="008D35BA">
        <w:t>ECE/TRANS/2023/4/Rev.1 (</w:t>
      </w:r>
      <w:r w:rsidR="00A06805">
        <w:t>S</w:t>
      </w:r>
      <w:r w:rsidR="00A06805" w:rsidRPr="008D35BA">
        <w:t>ecrétariat</w:t>
      </w:r>
      <w:r w:rsidRPr="008D35BA">
        <w:t>)</w:t>
      </w:r>
      <w:r w:rsidR="00434904">
        <w:t xml:space="preserve">, </w:t>
      </w:r>
      <w:r w:rsidRPr="008D35BA">
        <w:rPr>
          <w:lang w:val="fr-FR"/>
        </w:rPr>
        <w:t xml:space="preserve">ECE/TRANS/WP.15/2023/7 </w:t>
      </w:r>
      <w:r w:rsidRPr="008D35BA">
        <w:t>(</w:t>
      </w:r>
      <w:r w:rsidR="00A06805">
        <w:t>S</w:t>
      </w:r>
      <w:r w:rsidR="00A06805" w:rsidRPr="008D35BA">
        <w:t>ecrétariat</w:t>
      </w:r>
      <w:r w:rsidRPr="008D35BA">
        <w:t>)</w:t>
      </w:r>
    </w:p>
    <w:p w14:paraId="1EF28BEB" w14:textId="68211271" w:rsidR="00836792" w:rsidRDefault="001C1C48" w:rsidP="00836792">
      <w:pPr>
        <w:suppressAutoHyphens/>
        <w:spacing w:after="120"/>
        <w:ind w:left="1134" w:right="1134"/>
        <w:jc w:val="both"/>
        <w:rPr>
          <w:lang w:eastAsia="en-US"/>
        </w:rPr>
      </w:pPr>
      <w:r>
        <w:rPr>
          <w:lang w:eastAsia="en-US"/>
        </w:rPr>
        <w:t>8</w:t>
      </w:r>
      <w:r w:rsidR="00836792" w:rsidRPr="008D35BA">
        <w:rPr>
          <w:lang w:eastAsia="en-US"/>
        </w:rPr>
        <w:t>.</w:t>
      </w:r>
      <w:r w:rsidR="00836792" w:rsidRPr="008D35BA">
        <w:rPr>
          <w:lang w:eastAsia="en-US"/>
        </w:rPr>
        <w:tab/>
      </w:r>
      <w:r w:rsidR="00836792">
        <w:rPr>
          <w:lang w:eastAsia="en-US"/>
        </w:rPr>
        <w:t xml:space="preserve">Le Groupe de travail a adopté la proposition de mandat révisé avec le texte entre crochets et avec un ajout pour faire référence à la coopération avec le </w:t>
      </w:r>
      <w:r w:rsidR="00F078F5" w:rsidRPr="00455A13">
        <w:rPr>
          <w:lang w:val="fr-FR"/>
        </w:rPr>
        <w:t>Groupe de travail du transport intermodal et de la logistique</w:t>
      </w:r>
      <w:r w:rsidR="00F078F5">
        <w:rPr>
          <w:lang w:eastAsia="en-US"/>
        </w:rPr>
        <w:t xml:space="preserve"> (</w:t>
      </w:r>
      <w:r w:rsidR="00836792">
        <w:rPr>
          <w:lang w:eastAsia="en-US"/>
        </w:rPr>
        <w:t>WP.24</w:t>
      </w:r>
      <w:r w:rsidR="00F078F5">
        <w:rPr>
          <w:lang w:eastAsia="en-US"/>
        </w:rPr>
        <w:t>)</w:t>
      </w:r>
      <w:r w:rsidR="00836792">
        <w:rPr>
          <w:lang w:eastAsia="en-US"/>
        </w:rPr>
        <w:t xml:space="preserve"> et une correction (voir annexe </w:t>
      </w:r>
      <w:r>
        <w:rPr>
          <w:lang w:eastAsia="en-US"/>
        </w:rPr>
        <w:t>I).</w:t>
      </w:r>
    </w:p>
    <w:p w14:paraId="456D1875" w14:textId="0469A90D" w:rsidR="00013C5A" w:rsidRPr="00836792" w:rsidRDefault="001C1C48" w:rsidP="00836792">
      <w:pPr>
        <w:suppressAutoHyphens/>
        <w:spacing w:after="120"/>
        <w:ind w:left="1134" w:right="1134"/>
        <w:jc w:val="both"/>
        <w:rPr>
          <w:lang w:val="fr-FR"/>
        </w:rPr>
      </w:pPr>
      <w:r>
        <w:rPr>
          <w:lang w:eastAsia="en-US"/>
        </w:rPr>
        <w:t>9</w:t>
      </w:r>
      <w:r w:rsidR="00836792">
        <w:rPr>
          <w:lang w:eastAsia="en-US"/>
        </w:rPr>
        <w:t>.</w:t>
      </w:r>
      <w:r w:rsidR="00836792">
        <w:rPr>
          <w:lang w:eastAsia="en-US"/>
        </w:rPr>
        <w:tab/>
        <w:t xml:space="preserve">Le Groupe de travail a demandé au secrétariat de soumettre cette </w:t>
      </w:r>
      <w:r w:rsidR="00836792">
        <w:rPr>
          <w:lang w:val="fr-FR"/>
        </w:rPr>
        <w:t xml:space="preserve">proposition au </w:t>
      </w:r>
      <w:r w:rsidR="00720479" w:rsidRPr="00720479">
        <w:rPr>
          <w:lang w:val="fr-FR"/>
        </w:rPr>
        <w:t>Comité des transports intérieurs</w:t>
      </w:r>
      <w:r w:rsidR="00836792">
        <w:rPr>
          <w:lang w:val="fr-FR"/>
        </w:rPr>
        <w:t xml:space="preserve"> à sa q</w:t>
      </w:r>
      <w:r w:rsidR="00836792" w:rsidRPr="00E5564B">
        <w:rPr>
          <w:lang w:val="fr-FR"/>
        </w:rPr>
        <w:t>uatre-vingt-</w:t>
      </w:r>
      <w:r w:rsidR="00836792">
        <w:rPr>
          <w:lang w:val="fr-FR"/>
        </w:rPr>
        <w:t>six</w:t>
      </w:r>
      <w:r w:rsidR="00836792" w:rsidRPr="00E5564B">
        <w:rPr>
          <w:lang w:val="fr-FR"/>
        </w:rPr>
        <w:t xml:space="preserve">ième </w:t>
      </w:r>
      <w:r w:rsidR="00836792">
        <w:rPr>
          <w:lang w:val="fr-FR"/>
        </w:rPr>
        <w:t>session pour adoption.</w:t>
      </w:r>
    </w:p>
    <w:p w14:paraId="1F340C4A" w14:textId="77777777" w:rsidR="00D37808" w:rsidRPr="00495E83" w:rsidRDefault="00D37808" w:rsidP="00D37808">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lastRenderedPageBreak/>
        <w:tab/>
        <w:t>IV.</w:t>
      </w:r>
      <w:r w:rsidRPr="00495E83">
        <w:rPr>
          <w:b/>
          <w:sz w:val="28"/>
          <w:lang w:eastAsia="en-US"/>
        </w:rPr>
        <w:tab/>
        <w:t>État de l’Accord relatif au transport international des marchandises dangereuses par route (ADR) et questions connexes (point 3 de l’ordre du jour)</w:t>
      </w:r>
    </w:p>
    <w:p w14:paraId="2AC846BB" w14:textId="77777777" w:rsidR="00D37808" w:rsidRPr="00495E83" w:rsidRDefault="00D37808" w:rsidP="00D37808">
      <w:pPr>
        <w:keepNext/>
        <w:keepLines/>
        <w:tabs>
          <w:tab w:val="right" w:pos="851"/>
        </w:tabs>
        <w:suppressAutoHyphens/>
        <w:spacing w:before="360" w:after="240" w:line="270" w:lineRule="exact"/>
        <w:ind w:left="1134" w:right="1134" w:hanging="1134"/>
        <w:rPr>
          <w:rFonts w:eastAsia="Calibri"/>
          <w:b/>
          <w:sz w:val="24"/>
          <w:lang w:val="fr-FR" w:eastAsia="en-US"/>
        </w:rPr>
      </w:pPr>
      <w:r w:rsidRPr="00495E83">
        <w:rPr>
          <w:rFonts w:eastAsia="Calibri"/>
          <w:b/>
          <w:sz w:val="24"/>
          <w:lang w:val="fr-FR" w:eastAsia="en-US"/>
        </w:rPr>
        <w:tab/>
        <w:t>A.</w:t>
      </w:r>
      <w:r w:rsidRPr="00495E83">
        <w:rPr>
          <w:rFonts w:eastAsia="Calibri"/>
          <w:b/>
          <w:sz w:val="24"/>
          <w:lang w:val="fr-FR" w:eastAsia="en-US"/>
        </w:rPr>
        <w:tab/>
        <w:t xml:space="preserve">État de l’Accord </w:t>
      </w:r>
    </w:p>
    <w:p w14:paraId="604E3139" w14:textId="648703A1" w:rsidR="00D37808" w:rsidRDefault="00E677A4" w:rsidP="00D37808">
      <w:pPr>
        <w:suppressAutoHyphens/>
        <w:kinsoku w:val="0"/>
        <w:overflowPunct w:val="0"/>
        <w:autoSpaceDE w:val="0"/>
        <w:autoSpaceDN w:val="0"/>
        <w:adjustRightInd w:val="0"/>
        <w:snapToGrid w:val="0"/>
        <w:spacing w:after="120"/>
        <w:ind w:left="1134" w:right="1134"/>
        <w:jc w:val="both"/>
      </w:pPr>
      <w:r>
        <w:t>10</w:t>
      </w:r>
      <w:r w:rsidR="00D37808">
        <w:t>.</w:t>
      </w:r>
      <w:r w:rsidR="00D37808">
        <w:tab/>
        <w:t>Aucun changement n’a été signalé en ce qui concerne l’état de l’ADR (54 Parties contractantes) et du Protocole d’amendement de 1993 (40 Parties contractantes) depuis la dernière session.</w:t>
      </w:r>
    </w:p>
    <w:p w14:paraId="32C347E0" w14:textId="77777777" w:rsidR="00D37808" w:rsidRPr="00495E83" w:rsidRDefault="00D37808" w:rsidP="00D37808">
      <w:pPr>
        <w:keepNext/>
        <w:keepLines/>
        <w:tabs>
          <w:tab w:val="right" w:pos="851"/>
        </w:tabs>
        <w:suppressAutoHyphens/>
        <w:spacing w:before="360" w:after="240" w:line="270" w:lineRule="exact"/>
        <w:ind w:left="1134" w:right="1134" w:hanging="1134"/>
        <w:rPr>
          <w:rFonts w:eastAsia="Calibri"/>
          <w:b/>
          <w:sz w:val="24"/>
          <w:lang w:val="fr-FR" w:eastAsia="en-US"/>
        </w:rPr>
      </w:pPr>
      <w:r w:rsidRPr="00495E83">
        <w:rPr>
          <w:rFonts w:eastAsia="Calibri"/>
          <w:b/>
          <w:sz w:val="24"/>
          <w:lang w:val="fr-FR" w:eastAsia="en-US"/>
        </w:rPr>
        <w:tab/>
        <w:t>B.</w:t>
      </w:r>
      <w:r w:rsidRPr="00495E83">
        <w:rPr>
          <w:rFonts w:eastAsia="Calibri"/>
          <w:b/>
          <w:sz w:val="24"/>
          <w:lang w:val="fr-FR" w:eastAsia="en-US"/>
        </w:rPr>
        <w:tab/>
        <w:t>Protocole d’amendement de 1993</w:t>
      </w:r>
    </w:p>
    <w:p w14:paraId="08A932FF" w14:textId="2AA32243" w:rsidR="00D37808" w:rsidRPr="00495E83" w:rsidRDefault="00E677A4" w:rsidP="00D37808">
      <w:pPr>
        <w:suppressAutoHyphens/>
        <w:spacing w:after="120"/>
        <w:ind w:left="1134" w:right="1134"/>
        <w:jc w:val="both"/>
        <w:rPr>
          <w:lang w:eastAsia="en-US"/>
        </w:rPr>
      </w:pPr>
      <w:r>
        <w:rPr>
          <w:lang w:eastAsia="en-US"/>
        </w:rPr>
        <w:t>11</w:t>
      </w:r>
      <w:r w:rsidR="00D37808" w:rsidRPr="00495E83">
        <w:rPr>
          <w:lang w:eastAsia="en-US"/>
        </w:rPr>
        <w:t>.</w:t>
      </w:r>
      <w:r w:rsidR="00D37808" w:rsidRPr="00495E83">
        <w:rPr>
          <w:lang w:eastAsia="en-US"/>
        </w:rPr>
        <w:tab/>
        <w:t>Le Groupe de travail a encouragé les pays qui n’avaient pas encore déposé l’instrument juridique nécessaire pour l’entrée en vigueur du Protocole de 1993 (</w:t>
      </w:r>
      <w:r w:rsidR="00D37808" w:rsidRPr="00495E83">
        <w:rPr>
          <w:lang w:val="fr-FR"/>
        </w:rPr>
        <w:t>Arménie, Azerbaïdjan, Bélarus, Bosnie-Herzégovine, Croatie, Islande, Kazakhstan, Macédoine du Nord, Maroc, Monténégro, Nigéria, Ouganda</w:t>
      </w:r>
      <w:r w:rsidR="00D37808">
        <w:rPr>
          <w:lang w:val="fr-FR"/>
        </w:rPr>
        <w:t>,</w:t>
      </w:r>
      <w:r w:rsidR="00D37808" w:rsidRPr="00495E83">
        <w:rPr>
          <w:lang w:val="fr-FR"/>
        </w:rPr>
        <w:t xml:space="preserve"> Saint</w:t>
      </w:r>
      <w:r w:rsidR="00D37808" w:rsidRPr="00495E83">
        <w:rPr>
          <w:lang w:val="fr-FR"/>
        </w:rPr>
        <w:noBreakHyphen/>
        <w:t>Marin</w:t>
      </w:r>
      <w:r w:rsidR="00D37808">
        <w:rPr>
          <w:lang w:val="fr-FR"/>
        </w:rPr>
        <w:t xml:space="preserve"> et</w:t>
      </w:r>
      <w:r w:rsidR="00D37808" w:rsidRPr="00495E83">
        <w:rPr>
          <w:lang w:val="fr-FR"/>
        </w:rPr>
        <w:t xml:space="preserve"> Tadjikistan</w:t>
      </w:r>
      <w:r w:rsidR="00D37808" w:rsidRPr="00495E83">
        <w:rPr>
          <w:lang w:eastAsia="en-US"/>
        </w:rPr>
        <w:t>) à prendre les mesures nécessaires pour ratifier le Protocole ou y adhérer, afin qu’il puisse rapidement prendre effet.</w:t>
      </w:r>
    </w:p>
    <w:p w14:paraId="5E161336" w14:textId="77777777" w:rsidR="00D37808" w:rsidRPr="00657F58" w:rsidRDefault="00D37808" w:rsidP="00D37808">
      <w:pPr>
        <w:pStyle w:val="H1G"/>
      </w:pPr>
      <w:r>
        <w:rPr>
          <w:lang w:val="fr-FR"/>
        </w:rPr>
        <w:tab/>
        <w:t>C</w:t>
      </w:r>
      <w:r w:rsidRPr="00657F58">
        <w:rPr>
          <w:lang w:val="fr-FR"/>
        </w:rPr>
        <w:t>.</w:t>
      </w:r>
      <w:r w:rsidRPr="00657F58">
        <w:rPr>
          <w:lang w:val="fr-FR"/>
        </w:rPr>
        <w:tab/>
      </w:r>
      <w:bookmarkStart w:id="2" w:name="_Hlk95746437"/>
      <w:r w:rsidRPr="00657F58">
        <w:rPr>
          <w:lang w:val="fr-FR"/>
        </w:rPr>
        <w:t xml:space="preserve">Traduction de l’ADR en </w:t>
      </w:r>
      <w:r>
        <w:rPr>
          <w:lang w:val="fr-FR"/>
        </w:rPr>
        <w:t xml:space="preserve">langue </w:t>
      </w:r>
      <w:r w:rsidRPr="00657F58">
        <w:rPr>
          <w:lang w:val="fr-FR"/>
        </w:rPr>
        <w:t>arabe</w:t>
      </w:r>
      <w:bookmarkEnd w:id="2"/>
    </w:p>
    <w:p w14:paraId="0FEBEFC3" w14:textId="1A92CD0E" w:rsidR="00D37808" w:rsidRPr="00745244" w:rsidRDefault="00E677A4" w:rsidP="00D37808">
      <w:pPr>
        <w:suppressAutoHyphens/>
        <w:spacing w:after="120"/>
        <w:ind w:left="1134" w:right="1134"/>
        <w:jc w:val="both"/>
        <w:rPr>
          <w:lang w:eastAsia="en-US"/>
        </w:rPr>
      </w:pPr>
      <w:r>
        <w:rPr>
          <w:lang w:eastAsia="en-US"/>
        </w:rPr>
        <w:t>12</w:t>
      </w:r>
      <w:r w:rsidR="00D37808">
        <w:rPr>
          <w:lang w:eastAsia="en-US"/>
        </w:rPr>
        <w:t>.</w:t>
      </w:r>
      <w:r w:rsidR="00D37808">
        <w:rPr>
          <w:lang w:eastAsia="en-US"/>
        </w:rPr>
        <w:tab/>
        <w:t xml:space="preserve">Un représentant de </w:t>
      </w:r>
      <w:proofErr w:type="spellStart"/>
      <w:r w:rsidR="00D37808">
        <w:rPr>
          <w:lang w:eastAsia="en-US"/>
        </w:rPr>
        <w:t>Euro</w:t>
      </w:r>
      <w:r w:rsidR="00A96EEF">
        <w:rPr>
          <w:lang w:eastAsia="en-US"/>
        </w:rPr>
        <w:t>M</w:t>
      </w:r>
      <w:r w:rsidR="00D37808">
        <w:rPr>
          <w:lang w:eastAsia="en-US"/>
        </w:rPr>
        <w:t>ed</w:t>
      </w:r>
      <w:proofErr w:type="spellEnd"/>
      <w:r w:rsidR="00D37808">
        <w:rPr>
          <w:lang w:eastAsia="en-US"/>
        </w:rPr>
        <w:t xml:space="preserve"> TSP a annoncé que la </w:t>
      </w:r>
      <w:r w:rsidR="00D37808">
        <w:rPr>
          <w:lang w:val="fr-FR"/>
        </w:rPr>
        <w:t>traduction de l’ADR 2023 en langue arabe serait prochainement disponible. Un membre du secrétariat a confirmé que les services concernés de l’</w:t>
      </w:r>
      <w:r w:rsidR="00DA388A" w:rsidRPr="00DA388A">
        <w:rPr>
          <w:lang w:val="fr-FR"/>
        </w:rPr>
        <w:t>Organisation des Nations Unies</w:t>
      </w:r>
      <w:r w:rsidR="00D37808">
        <w:rPr>
          <w:lang w:val="fr-FR"/>
        </w:rPr>
        <w:t xml:space="preserve"> avaient été consultés </w:t>
      </w:r>
      <w:r w:rsidR="00D37808">
        <w:rPr>
          <w:lang w:eastAsia="en-US"/>
        </w:rPr>
        <w:t xml:space="preserve">et que des discussions étaient en cours </w:t>
      </w:r>
      <w:r w:rsidR="00D37808">
        <w:rPr>
          <w:lang w:val="fr-FR"/>
        </w:rPr>
        <w:t xml:space="preserve">afin de </w:t>
      </w:r>
      <w:r w:rsidR="00D37808" w:rsidRPr="00745244">
        <w:rPr>
          <w:lang w:eastAsia="en-US"/>
        </w:rPr>
        <w:t>trouver une solution pérenne pour la traduction des amendements tous les deux ans et la publication des versions modifiées consolidées correspondantes</w:t>
      </w:r>
      <w:r w:rsidR="00D37808">
        <w:rPr>
          <w:lang w:eastAsia="en-US"/>
        </w:rPr>
        <w:t xml:space="preserve">. </w:t>
      </w:r>
      <w:r w:rsidR="00D37808" w:rsidRPr="00745244">
        <w:rPr>
          <w:lang w:eastAsia="en-US"/>
        </w:rPr>
        <w:t xml:space="preserve">Le Groupe de travail s’est félicité de </w:t>
      </w:r>
      <w:r w:rsidR="00D37808">
        <w:rPr>
          <w:lang w:eastAsia="en-US"/>
        </w:rPr>
        <w:t>ces avancées</w:t>
      </w:r>
      <w:r w:rsidR="00D37808" w:rsidRPr="00745244">
        <w:rPr>
          <w:lang w:eastAsia="en-US"/>
        </w:rPr>
        <w:t xml:space="preserve">. </w:t>
      </w:r>
    </w:p>
    <w:p w14:paraId="756C2A94" w14:textId="77777777" w:rsidR="000167A7" w:rsidRPr="00495E83" w:rsidRDefault="000167A7" w:rsidP="000167A7">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t>V.</w:t>
      </w:r>
      <w:r w:rsidRPr="00495E83">
        <w:rPr>
          <w:b/>
          <w:sz w:val="28"/>
          <w:lang w:eastAsia="en-US"/>
        </w:rPr>
        <w:tab/>
      </w:r>
      <w:r w:rsidRPr="00C43AB0">
        <w:rPr>
          <w:b/>
          <w:sz w:val="28"/>
          <w:lang w:eastAsia="en-US"/>
        </w:rPr>
        <w:t>Travaux de la Réunion commune RID/ADR/ADN</w:t>
      </w:r>
      <w:r w:rsidRPr="00495E83">
        <w:rPr>
          <w:b/>
          <w:sz w:val="28"/>
          <w:lang w:eastAsia="en-US"/>
        </w:rPr>
        <w:t xml:space="preserve"> (point </w:t>
      </w:r>
      <w:r>
        <w:rPr>
          <w:b/>
          <w:sz w:val="28"/>
          <w:lang w:eastAsia="en-US"/>
        </w:rPr>
        <w:t>4</w:t>
      </w:r>
      <w:r w:rsidRPr="00495E83">
        <w:rPr>
          <w:b/>
          <w:sz w:val="28"/>
          <w:lang w:eastAsia="en-US"/>
        </w:rPr>
        <w:t xml:space="preserve"> de l’ordre du jour)</w:t>
      </w:r>
    </w:p>
    <w:p w14:paraId="51AA736A" w14:textId="00A40DB6" w:rsidR="000167A7" w:rsidRPr="00657F58" w:rsidRDefault="000167A7" w:rsidP="000167A7">
      <w:pPr>
        <w:pStyle w:val="SingleTxtG"/>
        <w:ind w:left="2268" w:hanging="1134"/>
        <w:jc w:val="left"/>
      </w:pPr>
      <w:r w:rsidRPr="00657F58">
        <w:rPr>
          <w:i/>
          <w:iCs/>
          <w:lang w:val="fr-FR"/>
        </w:rPr>
        <w:t>Documents</w:t>
      </w:r>
      <w:r>
        <w:rPr>
          <w:i/>
          <w:iCs/>
          <w:lang w:val="fr-FR"/>
        </w:rPr>
        <w:t> </w:t>
      </w:r>
      <w:r w:rsidRPr="00657F58">
        <w:rPr>
          <w:lang w:val="fr-FR"/>
        </w:rPr>
        <w:t>:</w:t>
      </w:r>
      <w:r w:rsidRPr="00657F58">
        <w:rPr>
          <w:lang w:val="fr-FR"/>
        </w:rPr>
        <w:tab/>
        <w:t>ECE/TRANS/WP.15/AC.1/202</w:t>
      </w:r>
      <w:r>
        <w:rPr>
          <w:lang w:val="fr-FR"/>
        </w:rPr>
        <w:t>3</w:t>
      </w:r>
      <w:r w:rsidRPr="00657F58">
        <w:rPr>
          <w:lang w:val="fr-FR"/>
        </w:rPr>
        <w:t>/2</w:t>
      </w:r>
      <w:r>
        <w:rPr>
          <w:lang w:val="fr-FR"/>
        </w:rPr>
        <w:t>3</w:t>
      </w:r>
      <w:r w:rsidRPr="00657F58">
        <w:rPr>
          <w:lang w:val="fr-FR"/>
        </w:rPr>
        <w:t>/Add.1</w:t>
      </w:r>
      <w:r w:rsidR="00294E1B">
        <w:rPr>
          <w:lang w:val="fr-FR"/>
        </w:rPr>
        <w:t xml:space="preserve"> (Secrétariat)</w:t>
      </w:r>
      <w:r w:rsidRPr="00657F58">
        <w:rPr>
          <w:lang w:val="fr-FR"/>
        </w:rPr>
        <w:t>, ECE/TRANS/WP.15/AC.1/1</w:t>
      </w:r>
      <w:r>
        <w:rPr>
          <w:lang w:val="fr-FR"/>
        </w:rPr>
        <w:t>70</w:t>
      </w:r>
      <w:r w:rsidRPr="00657F58">
        <w:rPr>
          <w:lang w:val="fr-FR"/>
        </w:rPr>
        <w:t xml:space="preserve"> et ECE/TRANS/WP.15/AC.1/1</w:t>
      </w:r>
      <w:r>
        <w:rPr>
          <w:lang w:val="fr-FR"/>
        </w:rPr>
        <w:t>70</w:t>
      </w:r>
      <w:r w:rsidRPr="00657F58">
        <w:rPr>
          <w:lang w:val="fr-FR"/>
        </w:rPr>
        <w:t xml:space="preserve">/Add.1 (Rapport de la Réunion commune sur sa session d’automne </w:t>
      </w:r>
      <w:r>
        <w:rPr>
          <w:lang w:val="fr-FR"/>
        </w:rPr>
        <w:t>2023</w:t>
      </w:r>
      <w:r w:rsidRPr="00657F58">
        <w:rPr>
          <w:lang w:val="fr-FR"/>
        </w:rPr>
        <w:t>)</w:t>
      </w:r>
    </w:p>
    <w:p w14:paraId="131A88E5" w14:textId="1F7DA71E" w:rsidR="000167A7" w:rsidRPr="00657F58" w:rsidRDefault="000167A7" w:rsidP="000167A7">
      <w:pPr>
        <w:pStyle w:val="SingleTxtG"/>
        <w:ind w:left="3119" w:hanging="1985"/>
        <w:jc w:val="left"/>
        <w:rPr>
          <w:i/>
        </w:rPr>
      </w:pPr>
      <w:r w:rsidRPr="00657F58">
        <w:rPr>
          <w:i/>
          <w:iCs/>
          <w:lang w:val="fr-FR"/>
        </w:rPr>
        <w:t>Document informel</w:t>
      </w:r>
      <w:r>
        <w:rPr>
          <w:i/>
          <w:iCs/>
          <w:lang w:val="fr-FR"/>
        </w:rPr>
        <w:t> </w:t>
      </w:r>
      <w:r w:rsidRPr="00657F58">
        <w:rPr>
          <w:lang w:val="fr-FR"/>
        </w:rPr>
        <w:t>:</w:t>
      </w:r>
      <w:r w:rsidRPr="00657F58">
        <w:rPr>
          <w:lang w:val="fr-FR"/>
        </w:rPr>
        <w:tab/>
      </w:r>
      <w:r>
        <w:rPr>
          <w:lang w:val="fr-FR"/>
        </w:rPr>
        <w:t>INF.5/Rev.1 (</w:t>
      </w:r>
      <w:r w:rsidR="006F5ACC">
        <w:rPr>
          <w:lang w:val="fr-FR"/>
        </w:rPr>
        <w:t>Secrétariat</w:t>
      </w:r>
      <w:r>
        <w:rPr>
          <w:lang w:val="fr-FR"/>
        </w:rPr>
        <w:t>)</w:t>
      </w:r>
    </w:p>
    <w:p w14:paraId="7C02756E" w14:textId="77777777" w:rsidR="000167A7" w:rsidRPr="00657F58" w:rsidRDefault="000167A7" w:rsidP="000167A7">
      <w:pPr>
        <w:pStyle w:val="H1G"/>
      </w:pPr>
      <w:r>
        <w:rPr>
          <w:lang w:val="fr-FR"/>
        </w:rPr>
        <w:tab/>
      </w:r>
      <w:r w:rsidRPr="00657F58">
        <w:rPr>
          <w:lang w:val="fr-FR"/>
        </w:rPr>
        <w:t>A.</w:t>
      </w:r>
      <w:r w:rsidRPr="00657F58">
        <w:rPr>
          <w:lang w:val="fr-FR"/>
        </w:rPr>
        <w:tab/>
      </w:r>
      <w:bookmarkStart w:id="3" w:name="_Hlk95746517"/>
      <w:r w:rsidRPr="00657F58">
        <w:rPr>
          <w:lang w:val="fr-FR"/>
        </w:rPr>
        <w:t>Généralités</w:t>
      </w:r>
      <w:bookmarkEnd w:id="3"/>
    </w:p>
    <w:p w14:paraId="055FFEAA" w14:textId="1C6BC0A1" w:rsidR="000167A7" w:rsidRPr="00657F58" w:rsidRDefault="000167A7" w:rsidP="000167A7">
      <w:pPr>
        <w:pStyle w:val="SingleTxtG"/>
      </w:pPr>
      <w:r>
        <w:rPr>
          <w:lang w:val="fr-FR"/>
        </w:rPr>
        <w:t>13</w:t>
      </w:r>
      <w:r w:rsidRPr="00657F58">
        <w:rPr>
          <w:lang w:val="fr-FR"/>
        </w:rPr>
        <w:t>.</w:t>
      </w:r>
      <w:r w:rsidRPr="00657F58">
        <w:rPr>
          <w:lang w:val="fr-FR"/>
        </w:rPr>
        <w:tab/>
        <w:t xml:space="preserve">Le Groupe de travail a approuvé les amendements adoptés par la Réunion commune, avec quelques modifications (voir annexe </w:t>
      </w:r>
      <w:r w:rsidR="00AC5F51">
        <w:rPr>
          <w:lang w:val="fr-FR"/>
        </w:rPr>
        <w:t>II</w:t>
      </w:r>
      <w:r w:rsidR="00AC5F51" w:rsidRPr="00657F58">
        <w:rPr>
          <w:lang w:val="fr-FR"/>
        </w:rPr>
        <w:t>).</w:t>
      </w:r>
      <w:r w:rsidR="00AC5F51">
        <w:rPr>
          <w:lang w:val="fr-FR"/>
        </w:rPr>
        <w:t xml:space="preserve"> </w:t>
      </w:r>
      <w:r>
        <w:rPr>
          <w:lang w:val="fr-FR"/>
        </w:rPr>
        <w:t>L’amendement au 6.2.1.5.4 a été supprimé car il n’était pas pertinent pour l’ADR.</w:t>
      </w:r>
    </w:p>
    <w:p w14:paraId="4EB9836B" w14:textId="77777777" w:rsidR="000167A7" w:rsidRPr="00657F58" w:rsidRDefault="000167A7" w:rsidP="000167A7">
      <w:pPr>
        <w:pStyle w:val="H1G"/>
      </w:pPr>
      <w:r>
        <w:rPr>
          <w:lang w:val="fr-FR"/>
        </w:rPr>
        <w:tab/>
      </w:r>
      <w:r w:rsidRPr="00657F58">
        <w:rPr>
          <w:lang w:val="fr-FR"/>
        </w:rPr>
        <w:t>B.</w:t>
      </w:r>
      <w:r w:rsidRPr="00657F58">
        <w:rPr>
          <w:lang w:val="fr-FR"/>
        </w:rPr>
        <w:tab/>
      </w:r>
      <w:bookmarkStart w:id="4" w:name="_Hlk95746532"/>
      <w:r w:rsidRPr="00657F58">
        <w:rPr>
          <w:lang w:val="fr-FR"/>
        </w:rPr>
        <w:t>Questions spécifiques</w:t>
      </w:r>
      <w:bookmarkEnd w:id="4"/>
    </w:p>
    <w:p w14:paraId="3DF37A89" w14:textId="77777777" w:rsidR="000167A7" w:rsidRPr="00657F58" w:rsidRDefault="000167A7" w:rsidP="000167A7">
      <w:pPr>
        <w:pStyle w:val="H23G"/>
      </w:pPr>
      <w:r>
        <w:rPr>
          <w:lang w:val="fr-FR"/>
        </w:rPr>
        <w:tab/>
        <w:t>1</w:t>
      </w:r>
      <w:r w:rsidRPr="00657F58">
        <w:rPr>
          <w:lang w:val="fr-FR"/>
        </w:rPr>
        <w:t>.</w:t>
      </w:r>
      <w:r w:rsidRPr="00657F58">
        <w:rPr>
          <w:lang w:val="fr-FR"/>
        </w:rPr>
        <w:tab/>
      </w:r>
      <w:r w:rsidRPr="00D06271">
        <w:rPr>
          <w:lang w:val="fr-FR"/>
        </w:rPr>
        <w:t>Transport en vrac de catégories spécifiques de déchets contenant de l</w:t>
      </w:r>
      <w:r>
        <w:rPr>
          <w:lang w:val="fr-FR"/>
        </w:rPr>
        <w:t>’</w:t>
      </w:r>
      <w:r w:rsidRPr="00D06271">
        <w:rPr>
          <w:lang w:val="fr-FR"/>
        </w:rPr>
        <w:t xml:space="preserve">amiante </w:t>
      </w:r>
      <w:r>
        <w:rPr>
          <w:lang w:val="fr-FR"/>
        </w:rPr>
        <w:br/>
      </w:r>
      <w:r w:rsidRPr="00D06271">
        <w:rPr>
          <w:lang w:val="fr-FR"/>
        </w:rPr>
        <w:t>(</w:t>
      </w:r>
      <w:r>
        <w:rPr>
          <w:rFonts w:eastAsia="MS Mincho"/>
          <w:lang w:val="fr-FR"/>
        </w:rPr>
        <w:t>N</w:t>
      </w:r>
      <w:r w:rsidRPr="006E2B41">
        <w:rPr>
          <w:rFonts w:eastAsia="MS Mincho"/>
          <w:lang w:val="fr-FR"/>
        </w:rPr>
        <w:t>os </w:t>
      </w:r>
      <w:r w:rsidRPr="00D06271">
        <w:rPr>
          <w:lang w:val="fr-FR"/>
        </w:rPr>
        <w:t>ONU 2590 et 2212)</w:t>
      </w:r>
    </w:p>
    <w:p w14:paraId="40B0AB5E" w14:textId="0D802DEC" w:rsidR="000167A7" w:rsidRDefault="000167A7" w:rsidP="000167A7">
      <w:pPr>
        <w:pStyle w:val="SingleTxtG"/>
        <w:ind w:left="3119" w:hanging="1985"/>
        <w:jc w:val="left"/>
        <w:rPr>
          <w:lang w:val="fr-FR"/>
        </w:rPr>
      </w:pPr>
      <w:r w:rsidRPr="00657F58">
        <w:rPr>
          <w:i/>
          <w:iCs/>
          <w:lang w:val="fr-FR"/>
        </w:rPr>
        <w:t>Document</w:t>
      </w:r>
      <w:r>
        <w:rPr>
          <w:i/>
          <w:iCs/>
          <w:lang w:val="fr-FR"/>
        </w:rPr>
        <w:t>s</w:t>
      </w:r>
      <w:r w:rsidRPr="00657F58">
        <w:rPr>
          <w:i/>
          <w:iCs/>
          <w:lang w:val="fr-FR"/>
        </w:rPr>
        <w:t xml:space="preserve"> informel</w:t>
      </w:r>
      <w:r>
        <w:rPr>
          <w:i/>
          <w:iCs/>
          <w:lang w:val="fr-FR"/>
        </w:rPr>
        <w:t>s </w:t>
      </w:r>
      <w:r w:rsidRPr="00657F58">
        <w:rPr>
          <w:lang w:val="fr-FR"/>
        </w:rPr>
        <w:t>:</w:t>
      </w:r>
      <w:r w:rsidRPr="00657F58">
        <w:rPr>
          <w:lang w:val="fr-FR"/>
        </w:rPr>
        <w:tab/>
      </w:r>
      <w:r>
        <w:rPr>
          <w:lang w:val="fr-FR"/>
        </w:rPr>
        <w:t>INF.5/Rev.1, partie II (</w:t>
      </w:r>
      <w:r w:rsidR="006F5ACC">
        <w:rPr>
          <w:lang w:val="fr-FR"/>
        </w:rPr>
        <w:t>Secrétariat</w:t>
      </w:r>
      <w:r>
        <w:rPr>
          <w:lang w:val="fr-FR"/>
        </w:rPr>
        <w:t>), INF.7 (France)</w:t>
      </w:r>
    </w:p>
    <w:p w14:paraId="54AB0792" w14:textId="418EC5EE" w:rsidR="000167A7" w:rsidRPr="006F49D6" w:rsidRDefault="000167A7" w:rsidP="000167A7">
      <w:pPr>
        <w:pStyle w:val="SingleTxtG"/>
        <w:rPr>
          <w:lang w:val="fr-FR"/>
        </w:rPr>
      </w:pPr>
      <w:r>
        <w:rPr>
          <w:lang w:val="fr-FR"/>
        </w:rPr>
        <w:t>14.</w:t>
      </w:r>
      <w:r>
        <w:rPr>
          <w:lang w:val="fr-FR"/>
        </w:rPr>
        <w:tab/>
        <w:t>Le Groupe de travail a adopté les textes relatifs au transport de déchets contenant de l’amiante avec des modifications éditoriales et en prenant en compte les modifications proposées dans le document informel INF.7 visant à remplacer le terme « benne » par « compartiment de chargement » dans les dispositions CV38 et AP12 (voir annexe</w:t>
      </w:r>
      <w:r w:rsidR="00AC5F51">
        <w:rPr>
          <w:lang w:val="fr-FR"/>
        </w:rPr>
        <w:t xml:space="preserve"> II). </w:t>
      </w:r>
      <w:r>
        <w:rPr>
          <w:lang w:val="fr-FR"/>
        </w:rPr>
        <w:t>Pour la version anglaise, le terme « </w:t>
      </w:r>
      <w:proofErr w:type="spellStart"/>
      <w:r>
        <w:rPr>
          <w:lang w:val="fr-FR"/>
        </w:rPr>
        <w:t>load</w:t>
      </w:r>
      <w:proofErr w:type="spellEnd"/>
      <w:r>
        <w:rPr>
          <w:lang w:val="fr-FR"/>
        </w:rPr>
        <w:t xml:space="preserve"> </w:t>
      </w:r>
      <w:proofErr w:type="spellStart"/>
      <w:r>
        <w:rPr>
          <w:lang w:val="fr-FR"/>
        </w:rPr>
        <w:t>compartment</w:t>
      </w:r>
      <w:proofErr w:type="spellEnd"/>
      <w:r>
        <w:rPr>
          <w:lang w:val="fr-FR"/>
        </w:rPr>
        <w:t> » a été retenu.</w:t>
      </w:r>
    </w:p>
    <w:p w14:paraId="404E3E63" w14:textId="77777777" w:rsidR="000167A7" w:rsidRPr="00657F58" w:rsidRDefault="000167A7" w:rsidP="000167A7">
      <w:pPr>
        <w:pStyle w:val="H23G"/>
      </w:pPr>
      <w:r>
        <w:rPr>
          <w:lang w:val="fr-FR"/>
        </w:rPr>
        <w:lastRenderedPageBreak/>
        <w:tab/>
        <w:t>2</w:t>
      </w:r>
      <w:r w:rsidRPr="00657F58">
        <w:rPr>
          <w:lang w:val="fr-FR"/>
        </w:rPr>
        <w:t>.</w:t>
      </w:r>
      <w:r w:rsidRPr="00657F58">
        <w:rPr>
          <w:lang w:val="fr-FR"/>
        </w:rPr>
        <w:tab/>
      </w:r>
      <w:r w:rsidRPr="00D06271">
        <w:rPr>
          <w:lang w:val="fr-FR"/>
        </w:rPr>
        <w:t xml:space="preserve">Transport </w:t>
      </w:r>
      <w:r>
        <w:rPr>
          <w:lang w:val="fr-FR"/>
        </w:rPr>
        <w:t>de déchets dans des emballages intérieurs emballés ensemble dans un emballage extérieur</w:t>
      </w:r>
    </w:p>
    <w:p w14:paraId="14BC2758" w14:textId="6A18B6DC" w:rsidR="000167A7" w:rsidRDefault="000167A7" w:rsidP="000167A7">
      <w:pPr>
        <w:pStyle w:val="SingleTxtG"/>
        <w:ind w:left="3119" w:hanging="1985"/>
        <w:jc w:val="left"/>
        <w:rPr>
          <w:lang w:val="fr-FR"/>
        </w:rPr>
      </w:pPr>
      <w:r w:rsidRPr="00657F58">
        <w:rPr>
          <w:i/>
          <w:iCs/>
          <w:lang w:val="fr-FR"/>
        </w:rPr>
        <w:t>Document</w:t>
      </w:r>
      <w:r w:rsidR="008620CE">
        <w:rPr>
          <w:i/>
          <w:iCs/>
          <w:lang w:val="fr-FR"/>
        </w:rPr>
        <w:t>s</w:t>
      </w:r>
      <w:r w:rsidRPr="00657F58">
        <w:rPr>
          <w:i/>
          <w:iCs/>
          <w:lang w:val="fr-FR"/>
        </w:rPr>
        <w:t xml:space="preserve"> informel</w:t>
      </w:r>
      <w:r w:rsidR="008620CE">
        <w:rPr>
          <w:i/>
          <w:iCs/>
          <w:lang w:val="fr-FR"/>
        </w:rPr>
        <w:t>s</w:t>
      </w:r>
      <w:r>
        <w:rPr>
          <w:i/>
          <w:iCs/>
          <w:lang w:val="fr-FR"/>
        </w:rPr>
        <w:t> </w:t>
      </w:r>
      <w:r w:rsidRPr="00657F58">
        <w:rPr>
          <w:lang w:val="fr-FR"/>
        </w:rPr>
        <w:t>:</w:t>
      </w:r>
      <w:r w:rsidRPr="00657F58">
        <w:rPr>
          <w:lang w:val="fr-FR"/>
        </w:rPr>
        <w:tab/>
      </w:r>
      <w:r>
        <w:rPr>
          <w:lang w:val="fr-FR"/>
        </w:rPr>
        <w:t>INF.5/Rev.1, partie II (</w:t>
      </w:r>
      <w:r w:rsidR="006F5ACC">
        <w:rPr>
          <w:lang w:val="fr-FR"/>
        </w:rPr>
        <w:t>Secrétariat</w:t>
      </w:r>
      <w:r>
        <w:rPr>
          <w:lang w:val="fr-FR"/>
        </w:rPr>
        <w:t>), INF.14 (FEAD)</w:t>
      </w:r>
    </w:p>
    <w:p w14:paraId="113E2A79" w14:textId="699746DF" w:rsidR="000167A7" w:rsidRDefault="000167A7" w:rsidP="000167A7">
      <w:pPr>
        <w:pStyle w:val="SingleTxtG"/>
        <w:rPr>
          <w:lang w:val="fr-FR"/>
        </w:rPr>
      </w:pPr>
      <w:r>
        <w:rPr>
          <w:lang w:val="fr-FR"/>
        </w:rPr>
        <w:t>15.</w:t>
      </w:r>
      <w:r>
        <w:rPr>
          <w:lang w:val="fr-FR"/>
        </w:rPr>
        <w:tab/>
        <w:t>Le Groupe de travail a adopté les textes relatifs au transport de déchets proposés par la Réunion commune avec l’ajout proposé par la FEAD dans le document INF.14 et des modifications éditoriales (voir annexe</w:t>
      </w:r>
      <w:r w:rsidR="00AC5F51">
        <w:rPr>
          <w:lang w:val="fr-FR"/>
        </w:rPr>
        <w:t xml:space="preserve"> II).</w:t>
      </w:r>
    </w:p>
    <w:p w14:paraId="18F00CB9" w14:textId="77777777" w:rsidR="000167A7" w:rsidRPr="00657F58" w:rsidRDefault="000167A7" w:rsidP="000167A7">
      <w:pPr>
        <w:pStyle w:val="H23G"/>
      </w:pPr>
      <w:r>
        <w:rPr>
          <w:lang w:val="fr-FR"/>
        </w:rPr>
        <w:tab/>
        <w:t>3</w:t>
      </w:r>
      <w:r w:rsidRPr="00657F58">
        <w:rPr>
          <w:lang w:val="fr-FR"/>
        </w:rPr>
        <w:t>.</w:t>
      </w:r>
      <w:r w:rsidRPr="00657F58">
        <w:rPr>
          <w:lang w:val="fr-FR"/>
        </w:rPr>
        <w:tab/>
      </w:r>
      <w:bookmarkStart w:id="5" w:name="_Hlk95746539"/>
      <w:r w:rsidRPr="00657F58">
        <w:rPr>
          <w:lang w:val="fr-FR"/>
        </w:rPr>
        <w:t>Questions en suspens</w:t>
      </w:r>
      <w:bookmarkEnd w:id="5"/>
    </w:p>
    <w:p w14:paraId="4C24C17D" w14:textId="6B86C894" w:rsidR="000167A7" w:rsidRPr="00657F58" w:rsidRDefault="000167A7" w:rsidP="000167A7">
      <w:pPr>
        <w:pStyle w:val="SingleTxtG"/>
        <w:ind w:left="3119" w:hanging="1985"/>
        <w:jc w:val="left"/>
      </w:pPr>
      <w:r w:rsidRPr="00657F58">
        <w:rPr>
          <w:i/>
          <w:iCs/>
          <w:lang w:val="fr-FR"/>
        </w:rPr>
        <w:t>Document informel</w:t>
      </w:r>
      <w:r>
        <w:rPr>
          <w:i/>
          <w:iCs/>
          <w:lang w:val="fr-FR"/>
        </w:rPr>
        <w:t> </w:t>
      </w:r>
      <w:r w:rsidRPr="00657F58">
        <w:rPr>
          <w:lang w:val="fr-FR"/>
        </w:rPr>
        <w:t>:</w:t>
      </w:r>
      <w:r w:rsidRPr="00657F58">
        <w:rPr>
          <w:lang w:val="fr-FR"/>
        </w:rPr>
        <w:tab/>
      </w:r>
      <w:r>
        <w:rPr>
          <w:lang w:val="fr-FR"/>
        </w:rPr>
        <w:t>INF.5/Rev.1, partie I (</w:t>
      </w:r>
      <w:r w:rsidR="006F5ACC">
        <w:rPr>
          <w:lang w:val="fr-FR"/>
        </w:rPr>
        <w:t>S</w:t>
      </w:r>
      <w:r>
        <w:rPr>
          <w:lang w:val="fr-FR"/>
        </w:rPr>
        <w:t>ecrétariat)</w:t>
      </w:r>
    </w:p>
    <w:p w14:paraId="391FBFA9" w14:textId="77777777" w:rsidR="000167A7" w:rsidRPr="00657F58" w:rsidRDefault="000167A7" w:rsidP="000167A7">
      <w:pPr>
        <w:pStyle w:val="SingleTxtG"/>
      </w:pPr>
      <w:r>
        <w:rPr>
          <w:lang w:val="fr-FR"/>
        </w:rPr>
        <w:t>16</w:t>
      </w:r>
      <w:r w:rsidRPr="00657F58">
        <w:rPr>
          <w:lang w:val="fr-FR"/>
        </w:rPr>
        <w:t>.</w:t>
      </w:r>
      <w:r w:rsidRPr="00657F58">
        <w:rPr>
          <w:lang w:val="fr-FR"/>
        </w:rPr>
        <w:tab/>
      </w:r>
      <w:r>
        <w:rPr>
          <w:lang w:val="fr-FR"/>
        </w:rPr>
        <w:t xml:space="preserve">Le Groupe de travail a noté que le Sous-Comité d’experts du transport de marchandises dangereuses allait discuter une proposition du </w:t>
      </w:r>
      <w:r w:rsidRPr="00654377">
        <w:rPr>
          <w:lang w:val="fr-FR"/>
        </w:rPr>
        <w:t>Groupe de travail spécial de l’harmonisation</w:t>
      </w:r>
      <w:r>
        <w:rPr>
          <w:lang w:val="fr-FR"/>
        </w:rPr>
        <w:t xml:space="preserve"> de la Réunion commune, relayée par le secrétariat, visant à faire référence aux piles et batteries au sodium ionique dans le 2.0.5.2 (2.1.5.2 de l’ADR) et dans les instructions d’emballage P006 et LP03 (voir </w:t>
      </w:r>
      <w:r w:rsidRPr="00ED13C9">
        <w:rPr>
          <w:lang w:val="fr-FR"/>
        </w:rPr>
        <w:t>ST/SG/AC.10/C.3/2023/57</w:t>
      </w:r>
      <w:r>
        <w:rPr>
          <w:lang w:val="fr-FR"/>
        </w:rPr>
        <w:t>). Le Groupe de travail a indiqué qu’il serait prêt à prendre en compte ces modifications à sa prochaine session si elles étaient adoptées.</w:t>
      </w:r>
    </w:p>
    <w:p w14:paraId="12089BC7" w14:textId="2CC9C15D" w:rsidR="000167A7" w:rsidRPr="00657F58" w:rsidRDefault="000167A7" w:rsidP="000167A7">
      <w:pPr>
        <w:pStyle w:val="SingleTxtG"/>
        <w:ind w:left="3119" w:hanging="1985"/>
        <w:jc w:val="left"/>
      </w:pPr>
      <w:r w:rsidRPr="00657F58">
        <w:rPr>
          <w:i/>
          <w:iCs/>
          <w:lang w:val="fr-FR"/>
        </w:rPr>
        <w:t>Document informel</w:t>
      </w:r>
      <w:r>
        <w:rPr>
          <w:i/>
          <w:iCs/>
          <w:lang w:val="fr-FR"/>
        </w:rPr>
        <w:t> </w:t>
      </w:r>
      <w:r w:rsidRPr="00657F58">
        <w:rPr>
          <w:lang w:val="fr-FR"/>
        </w:rPr>
        <w:t>:</w:t>
      </w:r>
      <w:r w:rsidRPr="00657F58">
        <w:rPr>
          <w:lang w:val="fr-FR"/>
        </w:rPr>
        <w:tab/>
      </w:r>
      <w:r>
        <w:rPr>
          <w:lang w:val="fr-FR"/>
        </w:rPr>
        <w:t>INF.5/Rev.1, partie III (</w:t>
      </w:r>
      <w:r w:rsidR="006F5ACC">
        <w:rPr>
          <w:lang w:val="fr-FR"/>
        </w:rPr>
        <w:t>S</w:t>
      </w:r>
      <w:r>
        <w:rPr>
          <w:lang w:val="fr-FR"/>
        </w:rPr>
        <w:t>ecrétariat)</w:t>
      </w:r>
    </w:p>
    <w:p w14:paraId="6F4CCB8D" w14:textId="2E0F4C54" w:rsidR="000167A7" w:rsidRPr="00657F58" w:rsidRDefault="000167A7" w:rsidP="000167A7">
      <w:pPr>
        <w:pStyle w:val="SingleTxtG"/>
      </w:pPr>
      <w:r>
        <w:rPr>
          <w:lang w:val="fr-FR"/>
        </w:rPr>
        <w:t>17</w:t>
      </w:r>
      <w:r w:rsidRPr="00657F58">
        <w:rPr>
          <w:lang w:val="fr-FR"/>
        </w:rPr>
        <w:t>.</w:t>
      </w:r>
      <w:r w:rsidRPr="00657F58">
        <w:rPr>
          <w:lang w:val="fr-FR"/>
        </w:rPr>
        <w:tab/>
      </w:r>
      <w:r>
        <w:rPr>
          <w:lang w:val="fr-FR"/>
        </w:rPr>
        <w:t xml:space="preserve">Le Groupe de travail a provisoirement adopté les amendements relatifs au chapitre 1.8 adoptés entre crochets par la Réunion commune et repris en partie III du document informel INF.5/Rev.1 </w:t>
      </w:r>
      <w:r w:rsidRPr="00657F58">
        <w:rPr>
          <w:lang w:val="fr-FR"/>
        </w:rPr>
        <w:t xml:space="preserve">(voir annexe </w:t>
      </w:r>
      <w:r w:rsidR="00DE5309">
        <w:rPr>
          <w:lang w:val="fr-FR"/>
        </w:rPr>
        <w:t>III</w:t>
      </w:r>
      <w:r w:rsidR="00DE5309" w:rsidRPr="00657F58">
        <w:rPr>
          <w:lang w:val="fr-FR"/>
        </w:rPr>
        <w:t>).</w:t>
      </w:r>
      <w:r w:rsidR="00DE5309">
        <w:rPr>
          <w:lang w:val="fr-FR"/>
        </w:rPr>
        <w:t xml:space="preserve"> </w:t>
      </w:r>
      <w:r>
        <w:rPr>
          <w:lang w:val="fr-FR"/>
        </w:rPr>
        <w:t>Ces amendements seront définitivement adoptés à la prochaine session du Groupe de travail après confirmation de la Réunion commune à sa session de printemps 2024.</w:t>
      </w:r>
    </w:p>
    <w:p w14:paraId="7029CB25" w14:textId="32EDB030" w:rsidR="000167A7" w:rsidRDefault="000167A7" w:rsidP="000167A7">
      <w:pPr>
        <w:pStyle w:val="SingleTxtG"/>
        <w:rPr>
          <w:lang w:val="fr-FR"/>
        </w:rPr>
      </w:pPr>
      <w:r>
        <w:rPr>
          <w:lang w:val="fr-FR"/>
        </w:rPr>
        <w:t>18</w:t>
      </w:r>
      <w:r w:rsidRPr="00657F58">
        <w:rPr>
          <w:lang w:val="fr-FR"/>
        </w:rPr>
        <w:t>.</w:t>
      </w:r>
      <w:r w:rsidRPr="00657F58">
        <w:rPr>
          <w:lang w:val="fr-FR"/>
        </w:rPr>
        <w:tab/>
      </w:r>
      <w:r>
        <w:rPr>
          <w:lang w:val="fr-FR"/>
        </w:rPr>
        <w:t xml:space="preserve">Le Groupe de travail a adopté les amendements visant à faire référence à la norme EN </w:t>
      </w:r>
      <w:r w:rsidRPr="00141ED4">
        <w:rPr>
          <w:lang w:val="fr-FR"/>
        </w:rPr>
        <w:t>14025:2023</w:t>
      </w:r>
      <w:r>
        <w:rPr>
          <w:lang w:val="fr-FR"/>
        </w:rPr>
        <w:t xml:space="preserve"> dans l’ADR car cette norme avait été approuvée par le </w:t>
      </w:r>
      <w:r w:rsidR="00B70195" w:rsidRPr="00B70195">
        <w:rPr>
          <w:lang w:val="fr-FR"/>
        </w:rPr>
        <w:t xml:space="preserve">Comité européen de normalisation </w:t>
      </w:r>
      <w:r w:rsidR="00B70195">
        <w:rPr>
          <w:lang w:val="fr-FR"/>
        </w:rPr>
        <w:t>(</w:t>
      </w:r>
      <w:r>
        <w:rPr>
          <w:lang w:val="fr-FR"/>
        </w:rPr>
        <w:t>CEN</w:t>
      </w:r>
      <w:r w:rsidR="00B70195">
        <w:rPr>
          <w:lang w:val="fr-FR"/>
        </w:rPr>
        <w:t>)</w:t>
      </w:r>
      <w:r>
        <w:rPr>
          <w:lang w:val="fr-FR"/>
        </w:rPr>
        <w:t xml:space="preserve"> avant la session</w:t>
      </w:r>
      <w:r w:rsidR="00621772">
        <w:rPr>
          <w:lang w:val="fr-FR"/>
        </w:rPr>
        <w:t xml:space="preserve"> </w:t>
      </w:r>
      <w:r w:rsidR="00621772" w:rsidRPr="00F52A86">
        <w:rPr>
          <w:lang w:val="fr-FR"/>
        </w:rPr>
        <w:t>(voir annexe II)</w:t>
      </w:r>
      <w:r w:rsidRPr="00F52A86">
        <w:rPr>
          <w:lang w:val="fr-FR"/>
        </w:rPr>
        <w:t>.</w:t>
      </w:r>
      <w:r>
        <w:rPr>
          <w:lang w:val="fr-FR"/>
        </w:rPr>
        <w:t xml:space="preserve"> </w:t>
      </w:r>
    </w:p>
    <w:p w14:paraId="0E632C14" w14:textId="089DD8DF" w:rsidR="000167A7" w:rsidRPr="00657F58" w:rsidRDefault="000167A7" w:rsidP="000167A7">
      <w:pPr>
        <w:pStyle w:val="SingleTxtG"/>
      </w:pPr>
      <w:r>
        <w:rPr>
          <w:lang w:val="fr-FR"/>
        </w:rPr>
        <w:t>19.</w:t>
      </w:r>
      <w:r>
        <w:rPr>
          <w:lang w:val="fr-FR"/>
        </w:rPr>
        <w:tab/>
        <w:t>Concernant les autres amendements figurant en partie III, l</w:t>
      </w:r>
      <w:r w:rsidRPr="00657F58">
        <w:rPr>
          <w:lang w:val="fr-FR"/>
        </w:rPr>
        <w:t xml:space="preserve">e Groupe de travail a noté que les dates de certaines normes adoptées pour référence par la Réunion commune étaient placées entre crochets car ces normes n’avaient toujours pas été publiées. Il a provisoirement adopté les amendements relatifs à ces normes sous réserve de la publication </w:t>
      </w:r>
      <w:r>
        <w:rPr>
          <w:lang w:val="fr-FR"/>
        </w:rPr>
        <w:t>de celles-ci</w:t>
      </w:r>
      <w:r w:rsidRPr="00657F58">
        <w:rPr>
          <w:lang w:val="fr-FR"/>
        </w:rPr>
        <w:t xml:space="preserve"> avant </w:t>
      </w:r>
      <w:r>
        <w:rPr>
          <w:lang w:val="fr-FR"/>
        </w:rPr>
        <w:t>mai 2024</w:t>
      </w:r>
      <w:r w:rsidRPr="00657F58">
        <w:rPr>
          <w:lang w:val="fr-FR"/>
        </w:rPr>
        <w:t xml:space="preserve"> (voir annexe</w:t>
      </w:r>
      <w:r>
        <w:rPr>
          <w:lang w:val="fr-FR"/>
        </w:rPr>
        <w:t> </w:t>
      </w:r>
      <w:r w:rsidR="00621772">
        <w:rPr>
          <w:lang w:val="fr-FR"/>
        </w:rPr>
        <w:t>III</w:t>
      </w:r>
      <w:r w:rsidR="00621772" w:rsidRPr="00657F58">
        <w:rPr>
          <w:lang w:val="fr-FR"/>
        </w:rPr>
        <w:t>).</w:t>
      </w:r>
      <w:r w:rsidR="00621772">
        <w:rPr>
          <w:lang w:val="fr-FR"/>
        </w:rPr>
        <w:t xml:space="preserve"> </w:t>
      </w:r>
    </w:p>
    <w:p w14:paraId="0D9EA275" w14:textId="77777777" w:rsidR="000167A7" w:rsidRPr="00657F58" w:rsidRDefault="000167A7" w:rsidP="000167A7">
      <w:pPr>
        <w:pStyle w:val="H23G"/>
      </w:pPr>
      <w:r>
        <w:rPr>
          <w:lang w:val="fr-FR"/>
        </w:rPr>
        <w:tab/>
        <w:t>4</w:t>
      </w:r>
      <w:r w:rsidRPr="00657F58">
        <w:rPr>
          <w:lang w:val="fr-FR"/>
        </w:rPr>
        <w:t>.</w:t>
      </w:r>
      <w:r w:rsidRPr="00657F58">
        <w:rPr>
          <w:lang w:val="fr-FR"/>
        </w:rPr>
        <w:tab/>
      </w:r>
      <w:r>
        <w:rPr>
          <w:lang w:val="fr-FR"/>
        </w:rPr>
        <w:t>Amendement d’ordre rédactionnel complémentaire</w:t>
      </w:r>
    </w:p>
    <w:p w14:paraId="19CB15E8" w14:textId="6D948D5F" w:rsidR="000167A7" w:rsidRDefault="000167A7" w:rsidP="000167A7">
      <w:pPr>
        <w:pStyle w:val="SingleTxtG"/>
        <w:ind w:left="3119" w:hanging="1985"/>
        <w:jc w:val="left"/>
        <w:rPr>
          <w:lang w:val="fr-FR"/>
        </w:rPr>
      </w:pPr>
      <w:r w:rsidRPr="00657F58">
        <w:rPr>
          <w:i/>
          <w:iCs/>
          <w:lang w:val="fr-FR"/>
        </w:rPr>
        <w:t>Document informel</w:t>
      </w:r>
      <w:r>
        <w:rPr>
          <w:i/>
          <w:iCs/>
          <w:lang w:val="fr-FR"/>
        </w:rPr>
        <w:t> </w:t>
      </w:r>
      <w:r w:rsidRPr="00657F58">
        <w:rPr>
          <w:lang w:val="fr-FR"/>
        </w:rPr>
        <w:t>:</w:t>
      </w:r>
      <w:r w:rsidRPr="00657F58">
        <w:rPr>
          <w:lang w:val="fr-FR"/>
        </w:rPr>
        <w:tab/>
      </w:r>
      <w:r>
        <w:rPr>
          <w:lang w:val="fr-FR"/>
        </w:rPr>
        <w:t>INF.19 (</w:t>
      </w:r>
      <w:r w:rsidR="006F5ACC">
        <w:rPr>
          <w:lang w:val="fr-FR"/>
        </w:rPr>
        <w:t>S</w:t>
      </w:r>
      <w:r>
        <w:rPr>
          <w:lang w:val="fr-FR"/>
        </w:rPr>
        <w:t>ecrétariat de l’OTIF)</w:t>
      </w:r>
    </w:p>
    <w:p w14:paraId="1F142FFD" w14:textId="2A958DF3" w:rsidR="000167A7" w:rsidRDefault="000167A7" w:rsidP="000167A7">
      <w:pPr>
        <w:pStyle w:val="SingleTxtG"/>
      </w:pPr>
      <w:r>
        <w:t>20.</w:t>
      </w:r>
      <w:r>
        <w:tab/>
        <w:t>Le Groupe de travail a adopté la proposition de modification du 1.8.3.11 b) (voir annexe</w:t>
      </w:r>
      <w:r w:rsidR="00621772">
        <w:t xml:space="preserve"> II).</w:t>
      </w:r>
    </w:p>
    <w:p w14:paraId="065754FE" w14:textId="77777777" w:rsidR="002D47AB" w:rsidRPr="007F21DA" w:rsidRDefault="002D47AB" w:rsidP="002D47AB">
      <w:pPr>
        <w:pStyle w:val="H23G"/>
        <w:rPr>
          <w:lang w:val="fr-FR"/>
        </w:rPr>
      </w:pPr>
      <w:r w:rsidRPr="007F21DA">
        <w:tab/>
      </w:r>
      <w:r>
        <w:t>5</w:t>
      </w:r>
      <w:r w:rsidRPr="007F21DA">
        <w:t>.</w:t>
      </w:r>
      <w:r w:rsidRPr="007F21DA">
        <w:tab/>
      </w:r>
      <w:r w:rsidRPr="007F21DA">
        <w:rPr>
          <w:lang w:val="fr-FR"/>
        </w:rPr>
        <w:t>Documents de transport : projet d’amendement au 5.4.0.</w:t>
      </w:r>
      <w:r>
        <w:rPr>
          <w:lang w:val="fr-FR"/>
        </w:rPr>
        <w:t>2</w:t>
      </w:r>
    </w:p>
    <w:p w14:paraId="5F6444C1" w14:textId="77777777" w:rsidR="002D47AB" w:rsidRPr="007F21DA" w:rsidRDefault="002D47AB" w:rsidP="002D47AB">
      <w:pPr>
        <w:pStyle w:val="SingleTxtG"/>
        <w:ind w:left="3119" w:hanging="1985"/>
        <w:jc w:val="left"/>
        <w:rPr>
          <w:lang w:val="fr-FR"/>
        </w:rPr>
      </w:pPr>
      <w:r w:rsidRPr="007F21DA">
        <w:rPr>
          <w:i/>
          <w:iCs/>
          <w:lang w:val="fr-FR"/>
        </w:rPr>
        <w:t>Document </w:t>
      </w:r>
      <w:r w:rsidRPr="007F21DA">
        <w:rPr>
          <w:lang w:val="fr-FR"/>
        </w:rPr>
        <w:t>:</w:t>
      </w:r>
      <w:r w:rsidRPr="007F21DA">
        <w:rPr>
          <w:lang w:val="fr-FR"/>
        </w:rPr>
        <w:tab/>
        <w:t>ECE/TRANS/WP.15/2023/10 (IRU)</w:t>
      </w:r>
    </w:p>
    <w:p w14:paraId="24AE7E97" w14:textId="5249D67B" w:rsidR="002D47AB" w:rsidRPr="007F21DA" w:rsidRDefault="002D47AB" w:rsidP="002D47AB">
      <w:pPr>
        <w:pStyle w:val="SingleTxtG"/>
        <w:ind w:left="3119" w:hanging="1985"/>
        <w:jc w:val="left"/>
      </w:pPr>
      <w:r w:rsidRPr="007F21DA">
        <w:rPr>
          <w:i/>
          <w:iCs/>
          <w:lang w:val="fr-FR"/>
        </w:rPr>
        <w:t>Document</w:t>
      </w:r>
      <w:r>
        <w:rPr>
          <w:i/>
          <w:iCs/>
          <w:lang w:val="fr-FR"/>
        </w:rPr>
        <w:t>s</w:t>
      </w:r>
      <w:r w:rsidRPr="007F21DA">
        <w:rPr>
          <w:i/>
          <w:iCs/>
          <w:lang w:val="fr-FR"/>
        </w:rPr>
        <w:t xml:space="preserve"> informel</w:t>
      </w:r>
      <w:r>
        <w:rPr>
          <w:i/>
          <w:iCs/>
          <w:lang w:val="fr-FR"/>
        </w:rPr>
        <w:t>s</w:t>
      </w:r>
      <w:r w:rsidRPr="007F21DA">
        <w:rPr>
          <w:i/>
          <w:iCs/>
          <w:lang w:val="fr-FR"/>
        </w:rPr>
        <w:t> </w:t>
      </w:r>
      <w:r w:rsidRPr="007F21DA">
        <w:t xml:space="preserve">: </w:t>
      </w:r>
      <w:r>
        <w:t>INF.5/Rev.1, partie I (</w:t>
      </w:r>
      <w:r w:rsidR="006F5ACC">
        <w:t>Secrétariat</w:t>
      </w:r>
      <w:r>
        <w:t xml:space="preserve">), </w:t>
      </w:r>
      <w:r w:rsidRPr="007F21DA">
        <w:t>INF.24 (Suède)</w:t>
      </w:r>
    </w:p>
    <w:p w14:paraId="553B3348" w14:textId="75B61CEC" w:rsidR="002D47AB" w:rsidRDefault="00E677A4" w:rsidP="002D47AB">
      <w:pPr>
        <w:pStyle w:val="SingleTxtG"/>
      </w:pPr>
      <w:r>
        <w:t>21</w:t>
      </w:r>
      <w:r w:rsidR="002D47AB">
        <w:t>.</w:t>
      </w:r>
      <w:r w:rsidR="002D47AB">
        <w:tab/>
        <w:t xml:space="preserve">La plupart des délégations qui se sont prononcées n’étaient pas en faveur de la proposition alternative de la Suède d’identifier les marchandises pour l’ensemble de l’unité de transport plutôt qu’en fonction du véhicule où elles se trouvent. </w:t>
      </w:r>
    </w:p>
    <w:p w14:paraId="5B2B357C" w14:textId="66808DAE" w:rsidR="002D47AB" w:rsidRDefault="00E677A4" w:rsidP="002D47AB">
      <w:pPr>
        <w:pStyle w:val="SingleTxtG"/>
        <w:rPr>
          <w:lang w:val="fr-FR"/>
        </w:rPr>
      </w:pPr>
      <w:r>
        <w:t>22</w:t>
      </w:r>
      <w:r w:rsidR="002D47AB">
        <w:t>.</w:t>
      </w:r>
      <w:r w:rsidR="002D47AB">
        <w:tab/>
        <w:t>Le Groupe de travail a confirmé qu’il reprenait à son compte la proposition d’amendement au 5.4.0.2 adoptée par la Réunion commune et reprise dans le document informel INF.5/Rev.</w:t>
      </w:r>
      <w:r w:rsidR="002D47AB" w:rsidRPr="006C1BF2">
        <w:t>1</w:t>
      </w:r>
      <w:r w:rsidR="005D7EAA" w:rsidRPr="006C1BF2">
        <w:t xml:space="preserve"> (voir annexe II)</w:t>
      </w:r>
      <w:r w:rsidR="002D47AB" w:rsidRPr="006C1BF2">
        <w:t>.</w:t>
      </w:r>
      <w:r w:rsidR="002D47AB">
        <w:t xml:space="preserve"> Il a noté que cet amendement correspondait à l’option 1 du document </w:t>
      </w:r>
      <w:r w:rsidR="002D47AB" w:rsidRPr="007F21DA">
        <w:rPr>
          <w:lang w:val="fr-FR"/>
        </w:rPr>
        <w:t>ECE/TRANS/WP.15/2023/10</w:t>
      </w:r>
      <w:r w:rsidR="002D47AB">
        <w:rPr>
          <w:lang w:val="fr-FR"/>
        </w:rPr>
        <w:t xml:space="preserve">. </w:t>
      </w:r>
    </w:p>
    <w:p w14:paraId="23AFB834" w14:textId="2F9752DE" w:rsidR="002D47AB" w:rsidRDefault="00E677A4" w:rsidP="002D47AB">
      <w:pPr>
        <w:pStyle w:val="SingleTxtG"/>
        <w:rPr>
          <w:lang w:val="fr-FR"/>
        </w:rPr>
      </w:pPr>
      <w:r>
        <w:rPr>
          <w:lang w:val="fr-FR"/>
        </w:rPr>
        <w:t>23</w:t>
      </w:r>
      <w:r w:rsidR="002D47AB">
        <w:rPr>
          <w:lang w:val="fr-FR"/>
        </w:rPr>
        <w:t>.</w:t>
      </w:r>
      <w:r w:rsidR="002D47AB">
        <w:rPr>
          <w:lang w:val="fr-FR"/>
        </w:rPr>
        <w:tab/>
      </w:r>
      <w:r w:rsidR="002D47AB">
        <w:t>Certaines délégations considéraient que l’on manquait de recul sur l’utilisation de la documentation électronique pour déterminer si ces nouvelles dispositions étaient susceptibles de poser un problème de mise en œuvre.</w:t>
      </w:r>
    </w:p>
    <w:p w14:paraId="33AC8713" w14:textId="77777777" w:rsidR="00F25DC5" w:rsidRDefault="002D47AB" w:rsidP="00F25DC5">
      <w:pPr>
        <w:pStyle w:val="H1G"/>
        <w:rPr>
          <w:sz w:val="28"/>
          <w:lang w:eastAsia="en-US"/>
        </w:rPr>
      </w:pPr>
      <w:r>
        <w:rPr>
          <w:sz w:val="28"/>
          <w:lang w:eastAsia="en-US"/>
        </w:rPr>
        <w:lastRenderedPageBreak/>
        <w:tab/>
      </w:r>
      <w:r w:rsidRPr="00495E83">
        <w:rPr>
          <w:sz w:val="28"/>
          <w:lang w:eastAsia="en-US"/>
        </w:rPr>
        <w:t>V</w:t>
      </w:r>
      <w:r>
        <w:rPr>
          <w:sz w:val="28"/>
          <w:lang w:eastAsia="en-US"/>
        </w:rPr>
        <w:t>I</w:t>
      </w:r>
      <w:r w:rsidRPr="00495E83">
        <w:rPr>
          <w:sz w:val="28"/>
          <w:lang w:eastAsia="en-US"/>
        </w:rPr>
        <w:t>.</w:t>
      </w:r>
      <w:r w:rsidRPr="00495E83">
        <w:rPr>
          <w:sz w:val="28"/>
          <w:lang w:eastAsia="en-US"/>
        </w:rPr>
        <w:tab/>
      </w:r>
      <w:r w:rsidRPr="00B670F4">
        <w:rPr>
          <w:sz w:val="28"/>
          <w:lang w:eastAsia="en-US"/>
        </w:rPr>
        <w:t xml:space="preserve">Propositions d’amendements aux annexes A et B de l’ADR </w:t>
      </w:r>
      <w:r w:rsidRPr="00495E83">
        <w:rPr>
          <w:sz w:val="28"/>
          <w:lang w:eastAsia="en-US"/>
        </w:rPr>
        <w:t xml:space="preserve">(point </w:t>
      </w:r>
      <w:r>
        <w:rPr>
          <w:sz w:val="28"/>
          <w:lang w:eastAsia="en-US"/>
        </w:rPr>
        <w:t>5</w:t>
      </w:r>
      <w:r w:rsidRPr="00495E83">
        <w:rPr>
          <w:sz w:val="28"/>
          <w:lang w:eastAsia="en-US"/>
        </w:rPr>
        <w:t xml:space="preserve"> de l’ordre du jour)</w:t>
      </w:r>
    </w:p>
    <w:p w14:paraId="1B6F3484" w14:textId="77777777" w:rsidR="00EB4B07" w:rsidRPr="00657F58" w:rsidRDefault="00EB4B07" w:rsidP="00EB4B07">
      <w:pPr>
        <w:pStyle w:val="H1G"/>
      </w:pPr>
      <w:r>
        <w:rPr>
          <w:lang w:val="fr-FR"/>
        </w:rPr>
        <w:tab/>
      </w:r>
      <w:r w:rsidRPr="00657F58">
        <w:rPr>
          <w:lang w:val="fr-FR"/>
        </w:rPr>
        <w:t>A.</w:t>
      </w:r>
      <w:r w:rsidRPr="00657F58">
        <w:rPr>
          <w:lang w:val="fr-FR"/>
        </w:rPr>
        <w:tab/>
      </w:r>
      <w:r>
        <w:rPr>
          <w:lang w:val="fr-FR"/>
        </w:rPr>
        <w:t>Construction et agrément des véhicules</w:t>
      </w:r>
    </w:p>
    <w:p w14:paraId="143E6E58" w14:textId="77777777" w:rsidR="00EB4B07" w:rsidRPr="00094A10" w:rsidRDefault="00EB4B07" w:rsidP="00EB4B07">
      <w:pPr>
        <w:pStyle w:val="H23G"/>
        <w:rPr>
          <w:lang w:val="fr-FR"/>
        </w:rPr>
      </w:pPr>
      <w:r>
        <w:tab/>
      </w:r>
      <w:r w:rsidRPr="00094A10">
        <w:t>1.</w:t>
      </w:r>
      <w:r w:rsidRPr="00094A10">
        <w:tab/>
      </w:r>
      <w:r w:rsidRPr="00094A10">
        <w:rPr>
          <w:lang w:val="fr-FR"/>
        </w:rPr>
        <w:t>Proposition de modification de la section 9.7.8</w:t>
      </w:r>
    </w:p>
    <w:p w14:paraId="3A1BD6E6" w14:textId="77777777" w:rsidR="00EB4B07" w:rsidRPr="00094A10" w:rsidRDefault="00EB4B07" w:rsidP="00EB4B07">
      <w:pPr>
        <w:pStyle w:val="SingleTxtG"/>
        <w:ind w:left="3119" w:hanging="1985"/>
        <w:jc w:val="left"/>
      </w:pPr>
      <w:r w:rsidRPr="00094A10">
        <w:rPr>
          <w:i/>
          <w:iCs/>
          <w:lang w:val="fr-FR"/>
        </w:rPr>
        <w:t>Document </w:t>
      </w:r>
      <w:r w:rsidRPr="00094A10">
        <w:rPr>
          <w:lang w:val="fr-FR"/>
        </w:rPr>
        <w:t>:</w:t>
      </w:r>
      <w:r w:rsidRPr="00094A10">
        <w:rPr>
          <w:lang w:val="fr-FR"/>
        </w:rPr>
        <w:tab/>
        <w:t>ECE/TRANS/WP.15/2023/8 (Fédération de Russie)</w:t>
      </w:r>
    </w:p>
    <w:p w14:paraId="5910007B" w14:textId="5B52E2A4" w:rsidR="00EB4B07" w:rsidRDefault="00E677A4" w:rsidP="00EB4B07">
      <w:pPr>
        <w:pStyle w:val="SingleTxtG"/>
        <w:rPr>
          <w:lang w:val="fr-FR"/>
        </w:rPr>
      </w:pPr>
      <w:r>
        <w:rPr>
          <w:lang w:val="fr-FR" w:eastAsia="en-US"/>
        </w:rPr>
        <w:t>24</w:t>
      </w:r>
      <w:r w:rsidR="00EB4B07" w:rsidRPr="00094A10">
        <w:rPr>
          <w:lang w:val="fr-FR" w:eastAsia="en-US"/>
        </w:rPr>
        <w:t>.</w:t>
      </w:r>
      <w:r w:rsidR="00EB4B07" w:rsidRPr="00094A10">
        <w:rPr>
          <w:lang w:val="fr-FR" w:eastAsia="en-US"/>
        </w:rPr>
        <w:tab/>
      </w:r>
      <w:r w:rsidR="00EB4B07">
        <w:rPr>
          <w:lang w:val="fr-FR" w:eastAsia="en-US"/>
        </w:rPr>
        <w:t xml:space="preserve">Le Groupe de travail a adopté les propositions d’amendements reprises dans le document </w:t>
      </w:r>
      <w:r w:rsidR="00EB4B07" w:rsidRPr="00094A10">
        <w:rPr>
          <w:lang w:val="fr-FR"/>
        </w:rPr>
        <w:t>ECE/TRANS/WP.15/2023/8</w:t>
      </w:r>
      <w:r w:rsidR="005D7EAA">
        <w:rPr>
          <w:lang w:val="fr-FR"/>
        </w:rPr>
        <w:t xml:space="preserve"> </w:t>
      </w:r>
      <w:r w:rsidR="005D7EAA" w:rsidRPr="00596F9C">
        <w:rPr>
          <w:lang w:val="fr-FR"/>
        </w:rPr>
        <w:t>(</w:t>
      </w:r>
      <w:r w:rsidR="00D82C97" w:rsidRPr="00596F9C">
        <w:rPr>
          <w:lang w:val="fr-FR"/>
        </w:rPr>
        <w:t>voir annexe II</w:t>
      </w:r>
      <w:r w:rsidR="005D7EAA" w:rsidRPr="00596F9C">
        <w:rPr>
          <w:lang w:val="fr-FR"/>
        </w:rPr>
        <w:t>)</w:t>
      </w:r>
      <w:r w:rsidR="00EB4B07" w:rsidRPr="00596F9C">
        <w:rPr>
          <w:lang w:val="fr-FR"/>
        </w:rPr>
        <w:t>.</w:t>
      </w:r>
    </w:p>
    <w:p w14:paraId="55EF6119" w14:textId="5BC74EA8" w:rsidR="00EB4B07" w:rsidRPr="00094A10" w:rsidRDefault="00E677A4" w:rsidP="00EB4B07">
      <w:pPr>
        <w:pStyle w:val="SingleTxtG"/>
        <w:rPr>
          <w:lang w:val="fr-FR" w:eastAsia="en-US"/>
        </w:rPr>
      </w:pPr>
      <w:r>
        <w:rPr>
          <w:lang w:val="fr-FR"/>
        </w:rPr>
        <w:t>25</w:t>
      </w:r>
      <w:r w:rsidR="00EB4B07">
        <w:rPr>
          <w:lang w:val="fr-FR"/>
        </w:rPr>
        <w:t>.</w:t>
      </w:r>
      <w:r w:rsidR="00EB4B07">
        <w:rPr>
          <w:lang w:val="fr-FR"/>
        </w:rPr>
        <w:tab/>
        <w:t xml:space="preserve">Le Groupe de travail a noté que des modifications supplémentaires pourraient être requises au 9.7.8.1 en conséquence des modifications prévues au </w:t>
      </w:r>
      <w:r w:rsidR="00DB6DE9">
        <w:rPr>
          <w:lang w:val="fr-FR"/>
        </w:rPr>
        <w:t>c</w:t>
      </w:r>
      <w:r w:rsidR="00EB4B07">
        <w:rPr>
          <w:lang w:val="fr-FR"/>
        </w:rPr>
        <w:t>hapitre 9.2.</w:t>
      </w:r>
    </w:p>
    <w:p w14:paraId="5B6CE3EE" w14:textId="77777777" w:rsidR="00EB4B07" w:rsidRPr="00094A10" w:rsidRDefault="00EB4B07" w:rsidP="00EB4B07">
      <w:pPr>
        <w:pStyle w:val="H23G"/>
        <w:rPr>
          <w:lang w:val="fr-FR"/>
        </w:rPr>
      </w:pPr>
      <w:r w:rsidRPr="00094A10">
        <w:tab/>
        <w:t>2.</w:t>
      </w:r>
      <w:r w:rsidRPr="00094A10">
        <w:tab/>
      </w:r>
      <w:r w:rsidRPr="00094A10">
        <w:rPr>
          <w:lang w:val="fr-FR"/>
        </w:rPr>
        <w:t>Section 9.1.3 : certificat d’agrément</w:t>
      </w:r>
      <w:r>
        <w:rPr>
          <w:lang w:val="fr-FR"/>
        </w:rPr>
        <w:t xml:space="preserve"> </w:t>
      </w:r>
      <w:r>
        <w:rPr>
          <w:bCs/>
          <w:lang w:val="fr-FR"/>
        </w:rPr>
        <w:t>sous forme électronique</w:t>
      </w:r>
    </w:p>
    <w:p w14:paraId="7B711838" w14:textId="77777777" w:rsidR="00EB4B07" w:rsidRPr="00094A10" w:rsidRDefault="00EB4B07" w:rsidP="00EB4B07">
      <w:pPr>
        <w:pStyle w:val="SingleTxtG"/>
        <w:ind w:left="3119" w:hanging="1985"/>
        <w:jc w:val="left"/>
        <w:rPr>
          <w:lang w:val="fr-FR"/>
        </w:rPr>
      </w:pPr>
      <w:r w:rsidRPr="00094A10">
        <w:rPr>
          <w:i/>
          <w:iCs/>
          <w:lang w:val="fr-FR"/>
        </w:rPr>
        <w:t>Document </w:t>
      </w:r>
      <w:r w:rsidRPr="00094A10">
        <w:rPr>
          <w:lang w:val="fr-FR"/>
        </w:rPr>
        <w:t>:</w:t>
      </w:r>
      <w:r w:rsidRPr="00094A10">
        <w:rPr>
          <w:lang w:val="fr-FR"/>
        </w:rPr>
        <w:tab/>
        <w:t>ECE/TRANS/WP.15/2023/12 (Royaume-Uni)</w:t>
      </w:r>
    </w:p>
    <w:p w14:paraId="3CBB18BA" w14:textId="2612CDB2" w:rsidR="00EB4B07" w:rsidRDefault="00E677A4" w:rsidP="00EB4B07">
      <w:pPr>
        <w:pStyle w:val="SingleTxtG"/>
        <w:rPr>
          <w:lang w:val="fr-FR" w:eastAsia="en-US"/>
        </w:rPr>
      </w:pPr>
      <w:r>
        <w:rPr>
          <w:lang w:val="fr-FR" w:eastAsia="en-US"/>
        </w:rPr>
        <w:t>26</w:t>
      </w:r>
      <w:r w:rsidR="00EB4B07" w:rsidRPr="00094A10">
        <w:rPr>
          <w:lang w:val="fr-FR" w:eastAsia="en-US"/>
        </w:rPr>
        <w:t>.</w:t>
      </w:r>
      <w:r w:rsidR="00EB4B07" w:rsidRPr="00094A10">
        <w:rPr>
          <w:lang w:val="fr-FR" w:eastAsia="en-US"/>
        </w:rPr>
        <w:tab/>
        <w:t xml:space="preserve">Les délégations qui se sont prononcées étaient favorables </w:t>
      </w:r>
      <w:r w:rsidR="00EB4B07">
        <w:rPr>
          <w:lang w:val="fr-FR" w:eastAsia="en-US"/>
        </w:rPr>
        <w:t>au principe de mettre</w:t>
      </w:r>
      <w:r w:rsidR="00EB4B07" w:rsidRPr="00094A10">
        <w:rPr>
          <w:lang w:val="fr-FR" w:eastAsia="en-US"/>
        </w:rPr>
        <w:t xml:space="preserve"> en place de</w:t>
      </w:r>
      <w:r w:rsidR="00EB4B07">
        <w:rPr>
          <w:lang w:val="fr-FR" w:eastAsia="en-US"/>
        </w:rPr>
        <w:t>s</w:t>
      </w:r>
      <w:r w:rsidR="00EB4B07" w:rsidRPr="00094A10">
        <w:rPr>
          <w:lang w:val="fr-FR" w:eastAsia="en-US"/>
        </w:rPr>
        <w:t xml:space="preserve"> dispositions autorisant la dématérialisation des certificats d’agrément</w:t>
      </w:r>
      <w:r w:rsidR="00EB4B07">
        <w:rPr>
          <w:lang w:val="fr-FR" w:eastAsia="en-US"/>
        </w:rPr>
        <w:t xml:space="preserve"> des véhicules</w:t>
      </w:r>
      <w:r w:rsidR="00EB4B07" w:rsidRPr="00094A10">
        <w:rPr>
          <w:lang w:val="fr-FR" w:eastAsia="en-US"/>
        </w:rPr>
        <w:t xml:space="preserve">. </w:t>
      </w:r>
    </w:p>
    <w:p w14:paraId="70B05F20" w14:textId="3A69F850" w:rsidR="00EB4B07" w:rsidRPr="00094A10" w:rsidRDefault="00E677A4" w:rsidP="00EB4B07">
      <w:pPr>
        <w:pStyle w:val="SingleTxtG"/>
        <w:rPr>
          <w:lang w:val="fr-FR" w:eastAsia="en-US"/>
        </w:rPr>
      </w:pPr>
      <w:r>
        <w:rPr>
          <w:lang w:val="fr-FR" w:eastAsia="en-US"/>
        </w:rPr>
        <w:t>27</w:t>
      </w:r>
      <w:r w:rsidR="00EB4B07">
        <w:rPr>
          <w:lang w:val="fr-FR" w:eastAsia="en-US"/>
        </w:rPr>
        <w:t>.</w:t>
      </w:r>
      <w:r w:rsidR="00EB4B07">
        <w:rPr>
          <w:lang w:val="fr-FR" w:eastAsia="en-US"/>
        </w:rPr>
        <w:tab/>
        <w:t xml:space="preserve">Plusieurs délégations considéraient que la proposition du Royaume-Uni devait encore être développée notamment en ce qui concerne les dispositions relatives à </w:t>
      </w:r>
      <w:r w:rsidR="00EB4B07" w:rsidRPr="00094A10">
        <w:rPr>
          <w:lang w:val="fr-FR" w:eastAsia="en-US"/>
        </w:rPr>
        <w:t xml:space="preserve">l’accès </w:t>
      </w:r>
      <w:r w:rsidR="00EB4B07">
        <w:rPr>
          <w:lang w:val="fr-FR" w:eastAsia="en-US"/>
        </w:rPr>
        <w:t>aux</w:t>
      </w:r>
      <w:r w:rsidR="00EB4B07" w:rsidRPr="00094A10">
        <w:rPr>
          <w:lang w:val="fr-FR" w:eastAsia="en-US"/>
        </w:rPr>
        <w:t xml:space="preserve"> certificats </w:t>
      </w:r>
      <w:r w:rsidR="00EB4B07">
        <w:rPr>
          <w:lang w:val="fr-FR" w:eastAsia="en-US"/>
        </w:rPr>
        <w:t xml:space="preserve">numériques </w:t>
      </w:r>
      <w:r w:rsidR="00EB4B07" w:rsidRPr="00094A10">
        <w:rPr>
          <w:lang w:val="fr-FR" w:eastAsia="en-US"/>
        </w:rPr>
        <w:t xml:space="preserve">et leur authentification et </w:t>
      </w:r>
      <w:r w:rsidR="00EB4B07">
        <w:rPr>
          <w:lang w:val="fr-FR" w:eastAsia="en-US"/>
        </w:rPr>
        <w:t>l</w:t>
      </w:r>
      <w:r w:rsidR="00EB4B07" w:rsidRPr="00094A10">
        <w:rPr>
          <w:lang w:val="fr-FR" w:eastAsia="en-US"/>
        </w:rPr>
        <w:t>es dispositifs de sûreté appropriés pour le stockage et le traitement des données électroniques.</w:t>
      </w:r>
    </w:p>
    <w:p w14:paraId="393E3A5F" w14:textId="0E67D5F4" w:rsidR="00EB4B07" w:rsidRPr="00094A10" w:rsidRDefault="00E677A4" w:rsidP="00EB4B07">
      <w:pPr>
        <w:pStyle w:val="SingleTxtG"/>
        <w:rPr>
          <w:lang w:val="fr-FR" w:eastAsia="en-US"/>
        </w:rPr>
      </w:pPr>
      <w:r>
        <w:rPr>
          <w:lang w:val="fr-FR" w:eastAsia="en-US"/>
        </w:rPr>
        <w:t>28</w:t>
      </w:r>
      <w:r w:rsidR="00EB4B07" w:rsidRPr="00094A10">
        <w:rPr>
          <w:lang w:val="fr-FR" w:eastAsia="en-US"/>
        </w:rPr>
        <w:t>.</w:t>
      </w:r>
      <w:r w:rsidR="00EB4B07" w:rsidRPr="00094A10">
        <w:rPr>
          <w:lang w:val="fr-FR" w:eastAsia="en-US"/>
        </w:rPr>
        <w:tab/>
        <w:t xml:space="preserve">Le Groupe de travail a invité le Royaume-Uni </w:t>
      </w:r>
      <w:r w:rsidR="00EB4B07">
        <w:rPr>
          <w:lang w:val="fr-FR" w:eastAsia="en-US"/>
        </w:rPr>
        <w:t>à</w:t>
      </w:r>
      <w:r w:rsidR="00EB4B07" w:rsidRPr="00094A10">
        <w:rPr>
          <w:lang w:val="fr-FR" w:eastAsia="en-US"/>
        </w:rPr>
        <w:t xml:space="preserve"> poursuivre le travail sur ce sujet.</w:t>
      </w:r>
      <w:r w:rsidR="00EB4B07" w:rsidRPr="00094A10">
        <w:rPr>
          <w:rStyle w:val="Marquedecommentaire"/>
        </w:rPr>
        <w:t xml:space="preserve"> </w:t>
      </w:r>
    </w:p>
    <w:p w14:paraId="23523025" w14:textId="77777777" w:rsidR="00EB4B07" w:rsidRPr="00094A10" w:rsidRDefault="00EB4B07" w:rsidP="00EB4B07">
      <w:pPr>
        <w:pStyle w:val="H23G"/>
        <w:rPr>
          <w:lang w:val="fr-FR"/>
        </w:rPr>
      </w:pPr>
      <w:r w:rsidRPr="00094A10">
        <w:tab/>
        <w:t>3.</w:t>
      </w:r>
      <w:r w:rsidRPr="00094A10">
        <w:tab/>
      </w:r>
      <w:r w:rsidRPr="00094A10">
        <w:rPr>
          <w:lang w:val="fr-FR"/>
        </w:rPr>
        <w:t>Section 9.7.6 : protection arrière des véhicules</w:t>
      </w:r>
    </w:p>
    <w:p w14:paraId="230DC8EB" w14:textId="77777777" w:rsidR="00EB4B07" w:rsidRPr="00094A10" w:rsidRDefault="00EB4B07" w:rsidP="00EB4B07">
      <w:pPr>
        <w:pStyle w:val="SingleTxtG"/>
        <w:ind w:left="3119" w:hanging="1985"/>
        <w:jc w:val="left"/>
        <w:rPr>
          <w:lang w:val="fr-FR"/>
        </w:rPr>
      </w:pPr>
      <w:r w:rsidRPr="00094A10">
        <w:rPr>
          <w:i/>
          <w:iCs/>
          <w:lang w:val="fr-FR"/>
        </w:rPr>
        <w:t>Document </w:t>
      </w:r>
      <w:r w:rsidRPr="00094A10">
        <w:rPr>
          <w:lang w:val="fr-FR"/>
        </w:rPr>
        <w:t>:</w:t>
      </w:r>
      <w:r w:rsidRPr="00094A10">
        <w:rPr>
          <w:lang w:val="fr-FR"/>
        </w:rPr>
        <w:tab/>
        <w:t>ECE/TRANS/WP.15/2023/13 (Royaume-Uni)</w:t>
      </w:r>
    </w:p>
    <w:p w14:paraId="62E1B22A" w14:textId="77777777" w:rsidR="00EB4B07" w:rsidRPr="00657F58" w:rsidRDefault="00EB4B07" w:rsidP="00EB4B07">
      <w:pPr>
        <w:pStyle w:val="SingleTxtG"/>
        <w:ind w:left="3119" w:hanging="1985"/>
        <w:jc w:val="left"/>
      </w:pPr>
      <w:r w:rsidRPr="00094A10">
        <w:rPr>
          <w:i/>
          <w:iCs/>
          <w:lang w:val="fr-FR"/>
        </w:rPr>
        <w:t>Document informel </w:t>
      </w:r>
      <w:r w:rsidRPr="00094A10">
        <w:rPr>
          <w:lang w:val="fr-FR"/>
        </w:rPr>
        <w:t>:</w:t>
      </w:r>
      <w:r w:rsidRPr="00094A10">
        <w:rPr>
          <w:lang w:val="fr-FR"/>
        </w:rPr>
        <w:tab/>
        <w:t>INF.22 (CLCCR)</w:t>
      </w:r>
    </w:p>
    <w:p w14:paraId="077CEA73" w14:textId="4087B0A8" w:rsidR="00EB4B07" w:rsidRDefault="00E677A4" w:rsidP="00EB4B07">
      <w:pPr>
        <w:pStyle w:val="SingleTxtG"/>
        <w:rPr>
          <w:lang w:val="fr-FR" w:eastAsia="en-US"/>
        </w:rPr>
      </w:pPr>
      <w:r>
        <w:rPr>
          <w:lang w:val="fr-FR" w:eastAsia="en-US"/>
        </w:rPr>
        <w:t>29</w:t>
      </w:r>
      <w:r w:rsidR="00EB4B07">
        <w:rPr>
          <w:lang w:val="fr-FR" w:eastAsia="en-US"/>
        </w:rPr>
        <w:t>.</w:t>
      </w:r>
      <w:r w:rsidR="00EB4B07">
        <w:rPr>
          <w:lang w:val="fr-FR" w:eastAsia="en-US"/>
        </w:rPr>
        <w:tab/>
        <w:t xml:space="preserve">Plusieurs délégations considéraient que la proposition alternative du document informel INF.22 permettait de clarifier certaines questions en suspens mais qu’un travail était encore nécessaire pour finaliser la rédaction des textes proposés. S’agissant d’un document informel tardif, plusieurs délégations ont indiqué qu’elles avaient besoin de plus de </w:t>
      </w:r>
      <w:r w:rsidR="005243AA">
        <w:rPr>
          <w:lang w:val="fr-FR" w:eastAsia="en-US"/>
        </w:rPr>
        <w:t>temps</w:t>
      </w:r>
      <w:r w:rsidR="00EB4B07">
        <w:rPr>
          <w:lang w:val="fr-FR" w:eastAsia="en-US"/>
        </w:rPr>
        <w:t xml:space="preserve"> pour consulter leurs experts et parties prenantes.</w:t>
      </w:r>
    </w:p>
    <w:p w14:paraId="5E3AF48C" w14:textId="3090EDA8" w:rsidR="00EB4B07" w:rsidRDefault="00E677A4" w:rsidP="00EB4B07">
      <w:pPr>
        <w:pStyle w:val="SingleTxtG"/>
        <w:rPr>
          <w:lang w:val="fr-FR" w:eastAsia="en-US"/>
        </w:rPr>
      </w:pPr>
      <w:r>
        <w:rPr>
          <w:lang w:val="fr-FR" w:eastAsia="en-US"/>
        </w:rPr>
        <w:t>30</w:t>
      </w:r>
      <w:r w:rsidR="00EB4B07">
        <w:rPr>
          <w:lang w:val="fr-FR" w:eastAsia="en-US"/>
        </w:rPr>
        <w:t>.</w:t>
      </w:r>
      <w:r w:rsidR="00EB4B07">
        <w:rPr>
          <w:lang w:val="fr-FR" w:eastAsia="en-US"/>
        </w:rPr>
        <w:tab/>
        <w:t xml:space="preserve">Le Groupe de travail a noté que le Royaume-Uni était prêt à poursuivre les travaux sur ce sujet. </w:t>
      </w:r>
    </w:p>
    <w:p w14:paraId="16C49699" w14:textId="0D75246A" w:rsidR="00EB4B07" w:rsidRDefault="00E677A4" w:rsidP="00EB4B07">
      <w:pPr>
        <w:pStyle w:val="SingleTxtG"/>
        <w:rPr>
          <w:lang w:val="fr-FR" w:eastAsia="en-US"/>
        </w:rPr>
      </w:pPr>
      <w:r>
        <w:rPr>
          <w:lang w:val="fr-FR" w:eastAsia="en-US"/>
        </w:rPr>
        <w:t>31</w:t>
      </w:r>
      <w:r w:rsidR="00EB4B07">
        <w:rPr>
          <w:lang w:val="fr-FR" w:eastAsia="en-US"/>
        </w:rPr>
        <w:t>.</w:t>
      </w:r>
      <w:r w:rsidR="00EB4B07">
        <w:rPr>
          <w:lang w:val="fr-FR" w:eastAsia="en-US"/>
        </w:rPr>
        <w:tab/>
        <w:t xml:space="preserve">Les avis étaient partagés entre l’option d’avoir une même distance minimale requise entre la citerne et la barre </w:t>
      </w:r>
      <w:r w:rsidR="00F4586C">
        <w:rPr>
          <w:lang w:val="fr-FR" w:eastAsia="en-US"/>
        </w:rPr>
        <w:t xml:space="preserve">anti-encastrement </w:t>
      </w:r>
      <w:r w:rsidR="00EB4B07">
        <w:rPr>
          <w:lang w:val="fr-FR" w:eastAsia="en-US"/>
        </w:rPr>
        <w:t xml:space="preserve">pour toutes les citernes ou d’avoir des dispositions différentes pour certains types de citernes en fonction des matériaux ou des critères de construction. Le Groupe de travail a invité le représentant du Royaume-Uni à envisager ces deux options dans une proposition révisée et a invité les délégations qui le souhaiteraient à lui transmettre leurs commentaires. </w:t>
      </w:r>
    </w:p>
    <w:p w14:paraId="55EF4745" w14:textId="77777777" w:rsidR="00310663" w:rsidRPr="00EB4859" w:rsidRDefault="00310663" w:rsidP="00310663">
      <w:pPr>
        <w:pStyle w:val="H23G"/>
        <w:rPr>
          <w:lang w:val="fr-FR"/>
        </w:rPr>
      </w:pPr>
      <w:r>
        <w:tab/>
      </w:r>
      <w:r w:rsidRPr="00EB4859">
        <w:t>4.</w:t>
      </w:r>
      <w:r w:rsidRPr="00EB4859">
        <w:tab/>
      </w:r>
      <w:r w:rsidRPr="00EB4859">
        <w:rPr>
          <w:lang w:val="fr-FR"/>
        </w:rPr>
        <w:t>Amendement au 9.2.2.8</w:t>
      </w:r>
    </w:p>
    <w:p w14:paraId="578DFA7B" w14:textId="6202BD03" w:rsidR="00310663" w:rsidRPr="00EB4859" w:rsidRDefault="00310663" w:rsidP="00310663">
      <w:pPr>
        <w:pStyle w:val="SingleTxtG"/>
        <w:ind w:left="3119" w:hanging="1985"/>
        <w:jc w:val="left"/>
      </w:pPr>
      <w:r w:rsidRPr="00EB4859">
        <w:rPr>
          <w:i/>
          <w:iCs/>
          <w:lang w:val="fr-FR"/>
        </w:rPr>
        <w:t>Document </w:t>
      </w:r>
      <w:r w:rsidRPr="00EB4859">
        <w:rPr>
          <w:lang w:val="fr-FR"/>
        </w:rPr>
        <w:t>:</w:t>
      </w:r>
      <w:r w:rsidRPr="00EB4859">
        <w:rPr>
          <w:lang w:val="fr-FR"/>
        </w:rPr>
        <w:tab/>
        <w:t>ECE/TRANS/WP.15/262 (</w:t>
      </w:r>
      <w:r w:rsidR="006F5ACC">
        <w:rPr>
          <w:lang w:val="fr-FR"/>
        </w:rPr>
        <w:t>S</w:t>
      </w:r>
      <w:r w:rsidR="006F5ACC" w:rsidRPr="00EB4859">
        <w:rPr>
          <w:lang w:val="fr-FR"/>
        </w:rPr>
        <w:t>ecrétariat</w:t>
      </w:r>
      <w:r w:rsidRPr="00EB4859">
        <w:rPr>
          <w:lang w:val="fr-FR"/>
        </w:rPr>
        <w:t>)</w:t>
      </w:r>
    </w:p>
    <w:p w14:paraId="7CCF2768" w14:textId="169E87BC" w:rsidR="00310663" w:rsidRPr="00EB4859" w:rsidRDefault="00310663" w:rsidP="00310663">
      <w:pPr>
        <w:pStyle w:val="SingleTxtG"/>
        <w:ind w:left="3119" w:hanging="1985"/>
        <w:jc w:val="left"/>
      </w:pPr>
      <w:r w:rsidRPr="00EB4859">
        <w:rPr>
          <w:i/>
          <w:iCs/>
          <w:lang w:val="fr-FR"/>
        </w:rPr>
        <w:t>Document</w:t>
      </w:r>
      <w:r w:rsidR="0034150A">
        <w:rPr>
          <w:i/>
          <w:iCs/>
          <w:lang w:val="fr-FR"/>
        </w:rPr>
        <w:t>s</w:t>
      </w:r>
      <w:r w:rsidRPr="00EB4859">
        <w:rPr>
          <w:i/>
          <w:iCs/>
          <w:lang w:val="fr-FR"/>
        </w:rPr>
        <w:t xml:space="preserve"> informel</w:t>
      </w:r>
      <w:r w:rsidR="0034150A">
        <w:rPr>
          <w:i/>
          <w:iCs/>
          <w:lang w:val="fr-FR"/>
        </w:rPr>
        <w:t>s</w:t>
      </w:r>
      <w:r w:rsidRPr="00EB4859">
        <w:rPr>
          <w:i/>
          <w:iCs/>
          <w:lang w:val="fr-FR"/>
        </w:rPr>
        <w:t> </w:t>
      </w:r>
      <w:r w:rsidRPr="00EB4859">
        <w:rPr>
          <w:lang w:val="fr-FR"/>
        </w:rPr>
        <w:t>:</w:t>
      </w:r>
      <w:r w:rsidRPr="00EB4859">
        <w:rPr>
          <w:lang w:val="fr-FR"/>
        </w:rPr>
        <w:tab/>
        <w:t xml:space="preserve">INF.5/Rev.1, </w:t>
      </w:r>
      <w:r>
        <w:rPr>
          <w:lang w:val="fr-FR"/>
        </w:rPr>
        <w:t>partie</w:t>
      </w:r>
      <w:r w:rsidRPr="00EB4859">
        <w:rPr>
          <w:lang w:val="fr-FR"/>
        </w:rPr>
        <w:t xml:space="preserve"> I (</w:t>
      </w:r>
      <w:r w:rsidR="006F5ACC">
        <w:rPr>
          <w:lang w:val="fr-FR"/>
        </w:rPr>
        <w:t>S</w:t>
      </w:r>
      <w:r w:rsidR="006F5ACC" w:rsidRPr="00EB4859">
        <w:rPr>
          <w:lang w:val="fr-FR"/>
        </w:rPr>
        <w:t>ecrétariat</w:t>
      </w:r>
      <w:r w:rsidRPr="00EB4859">
        <w:rPr>
          <w:lang w:val="fr-FR"/>
        </w:rPr>
        <w:t xml:space="preserve">), </w:t>
      </w:r>
      <w:r w:rsidRPr="00EB4859">
        <w:t>INF.25 (OICA)</w:t>
      </w:r>
    </w:p>
    <w:p w14:paraId="3227C21C" w14:textId="3BFB9655" w:rsidR="00310663" w:rsidRDefault="00E677A4" w:rsidP="00310663">
      <w:pPr>
        <w:pStyle w:val="SingleTxtG"/>
        <w:rPr>
          <w:lang w:val="fr-FR"/>
        </w:rPr>
      </w:pPr>
      <w:r>
        <w:rPr>
          <w:lang w:val="fr-FR"/>
        </w:rPr>
        <w:t>32</w:t>
      </w:r>
      <w:r w:rsidR="00310663" w:rsidRPr="00EB4859">
        <w:rPr>
          <w:lang w:val="fr-FR"/>
        </w:rPr>
        <w:t>.</w:t>
      </w:r>
      <w:r w:rsidR="00310663" w:rsidRPr="00EB4859">
        <w:rPr>
          <w:lang w:val="fr-FR"/>
        </w:rPr>
        <w:tab/>
        <w:t>À sa 113</w:t>
      </w:r>
      <w:r w:rsidR="00310663" w:rsidRPr="000A6D51">
        <w:rPr>
          <w:vertAlign w:val="superscript"/>
          <w:lang w:val="fr-FR"/>
        </w:rPr>
        <w:t>e</w:t>
      </w:r>
      <w:r w:rsidR="00310663" w:rsidRPr="00EB4859">
        <w:rPr>
          <w:lang w:val="fr-FR"/>
        </w:rPr>
        <w:t xml:space="preserve"> session, le Groupe de travail a</w:t>
      </w:r>
      <w:r w:rsidR="00310663">
        <w:rPr>
          <w:lang w:val="fr-FR"/>
        </w:rPr>
        <w:t>vait</w:t>
      </w:r>
      <w:r w:rsidR="00310663" w:rsidRPr="00EB4859">
        <w:rPr>
          <w:lang w:val="fr-FR"/>
        </w:rPr>
        <w:t xml:space="preserve"> adopté les amendements proposés dans le document ECE/TRANS/WP.15/2023/4. Il a</w:t>
      </w:r>
      <w:r w:rsidR="00310663">
        <w:rPr>
          <w:lang w:val="fr-FR"/>
        </w:rPr>
        <w:t>vait</w:t>
      </w:r>
      <w:r w:rsidR="00310663" w:rsidRPr="00EB4859">
        <w:rPr>
          <w:lang w:val="fr-FR"/>
        </w:rPr>
        <w:t xml:space="preserve"> estimé que le libellé du </w:t>
      </w:r>
      <w:r w:rsidR="00310663">
        <w:rPr>
          <w:lang w:val="fr-FR"/>
        </w:rPr>
        <w:t>n</w:t>
      </w:r>
      <w:r w:rsidR="00310663" w:rsidRPr="00EB4859">
        <w:rPr>
          <w:lang w:val="fr-FR"/>
        </w:rPr>
        <w:t>ota figurant au 9.2.2.8 pouvait être amélioré. Ce Nota a</w:t>
      </w:r>
      <w:r w:rsidR="00310663">
        <w:rPr>
          <w:lang w:val="fr-FR"/>
        </w:rPr>
        <w:t>vait</w:t>
      </w:r>
      <w:r w:rsidR="00310663" w:rsidRPr="00EB4859">
        <w:rPr>
          <w:lang w:val="fr-FR"/>
        </w:rPr>
        <w:t xml:space="preserve"> donc été maintenu entre crochets pour examen à la 114</w:t>
      </w:r>
      <w:r w:rsidR="00310663" w:rsidRPr="000A6D51">
        <w:rPr>
          <w:vertAlign w:val="superscript"/>
          <w:lang w:val="fr-FR"/>
        </w:rPr>
        <w:t>e</w:t>
      </w:r>
      <w:r w:rsidR="000A6D51">
        <w:rPr>
          <w:lang w:val="fr-FR"/>
        </w:rPr>
        <w:t xml:space="preserve"> </w:t>
      </w:r>
      <w:r w:rsidR="00310663" w:rsidRPr="00EB4859">
        <w:rPr>
          <w:lang w:val="fr-FR"/>
        </w:rPr>
        <w:t>session.</w:t>
      </w:r>
    </w:p>
    <w:p w14:paraId="3A4E736E" w14:textId="26B50917" w:rsidR="00310663" w:rsidRDefault="00E677A4" w:rsidP="00310663">
      <w:pPr>
        <w:pStyle w:val="SingleTxtG"/>
        <w:rPr>
          <w:lang w:val="fr-FR"/>
        </w:rPr>
      </w:pPr>
      <w:r>
        <w:rPr>
          <w:lang w:val="fr-FR"/>
        </w:rPr>
        <w:t>33</w:t>
      </w:r>
      <w:r w:rsidR="00310663">
        <w:rPr>
          <w:lang w:val="fr-FR"/>
        </w:rPr>
        <w:t>.</w:t>
      </w:r>
      <w:r w:rsidR="00310663">
        <w:rPr>
          <w:lang w:val="fr-FR"/>
        </w:rPr>
        <w:tab/>
        <w:t>Le Groupe de travail a adopté une version révisée de ce nota sur la base d’une proposition orale et est convenu que ce texte devait être placé au 9.2.2.8.3 plutôt que dans un nota en début de sous-section (voir annexe</w:t>
      </w:r>
      <w:r w:rsidR="00D82C97">
        <w:rPr>
          <w:lang w:val="fr-FR"/>
        </w:rPr>
        <w:t xml:space="preserve"> II).</w:t>
      </w:r>
    </w:p>
    <w:p w14:paraId="6EAF12D5" w14:textId="77777777" w:rsidR="00310663" w:rsidRPr="00EE5722" w:rsidRDefault="00310663" w:rsidP="00310663">
      <w:pPr>
        <w:pStyle w:val="H23G"/>
        <w:rPr>
          <w:lang w:val="fr-FR"/>
        </w:rPr>
      </w:pPr>
      <w:r>
        <w:lastRenderedPageBreak/>
        <w:tab/>
      </w:r>
      <w:r w:rsidRPr="00EE5722">
        <w:t>5.</w:t>
      </w:r>
      <w:r w:rsidRPr="00EE5722">
        <w:tab/>
      </w:r>
      <w:r w:rsidRPr="00EE5722">
        <w:rPr>
          <w:lang w:val="fr-FR"/>
        </w:rPr>
        <w:t>Véhicules électrifiés à batterie</w:t>
      </w:r>
      <w:r>
        <w:rPr>
          <w:lang w:val="fr-FR"/>
        </w:rPr>
        <w:t>s</w:t>
      </w:r>
      <w:r w:rsidRPr="00EE5722">
        <w:rPr>
          <w:lang w:val="fr-FR"/>
        </w:rPr>
        <w:t xml:space="preserve"> et véhicules alimentés à l’hydrogène</w:t>
      </w:r>
    </w:p>
    <w:p w14:paraId="4D726758" w14:textId="77777777" w:rsidR="00310663" w:rsidRPr="00EE5722" w:rsidRDefault="00310663" w:rsidP="00310663">
      <w:pPr>
        <w:pStyle w:val="SingleTxtG"/>
        <w:ind w:left="2268" w:hanging="1134"/>
        <w:jc w:val="left"/>
        <w:rPr>
          <w:lang w:val="fr-FR"/>
        </w:rPr>
      </w:pPr>
      <w:r w:rsidRPr="00EE5722">
        <w:rPr>
          <w:i/>
          <w:iCs/>
          <w:lang w:val="fr-FR"/>
        </w:rPr>
        <w:t>Document </w:t>
      </w:r>
      <w:r w:rsidRPr="00EE5722">
        <w:rPr>
          <w:lang w:val="fr-FR"/>
        </w:rPr>
        <w:t>:</w:t>
      </w:r>
      <w:r w:rsidRPr="00EE5722">
        <w:rPr>
          <w:lang w:val="fr-FR"/>
        </w:rPr>
        <w:tab/>
        <w:t>ECE/TRANS/WP.15/2023/14 (Pays-Bas, au nom du groupe de travail informel des véhicules électrifiés)</w:t>
      </w:r>
    </w:p>
    <w:p w14:paraId="38F37F73" w14:textId="77777777" w:rsidR="00310663" w:rsidRPr="00EE5722" w:rsidRDefault="00310663" w:rsidP="00310663">
      <w:pPr>
        <w:pStyle w:val="SingleTxtG"/>
        <w:ind w:left="3119" w:hanging="1985"/>
        <w:jc w:val="left"/>
        <w:rPr>
          <w:lang w:val="fr-FR"/>
        </w:rPr>
      </w:pPr>
      <w:r w:rsidRPr="00EE5722">
        <w:rPr>
          <w:i/>
          <w:iCs/>
          <w:lang w:val="fr-FR"/>
        </w:rPr>
        <w:t>Documents informels </w:t>
      </w:r>
      <w:r w:rsidRPr="00EE5722">
        <w:rPr>
          <w:lang w:val="fr-FR"/>
        </w:rPr>
        <w:t>:</w:t>
      </w:r>
      <w:r w:rsidRPr="00EE5722">
        <w:rPr>
          <w:lang w:val="fr-FR"/>
        </w:rPr>
        <w:tab/>
        <w:t>INF.3 (Pays-Bas, au nom du groupe de travail informel des véhicules électrifiés), INF.15 (Pays-Bas, au nom du groupe de travail informel des véhicules électrifiés)</w:t>
      </w:r>
    </w:p>
    <w:p w14:paraId="706D2881" w14:textId="150BCCE3" w:rsidR="00310663" w:rsidRDefault="00E677A4" w:rsidP="00310663">
      <w:pPr>
        <w:pStyle w:val="SingleTxtG"/>
        <w:rPr>
          <w:lang w:val="fr-FR"/>
        </w:rPr>
      </w:pPr>
      <w:r>
        <w:rPr>
          <w:lang w:val="fr-FR"/>
        </w:rPr>
        <w:t>34</w:t>
      </w:r>
      <w:r w:rsidR="00310663">
        <w:rPr>
          <w:lang w:val="fr-FR"/>
        </w:rPr>
        <w:t>.</w:t>
      </w:r>
      <w:r w:rsidR="00310663">
        <w:rPr>
          <w:lang w:val="fr-FR"/>
        </w:rPr>
        <w:tab/>
        <w:t xml:space="preserve">Le Groupe de travail a adopté, avec quelques modifications, les amendements du document </w:t>
      </w:r>
      <w:r w:rsidR="00310663" w:rsidRPr="00EE5722">
        <w:rPr>
          <w:lang w:val="fr-FR"/>
        </w:rPr>
        <w:t>ECE/TRANS/WP.15/2023/14</w:t>
      </w:r>
      <w:r w:rsidR="00310663">
        <w:rPr>
          <w:lang w:val="fr-FR"/>
        </w:rPr>
        <w:t xml:space="preserve"> visant</w:t>
      </w:r>
      <w:r w:rsidR="00310663" w:rsidRPr="007433B9">
        <w:rPr>
          <w:lang w:val="fr-FR"/>
        </w:rPr>
        <w:t xml:space="preserve"> à ajouter, dans l’édition 202</w:t>
      </w:r>
      <w:r w:rsidR="00310663">
        <w:rPr>
          <w:lang w:val="fr-FR"/>
        </w:rPr>
        <w:t>5</w:t>
      </w:r>
      <w:r w:rsidR="00310663" w:rsidRPr="007433B9">
        <w:rPr>
          <w:lang w:val="fr-FR"/>
        </w:rPr>
        <w:t xml:space="preserve"> de l’ADR, les véhicules électriques à batterie</w:t>
      </w:r>
      <w:r w:rsidR="00310663">
        <w:rPr>
          <w:lang w:val="fr-FR"/>
        </w:rPr>
        <w:t>s</w:t>
      </w:r>
      <w:r w:rsidR="00310663" w:rsidRPr="007433B9">
        <w:rPr>
          <w:lang w:val="fr-FR"/>
        </w:rPr>
        <w:t xml:space="preserve"> à la catégorie des véhicules FL, les véhicules à pile</w:t>
      </w:r>
      <w:r w:rsidR="00310663">
        <w:rPr>
          <w:lang w:val="fr-FR"/>
        </w:rPr>
        <w:t>s</w:t>
      </w:r>
      <w:r w:rsidR="00310663" w:rsidRPr="007433B9">
        <w:rPr>
          <w:lang w:val="fr-FR"/>
        </w:rPr>
        <w:t xml:space="preserve"> à combustible à hydrogène aux catégories AT et FL, et les véhicules équipés d’un moteur à combustion interne utilisant l’hydrogène comme carburant aux catégories AT et FL</w:t>
      </w:r>
      <w:r w:rsidR="00310663">
        <w:rPr>
          <w:lang w:val="fr-FR"/>
        </w:rPr>
        <w:t xml:space="preserve"> (voir annexe</w:t>
      </w:r>
      <w:r w:rsidR="00CC07F0">
        <w:rPr>
          <w:lang w:val="fr-FR"/>
        </w:rPr>
        <w:t xml:space="preserve"> III)</w:t>
      </w:r>
      <w:r w:rsidR="00CC07F0" w:rsidRPr="007433B9">
        <w:rPr>
          <w:lang w:val="fr-FR"/>
        </w:rPr>
        <w:t xml:space="preserve">. </w:t>
      </w:r>
    </w:p>
    <w:p w14:paraId="26B7D2E1" w14:textId="00BFDEA9" w:rsidR="00310663" w:rsidRPr="007433B9" w:rsidRDefault="00E677A4" w:rsidP="00310663">
      <w:pPr>
        <w:pStyle w:val="SingleTxtG"/>
        <w:rPr>
          <w:lang w:val="fr-FR"/>
        </w:rPr>
      </w:pPr>
      <w:r>
        <w:rPr>
          <w:lang w:val="fr-FR"/>
        </w:rPr>
        <w:t>35</w:t>
      </w:r>
      <w:r w:rsidR="00310663">
        <w:rPr>
          <w:lang w:val="fr-FR"/>
        </w:rPr>
        <w:t>.</w:t>
      </w:r>
      <w:r w:rsidR="00310663">
        <w:rPr>
          <w:lang w:val="fr-FR"/>
        </w:rPr>
        <w:tab/>
        <w:t>Certains points ont été maintenus entre crochets pour confirmation à la 115</w:t>
      </w:r>
      <w:r w:rsidR="00310663" w:rsidRPr="00CD1A27">
        <w:rPr>
          <w:vertAlign w:val="superscript"/>
          <w:lang w:val="fr-FR"/>
        </w:rPr>
        <w:t>e</w:t>
      </w:r>
      <w:r w:rsidR="00310663">
        <w:rPr>
          <w:lang w:val="fr-FR"/>
        </w:rPr>
        <w:t xml:space="preserve"> session.</w:t>
      </w:r>
    </w:p>
    <w:p w14:paraId="7521B882" w14:textId="5BCDA3BA" w:rsidR="00310663" w:rsidRDefault="00E677A4" w:rsidP="00310663">
      <w:pPr>
        <w:pStyle w:val="SingleTxtG"/>
        <w:rPr>
          <w:lang w:val="fr-FR"/>
        </w:rPr>
      </w:pPr>
      <w:r>
        <w:rPr>
          <w:lang w:val="fr-FR"/>
        </w:rPr>
        <w:t>36</w:t>
      </w:r>
      <w:r w:rsidR="00310663">
        <w:rPr>
          <w:lang w:val="fr-FR"/>
        </w:rPr>
        <w:t>.</w:t>
      </w:r>
      <w:r w:rsidR="00310663">
        <w:rPr>
          <w:lang w:val="fr-FR"/>
        </w:rPr>
        <w:tab/>
        <w:t xml:space="preserve">Le Groupe de travail a remercié le </w:t>
      </w:r>
      <w:r w:rsidR="00310663" w:rsidRPr="00EE5722">
        <w:rPr>
          <w:lang w:val="fr-FR"/>
        </w:rPr>
        <w:t>groupe de travail informel des véhicules électrifiés</w:t>
      </w:r>
      <w:r w:rsidR="00310663">
        <w:rPr>
          <w:lang w:val="fr-FR"/>
        </w:rPr>
        <w:t xml:space="preserve"> et le représentant des Pays-Bas pour le travail effectué. Le Groupe de travail a soutenu la proposition du groupe informel de </w:t>
      </w:r>
      <w:r w:rsidR="00310663" w:rsidRPr="00304CC2">
        <w:rPr>
          <w:lang w:val="fr-FR"/>
        </w:rPr>
        <w:t>reste</w:t>
      </w:r>
      <w:r w:rsidR="00310663">
        <w:rPr>
          <w:lang w:val="fr-FR"/>
        </w:rPr>
        <w:t>r</w:t>
      </w:r>
      <w:r w:rsidR="00310663" w:rsidRPr="00304CC2">
        <w:rPr>
          <w:lang w:val="fr-FR"/>
        </w:rPr>
        <w:t xml:space="preserve"> actif jusqu'à l'adoption des propositions relatives aux véhicules AT et FL, puis </w:t>
      </w:r>
      <w:r w:rsidR="00310663">
        <w:rPr>
          <w:lang w:val="fr-FR"/>
        </w:rPr>
        <w:t>que le groupe</w:t>
      </w:r>
      <w:r w:rsidR="00310663" w:rsidRPr="00304CC2">
        <w:rPr>
          <w:lang w:val="fr-FR"/>
        </w:rPr>
        <w:t xml:space="preserve"> soit mis en sommeil pendant un an</w:t>
      </w:r>
      <w:r w:rsidR="00310663">
        <w:rPr>
          <w:lang w:val="fr-FR"/>
        </w:rPr>
        <w:t>, le temps d’évaluer et traiter</w:t>
      </w:r>
      <w:r w:rsidR="00310663" w:rsidRPr="00304CC2">
        <w:rPr>
          <w:lang w:val="fr-FR"/>
        </w:rPr>
        <w:t xml:space="preserve"> les problèmes imprévus si nécessaire. </w:t>
      </w:r>
      <w:r w:rsidR="00310663">
        <w:rPr>
          <w:lang w:val="fr-FR"/>
        </w:rPr>
        <w:t>Le Groupe de travail a noté que, pendant cette période, l</w:t>
      </w:r>
      <w:r w:rsidR="00310663" w:rsidRPr="00304CC2">
        <w:rPr>
          <w:lang w:val="fr-FR"/>
        </w:rPr>
        <w:t xml:space="preserve">'industrie organisée au sein de l'OICA et du CLCCR </w:t>
      </w:r>
      <w:r w:rsidR="00310663">
        <w:rPr>
          <w:lang w:val="fr-FR"/>
        </w:rPr>
        <w:t>le tiendrait</w:t>
      </w:r>
      <w:r w:rsidR="00310663" w:rsidRPr="00304CC2">
        <w:rPr>
          <w:lang w:val="fr-FR"/>
        </w:rPr>
        <w:t xml:space="preserve"> informé des nouveaux développements et de la nécessité d'envisager des mises à jour</w:t>
      </w:r>
      <w:r w:rsidR="00310663">
        <w:rPr>
          <w:lang w:val="fr-FR"/>
        </w:rPr>
        <w:t xml:space="preserve"> le cas échéant</w:t>
      </w:r>
      <w:r w:rsidR="00310663" w:rsidRPr="00304CC2">
        <w:rPr>
          <w:lang w:val="fr-FR"/>
        </w:rPr>
        <w:t>.</w:t>
      </w:r>
    </w:p>
    <w:p w14:paraId="29B04AF7" w14:textId="77777777" w:rsidR="00310663" w:rsidRPr="00EE5722" w:rsidRDefault="00310663" w:rsidP="00310663">
      <w:pPr>
        <w:pStyle w:val="H23G"/>
        <w:rPr>
          <w:lang w:val="fr-FR"/>
        </w:rPr>
      </w:pPr>
      <w:r>
        <w:tab/>
        <w:t>6</w:t>
      </w:r>
      <w:r w:rsidRPr="00EE5722">
        <w:t>.</w:t>
      </w:r>
      <w:r w:rsidRPr="00EE5722">
        <w:tab/>
      </w:r>
      <w:r>
        <w:t>S</w:t>
      </w:r>
      <w:r w:rsidRPr="00051DD1">
        <w:t>ystème de freinage par récupération</w:t>
      </w:r>
    </w:p>
    <w:p w14:paraId="6B38A365" w14:textId="23239C67" w:rsidR="00310663" w:rsidRPr="00EE5722" w:rsidRDefault="00310663" w:rsidP="00310663">
      <w:pPr>
        <w:pStyle w:val="SingleTxtG"/>
        <w:ind w:left="3119" w:hanging="1985"/>
        <w:jc w:val="left"/>
        <w:rPr>
          <w:lang w:val="fr-FR"/>
        </w:rPr>
      </w:pPr>
      <w:r w:rsidRPr="00EE5722">
        <w:rPr>
          <w:i/>
          <w:iCs/>
          <w:lang w:val="fr-FR"/>
        </w:rPr>
        <w:t>Document informel </w:t>
      </w:r>
      <w:r w:rsidRPr="00EE5722">
        <w:rPr>
          <w:lang w:val="fr-FR"/>
        </w:rPr>
        <w:t>:</w:t>
      </w:r>
      <w:r w:rsidRPr="00EE5722">
        <w:rPr>
          <w:lang w:val="fr-FR"/>
        </w:rPr>
        <w:tab/>
        <w:t>INF.</w:t>
      </w:r>
      <w:r>
        <w:rPr>
          <w:lang w:val="fr-FR"/>
        </w:rPr>
        <w:t>12</w:t>
      </w:r>
      <w:r w:rsidRPr="00EE5722">
        <w:rPr>
          <w:lang w:val="fr-FR"/>
        </w:rPr>
        <w:t xml:space="preserve"> (Pays-Bas)</w:t>
      </w:r>
    </w:p>
    <w:p w14:paraId="76E14656" w14:textId="7B0F0876" w:rsidR="00310663" w:rsidRDefault="00E677A4" w:rsidP="00310663">
      <w:pPr>
        <w:pStyle w:val="SingleTxtG"/>
        <w:rPr>
          <w:lang w:val="fr-FR"/>
        </w:rPr>
      </w:pPr>
      <w:r>
        <w:rPr>
          <w:lang w:val="fr-FR"/>
        </w:rPr>
        <w:t>37</w:t>
      </w:r>
      <w:r w:rsidR="00310663">
        <w:rPr>
          <w:lang w:val="fr-FR"/>
        </w:rPr>
        <w:t>.</w:t>
      </w:r>
      <w:r w:rsidR="00310663">
        <w:rPr>
          <w:lang w:val="fr-FR"/>
        </w:rPr>
        <w:tab/>
        <w:t xml:space="preserve">Le Groupe de travail a noté que les </w:t>
      </w:r>
      <w:r w:rsidR="00310663" w:rsidRPr="00E20F85">
        <w:rPr>
          <w:lang w:val="fr-FR"/>
        </w:rPr>
        <w:t>prescriptions particulières applicables aux systèmes de freinage d’endurance comprenant des systèmes de freinage à récupération</w:t>
      </w:r>
      <w:r w:rsidR="00310663">
        <w:rPr>
          <w:lang w:val="fr-FR"/>
        </w:rPr>
        <w:t xml:space="preserve"> adoptées par le </w:t>
      </w:r>
      <w:r w:rsidR="00310663" w:rsidRPr="00946F05">
        <w:rPr>
          <w:lang w:val="fr-FR"/>
        </w:rPr>
        <w:t>Forum mondial de l’harmonisation des Règlements concernant les véhicules</w:t>
      </w:r>
      <w:r w:rsidR="00310663">
        <w:rPr>
          <w:lang w:val="fr-FR"/>
        </w:rPr>
        <w:t xml:space="preserve"> (WP.29) (</w:t>
      </w:r>
      <w:r w:rsidR="00310663" w:rsidRPr="00E20F85">
        <w:rPr>
          <w:lang w:val="fr-FR"/>
        </w:rPr>
        <w:t>Complément 18 à la série 11 d’amendements au Règlement ONU No. 13</w:t>
      </w:r>
      <w:r w:rsidR="00310663">
        <w:rPr>
          <w:lang w:val="fr-FR"/>
        </w:rPr>
        <w:t xml:space="preserve">) s’appuyaient sur deux systèmes, </w:t>
      </w:r>
      <w:r w:rsidR="00310663" w:rsidRPr="00E72F6D">
        <w:rPr>
          <w:lang w:val="fr-FR"/>
        </w:rPr>
        <w:t xml:space="preserve">l'un avec un système de planification d'itinéraire, anticipant l'état de charge de la batterie pour les descentes à venir, et l'autre sans ce système. </w:t>
      </w:r>
    </w:p>
    <w:p w14:paraId="3B5439C5" w14:textId="069AD004" w:rsidR="00310663" w:rsidRDefault="00E677A4" w:rsidP="00310663">
      <w:pPr>
        <w:pStyle w:val="SingleTxtG"/>
        <w:rPr>
          <w:lang w:val="fr-FR"/>
        </w:rPr>
      </w:pPr>
      <w:r>
        <w:rPr>
          <w:lang w:val="fr-FR"/>
        </w:rPr>
        <w:t>38</w:t>
      </w:r>
      <w:r w:rsidR="00310663">
        <w:rPr>
          <w:lang w:val="fr-FR"/>
        </w:rPr>
        <w:t>.</w:t>
      </w:r>
      <w:r w:rsidR="00310663">
        <w:rPr>
          <w:lang w:val="fr-FR"/>
        </w:rPr>
        <w:tab/>
        <w:t xml:space="preserve">La proposition des Pays-Bas dans le document informel INF.12 visait à retenir le </w:t>
      </w:r>
      <w:r w:rsidR="00310663" w:rsidRPr="00E72F6D">
        <w:rPr>
          <w:lang w:val="fr-FR"/>
        </w:rPr>
        <w:t>système de planification d'itinéraire</w:t>
      </w:r>
      <w:r w:rsidR="00B7421C" w:rsidRPr="00B7421C">
        <w:rPr>
          <w:lang w:val="fr-FR"/>
        </w:rPr>
        <w:t xml:space="preserve"> </w:t>
      </w:r>
      <w:r w:rsidR="00B7421C">
        <w:rPr>
          <w:lang w:val="fr-FR"/>
        </w:rPr>
        <w:t>pour les véhicules de transport de marchandises dangereuses</w:t>
      </w:r>
      <w:r w:rsidR="00310663" w:rsidRPr="00E72F6D">
        <w:rPr>
          <w:lang w:val="fr-FR"/>
        </w:rPr>
        <w:t>.</w:t>
      </w:r>
    </w:p>
    <w:p w14:paraId="2938FD08" w14:textId="7C2ACFE3" w:rsidR="00310663" w:rsidRDefault="00E677A4" w:rsidP="00310663">
      <w:pPr>
        <w:pStyle w:val="SingleTxtG"/>
        <w:rPr>
          <w:lang w:val="fr-FR"/>
        </w:rPr>
      </w:pPr>
      <w:r>
        <w:rPr>
          <w:lang w:val="fr-FR"/>
        </w:rPr>
        <w:t>39</w:t>
      </w:r>
      <w:r w:rsidR="00310663">
        <w:rPr>
          <w:lang w:val="fr-FR"/>
        </w:rPr>
        <w:t>.</w:t>
      </w:r>
      <w:r w:rsidR="00310663">
        <w:rPr>
          <w:lang w:val="fr-FR"/>
        </w:rPr>
        <w:tab/>
        <w:t>Le représentant des Pays-Bas a indiqué qu’il présenterait une proposition révisée prenant en compte les commentaires reçus, à la prochaine session.</w:t>
      </w:r>
    </w:p>
    <w:p w14:paraId="0A4FD3CE" w14:textId="2753F7CC" w:rsidR="00310663" w:rsidRPr="003F1A03" w:rsidRDefault="00310663" w:rsidP="00310663">
      <w:pPr>
        <w:pStyle w:val="H23G"/>
        <w:rPr>
          <w:lang w:val="fr-FR"/>
        </w:rPr>
      </w:pPr>
      <w:r>
        <w:tab/>
      </w:r>
      <w:r w:rsidRPr="003F1A03">
        <w:t>7.</w:t>
      </w:r>
      <w:r w:rsidRPr="003F1A03">
        <w:tab/>
      </w:r>
      <w:r w:rsidRPr="003F1A03">
        <w:rPr>
          <w:lang w:val="fr-FR"/>
        </w:rPr>
        <w:t>9.8.4 – Stabilité des MEMU</w:t>
      </w:r>
    </w:p>
    <w:p w14:paraId="337D4CA5" w14:textId="77777777" w:rsidR="00310663" w:rsidRDefault="00310663" w:rsidP="00310663">
      <w:pPr>
        <w:pStyle w:val="SingleTxtG"/>
        <w:ind w:left="3119" w:hanging="1985"/>
        <w:jc w:val="left"/>
        <w:rPr>
          <w:lang w:val="fr-FR"/>
        </w:rPr>
      </w:pPr>
      <w:r w:rsidRPr="003F1A03">
        <w:rPr>
          <w:i/>
          <w:iCs/>
          <w:lang w:val="fr-FR"/>
        </w:rPr>
        <w:t>Document informel </w:t>
      </w:r>
      <w:r w:rsidRPr="003F1A03">
        <w:rPr>
          <w:lang w:val="fr-FR"/>
        </w:rPr>
        <w:t>:</w:t>
      </w:r>
      <w:r w:rsidRPr="003F1A03">
        <w:rPr>
          <w:lang w:val="fr-FR"/>
        </w:rPr>
        <w:tab/>
        <w:t>INF.4 (Finlande)</w:t>
      </w:r>
    </w:p>
    <w:p w14:paraId="68F2225E" w14:textId="004DC0C5" w:rsidR="00310663" w:rsidRPr="003F1A03" w:rsidRDefault="00E677A4" w:rsidP="00310663">
      <w:pPr>
        <w:pStyle w:val="SingleTxtG"/>
        <w:rPr>
          <w:lang w:val="fr-FR"/>
        </w:rPr>
      </w:pPr>
      <w:r>
        <w:rPr>
          <w:lang w:val="fr-FR"/>
        </w:rPr>
        <w:t>40</w:t>
      </w:r>
      <w:r w:rsidR="00310663">
        <w:rPr>
          <w:lang w:val="fr-FR"/>
        </w:rPr>
        <w:t>.</w:t>
      </w:r>
      <w:r w:rsidR="00310663">
        <w:rPr>
          <w:lang w:val="fr-FR"/>
        </w:rPr>
        <w:tab/>
        <w:t>Le Groupe de travail a adopté l’amendement au 9.8.4 proposé (voir annexe</w:t>
      </w:r>
      <w:r w:rsidR="00CC07F0">
        <w:rPr>
          <w:lang w:val="fr-FR"/>
        </w:rPr>
        <w:t xml:space="preserve"> II).</w:t>
      </w:r>
    </w:p>
    <w:p w14:paraId="2C1D547B" w14:textId="77777777" w:rsidR="00310663" w:rsidRPr="00B10B3F" w:rsidRDefault="00310663" w:rsidP="00310663">
      <w:pPr>
        <w:pStyle w:val="H23G"/>
        <w:rPr>
          <w:lang w:val="fr-FR"/>
        </w:rPr>
      </w:pPr>
      <w:r>
        <w:tab/>
      </w:r>
      <w:r w:rsidRPr="00B10B3F">
        <w:t>8.</w:t>
      </w:r>
      <w:r w:rsidRPr="00B10B3F">
        <w:tab/>
      </w:r>
      <w:r w:rsidRPr="00B10B3F">
        <w:rPr>
          <w:lang w:val="fr-FR"/>
        </w:rPr>
        <w:t>Problèmes d’interprétation du tableau du 9.2.1.1</w:t>
      </w:r>
    </w:p>
    <w:p w14:paraId="7C3EAE79" w14:textId="77777777" w:rsidR="00310663" w:rsidRPr="00657F58" w:rsidRDefault="00310663" w:rsidP="00310663">
      <w:pPr>
        <w:pStyle w:val="SingleTxtG"/>
        <w:ind w:left="3119" w:hanging="1985"/>
        <w:jc w:val="left"/>
      </w:pPr>
      <w:r w:rsidRPr="00B10B3F">
        <w:rPr>
          <w:i/>
          <w:iCs/>
          <w:lang w:val="fr-FR"/>
        </w:rPr>
        <w:t>Document informel </w:t>
      </w:r>
      <w:r w:rsidRPr="00B10B3F">
        <w:rPr>
          <w:lang w:val="fr-FR"/>
        </w:rPr>
        <w:t>:</w:t>
      </w:r>
      <w:r w:rsidRPr="00B10B3F">
        <w:rPr>
          <w:lang w:val="fr-FR"/>
        </w:rPr>
        <w:tab/>
        <w:t>INF.10 (Pays-Bas)</w:t>
      </w:r>
    </w:p>
    <w:p w14:paraId="0BB85637" w14:textId="68DDD787" w:rsidR="00310663" w:rsidRPr="003F1A03" w:rsidRDefault="00E677A4" w:rsidP="00310663">
      <w:pPr>
        <w:pStyle w:val="SingleTxtG"/>
        <w:rPr>
          <w:lang w:val="fr-FR"/>
        </w:rPr>
      </w:pPr>
      <w:r>
        <w:rPr>
          <w:lang w:val="fr-FR"/>
        </w:rPr>
        <w:t>41</w:t>
      </w:r>
      <w:r w:rsidR="00310663">
        <w:rPr>
          <w:lang w:val="fr-FR"/>
        </w:rPr>
        <w:t>.</w:t>
      </w:r>
      <w:r w:rsidR="00310663">
        <w:rPr>
          <w:lang w:val="fr-FR"/>
        </w:rPr>
        <w:tab/>
        <w:t xml:space="preserve">Le Groupe de travail a confirmé que ce point pourrait être discuté par le </w:t>
      </w:r>
      <w:r w:rsidR="00310663" w:rsidRPr="00EE5722">
        <w:rPr>
          <w:lang w:val="fr-FR"/>
        </w:rPr>
        <w:t>groupe de travail informel des véhicules électrifiés</w:t>
      </w:r>
      <w:r w:rsidR="00310663">
        <w:rPr>
          <w:lang w:val="fr-FR"/>
        </w:rPr>
        <w:t xml:space="preserve"> à sa prochaine </w:t>
      </w:r>
      <w:r w:rsidR="00BC798C">
        <w:rPr>
          <w:lang w:val="fr-FR"/>
        </w:rPr>
        <w:t>réunion</w:t>
      </w:r>
      <w:r w:rsidR="00310663">
        <w:rPr>
          <w:lang w:val="fr-FR"/>
        </w:rPr>
        <w:t xml:space="preserve">. </w:t>
      </w:r>
    </w:p>
    <w:p w14:paraId="39D03201" w14:textId="77777777" w:rsidR="00310663" w:rsidRPr="0022758A" w:rsidRDefault="00310663" w:rsidP="00310663">
      <w:pPr>
        <w:pStyle w:val="H23G"/>
        <w:rPr>
          <w:lang w:val="fr-FR"/>
        </w:rPr>
      </w:pPr>
      <w:r>
        <w:tab/>
      </w:r>
      <w:r w:rsidRPr="0022758A">
        <w:t>9.</w:t>
      </w:r>
      <w:r w:rsidRPr="0022758A">
        <w:tab/>
      </w:r>
      <w:r w:rsidRPr="0022758A">
        <w:rPr>
          <w:lang w:val="fr-FR"/>
        </w:rPr>
        <w:t>Système d'extinction d'incendie pour les compartiments moteurs</w:t>
      </w:r>
    </w:p>
    <w:p w14:paraId="031B28C8" w14:textId="77777777" w:rsidR="00310663" w:rsidRDefault="00310663" w:rsidP="001455A1">
      <w:pPr>
        <w:pStyle w:val="SingleTxtG"/>
        <w:ind w:left="2835" w:hanging="1701"/>
        <w:jc w:val="left"/>
        <w:rPr>
          <w:lang w:val="fr-FR"/>
        </w:rPr>
      </w:pPr>
      <w:r w:rsidRPr="0022758A">
        <w:rPr>
          <w:i/>
          <w:iCs/>
          <w:lang w:val="fr-FR"/>
        </w:rPr>
        <w:t>Document informel </w:t>
      </w:r>
      <w:r w:rsidRPr="0022758A">
        <w:rPr>
          <w:lang w:val="fr-FR"/>
        </w:rPr>
        <w:t>:</w:t>
      </w:r>
      <w:r w:rsidRPr="0022758A">
        <w:rPr>
          <w:lang w:val="fr-FR"/>
        </w:rPr>
        <w:tab/>
        <w:t>INF.17 (Espagne et Pays-Bas, au nom du groupe de travail informel sur la réduction du risque de BLEVE)</w:t>
      </w:r>
    </w:p>
    <w:p w14:paraId="43F84105" w14:textId="21A40CCD" w:rsidR="00310663" w:rsidRDefault="00E677A4" w:rsidP="00310663">
      <w:pPr>
        <w:pStyle w:val="SingleTxtG"/>
      </w:pPr>
      <w:r>
        <w:rPr>
          <w:lang w:val="fr-FR"/>
        </w:rPr>
        <w:t>42</w:t>
      </w:r>
      <w:r w:rsidR="00310663" w:rsidRPr="0040395A">
        <w:rPr>
          <w:lang w:val="fr-FR"/>
        </w:rPr>
        <w:t>.</w:t>
      </w:r>
      <w:r w:rsidR="00310663" w:rsidRPr="0040395A">
        <w:rPr>
          <w:lang w:val="fr-FR"/>
        </w:rPr>
        <w:tab/>
        <w:t xml:space="preserve">Le Groupe de travail a confirmé que les exigences techniques relatives </w:t>
      </w:r>
      <w:r w:rsidR="00310663">
        <w:rPr>
          <w:lang w:val="fr-FR"/>
        </w:rPr>
        <w:t xml:space="preserve">aux systèmes </w:t>
      </w:r>
      <w:r w:rsidR="00310663" w:rsidRPr="0040395A">
        <w:t xml:space="preserve">d'extinction d'incendie </w:t>
      </w:r>
      <w:r w:rsidR="00310663">
        <w:t xml:space="preserve">installés </w:t>
      </w:r>
      <w:r w:rsidR="00310663" w:rsidRPr="0040395A">
        <w:t>dans le compartiment</w:t>
      </w:r>
      <w:r w:rsidR="00310663">
        <w:t xml:space="preserve"> moteur pourraient être introduites dans l’ADR dans un premier temps et faire l’objet d’une proposition ultérieure au WP.29 afin d’adapter le Règlement 107 </w:t>
      </w:r>
      <w:r w:rsidR="00310663" w:rsidRPr="00F65798">
        <w:rPr>
          <w:lang w:val="fr-FR"/>
        </w:rPr>
        <w:t xml:space="preserve">de l'ONU </w:t>
      </w:r>
      <w:r w:rsidR="00310663">
        <w:t>en conséquence.</w:t>
      </w:r>
    </w:p>
    <w:p w14:paraId="25E337C9" w14:textId="2D8BDA02" w:rsidR="00310663" w:rsidRPr="0040395A" w:rsidRDefault="00E677A4" w:rsidP="00310663">
      <w:pPr>
        <w:pStyle w:val="SingleTxtG"/>
        <w:rPr>
          <w:lang w:val="fr-FR"/>
        </w:rPr>
      </w:pPr>
      <w:r>
        <w:lastRenderedPageBreak/>
        <w:t>43</w:t>
      </w:r>
      <w:r w:rsidR="00310663">
        <w:t>.</w:t>
      </w:r>
      <w:r w:rsidR="00310663">
        <w:tab/>
      </w:r>
      <w:r w:rsidR="00310663">
        <w:rPr>
          <w:rFonts w:ascii="TimesNewRomanPSMT" w:hAnsi="TimesNewRomanPSMT" w:cs="TimesNewRomanPSMT"/>
        </w:rPr>
        <w:t>La représentante de l’Espagne a invité les nouvelles délégations qui souhaiteraient participer aux travaux du groupe informel à la contacter.</w:t>
      </w:r>
    </w:p>
    <w:p w14:paraId="18DFD1C5" w14:textId="1F5AEE7A" w:rsidR="00310663" w:rsidRPr="002C1523" w:rsidRDefault="00310663" w:rsidP="00310663">
      <w:pPr>
        <w:pStyle w:val="H23G"/>
        <w:rPr>
          <w:lang w:val="fr-FR"/>
        </w:rPr>
      </w:pPr>
      <w:r>
        <w:tab/>
      </w:r>
      <w:r w:rsidRPr="002C1523">
        <w:t>10.</w:t>
      </w:r>
      <w:r w:rsidRPr="002C1523">
        <w:tab/>
        <w:t xml:space="preserve">Systèmes de </w:t>
      </w:r>
      <w:r>
        <w:t>vision</w:t>
      </w:r>
      <w:r w:rsidRPr="002C1523">
        <w:t xml:space="preserve"> par caméra </w:t>
      </w:r>
      <w:r w:rsidRPr="002C1523">
        <w:rPr>
          <w:lang w:val="fr-FR"/>
        </w:rPr>
        <w:t xml:space="preserve">sur les véhicules EX/III et FL (véhicules avec </w:t>
      </w:r>
      <w:r w:rsidR="00EC08BF" w:rsidRPr="002C1523">
        <w:rPr>
          <w:lang w:val="fr-FR"/>
        </w:rPr>
        <w:t>coupe-batterie</w:t>
      </w:r>
      <w:r w:rsidRPr="002C1523">
        <w:rPr>
          <w:lang w:val="fr-FR"/>
        </w:rPr>
        <w:t>)</w:t>
      </w:r>
    </w:p>
    <w:p w14:paraId="5D7F2B6F" w14:textId="77777777" w:rsidR="00310663" w:rsidRDefault="00310663" w:rsidP="00310663">
      <w:pPr>
        <w:pStyle w:val="SingleTxtG"/>
        <w:ind w:left="3119" w:hanging="1985"/>
        <w:jc w:val="left"/>
        <w:rPr>
          <w:lang w:val="fr-FR"/>
        </w:rPr>
      </w:pPr>
      <w:r w:rsidRPr="002C1523">
        <w:rPr>
          <w:i/>
          <w:iCs/>
          <w:lang w:val="fr-FR"/>
        </w:rPr>
        <w:t>Document informel </w:t>
      </w:r>
      <w:r w:rsidRPr="002C1523">
        <w:rPr>
          <w:lang w:val="fr-FR"/>
        </w:rPr>
        <w:t>:</w:t>
      </w:r>
      <w:r w:rsidRPr="002C1523">
        <w:rPr>
          <w:lang w:val="fr-FR"/>
        </w:rPr>
        <w:tab/>
        <w:t>INF.18 (Allemagne)</w:t>
      </w:r>
    </w:p>
    <w:p w14:paraId="72B23C5B" w14:textId="693747C8" w:rsidR="00310663" w:rsidRDefault="00E677A4" w:rsidP="00310663">
      <w:pPr>
        <w:pStyle w:val="SingleTxtG"/>
        <w:rPr>
          <w:lang w:val="fr-FR"/>
        </w:rPr>
      </w:pPr>
      <w:r>
        <w:rPr>
          <w:lang w:val="fr-FR"/>
        </w:rPr>
        <w:t>44</w:t>
      </w:r>
      <w:r w:rsidR="00310663" w:rsidRPr="00F65798">
        <w:rPr>
          <w:lang w:val="fr-FR"/>
        </w:rPr>
        <w:t>.</w:t>
      </w:r>
      <w:r w:rsidR="00310663" w:rsidRPr="00F65798">
        <w:rPr>
          <w:lang w:val="fr-FR"/>
        </w:rPr>
        <w:tab/>
        <w:t xml:space="preserve">Le Groupe de travail a noté que des problèmes </w:t>
      </w:r>
      <w:r w:rsidR="00310663">
        <w:rPr>
          <w:lang w:val="fr-FR"/>
        </w:rPr>
        <w:t>pouvaient survenir lors de</w:t>
      </w:r>
      <w:r w:rsidR="00310663" w:rsidRPr="00F65798">
        <w:rPr>
          <w:lang w:val="fr-FR"/>
        </w:rPr>
        <w:t xml:space="preserve"> l'homologation des véhicules EX/III et FL équipés d'un système</w:t>
      </w:r>
      <w:r w:rsidR="00310663">
        <w:rPr>
          <w:lang w:val="fr-FR"/>
        </w:rPr>
        <w:t xml:space="preserve"> à</w:t>
      </w:r>
      <w:r w:rsidR="00310663" w:rsidRPr="00F65798">
        <w:rPr>
          <w:lang w:val="fr-FR"/>
        </w:rPr>
        <w:t xml:space="preserve"> caméra</w:t>
      </w:r>
      <w:r w:rsidR="00310663">
        <w:rPr>
          <w:lang w:val="fr-FR"/>
        </w:rPr>
        <w:t xml:space="preserve"> et </w:t>
      </w:r>
      <w:r w:rsidR="00310663" w:rsidRPr="00F65798">
        <w:rPr>
          <w:lang w:val="fr-FR"/>
        </w:rPr>
        <w:t>moniteur</w:t>
      </w:r>
      <w:r w:rsidR="00310663">
        <w:rPr>
          <w:lang w:val="fr-FR"/>
        </w:rPr>
        <w:t xml:space="preserve"> conforme aux</w:t>
      </w:r>
      <w:r w:rsidR="00310663" w:rsidRPr="00F65798">
        <w:rPr>
          <w:lang w:val="fr-FR"/>
        </w:rPr>
        <w:t xml:space="preserve"> exigences du </w:t>
      </w:r>
      <w:r w:rsidR="00310663">
        <w:rPr>
          <w:lang w:val="fr-FR"/>
        </w:rPr>
        <w:t>R</w:t>
      </w:r>
      <w:r w:rsidR="00310663" w:rsidRPr="00F65798">
        <w:rPr>
          <w:lang w:val="fr-FR"/>
        </w:rPr>
        <w:t xml:space="preserve">èglement </w:t>
      </w:r>
      <w:r w:rsidR="00310663">
        <w:t>No</w:t>
      </w:r>
      <w:r w:rsidR="00310663" w:rsidRPr="00F65798">
        <w:rPr>
          <w:lang w:val="fr-FR"/>
        </w:rPr>
        <w:t xml:space="preserve"> 46 de l'ONU.</w:t>
      </w:r>
    </w:p>
    <w:p w14:paraId="3AC252A4" w14:textId="3A3E7C37" w:rsidR="00310663" w:rsidRDefault="00E677A4" w:rsidP="00310663">
      <w:pPr>
        <w:pStyle w:val="SingleTxtG"/>
        <w:rPr>
          <w:lang w:val="fr-FR"/>
        </w:rPr>
      </w:pPr>
      <w:r>
        <w:rPr>
          <w:lang w:val="fr-FR"/>
        </w:rPr>
        <w:t>45</w:t>
      </w:r>
      <w:r w:rsidR="00310663">
        <w:rPr>
          <w:lang w:val="fr-FR"/>
        </w:rPr>
        <w:t>.</w:t>
      </w:r>
      <w:r w:rsidR="00310663">
        <w:rPr>
          <w:lang w:val="fr-FR"/>
        </w:rPr>
        <w:tab/>
        <w:t>Le Groupe de travail a invité l’Allemagne à attirer l’attention du WP.29 sur ce point et a invité les délégations du Groupe de travail à informer leurs homologues en charge des dispositions relatives à la construction des véhicules de ces problèmes sur la base des informations fournies dans le document informel INF.18.</w:t>
      </w:r>
    </w:p>
    <w:p w14:paraId="6C31F99C" w14:textId="15568803" w:rsidR="00A6123D" w:rsidRPr="00657F58" w:rsidRDefault="00A6123D" w:rsidP="00F25DC5">
      <w:pPr>
        <w:pStyle w:val="H1G"/>
      </w:pPr>
      <w:r>
        <w:rPr>
          <w:lang w:val="fr-FR"/>
        </w:rPr>
        <w:tab/>
        <w:t>B</w:t>
      </w:r>
      <w:r w:rsidRPr="00657F58">
        <w:rPr>
          <w:lang w:val="fr-FR"/>
        </w:rPr>
        <w:t>.</w:t>
      </w:r>
      <w:r w:rsidRPr="00657F58">
        <w:rPr>
          <w:lang w:val="fr-FR"/>
        </w:rPr>
        <w:tab/>
      </w:r>
      <w:r>
        <w:rPr>
          <w:lang w:val="fr-FR"/>
        </w:rPr>
        <w:t>Propositions diverses</w:t>
      </w:r>
    </w:p>
    <w:p w14:paraId="5441BEB8" w14:textId="77777777" w:rsidR="00A6123D" w:rsidRDefault="00A6123D" w:rsidP="00A6123D">
      <w:pPr>
        <w:pStyle w:val="H23G"/>
        <w:rPr>
          <w:lang w:val="fr-FR"/>
        </w:rPr>
      </w:pPr>
      <w:r>
        <w:tab/>
        <w:t>1.</w:t>
      </w:r>
      <w:r>
        <w:tab/>
      </w:r>
      <w:r>
        <w:rPr>
          <w:lang w:val="fr-FR"/>
        </w:rPr>
        <w:t>Modification des textes adoptés à la 113</w:t>
      </w:r>
      <w:r w:rsidRPr="00AB1D9C">
        <w:rPr>
          <w:vertAlign w:val="superscript"/>
          <w:lang w:val="fr-FR"/>
        </w:rPr>
        <w:t>e</w:t>
      </w:r>
      <w:r>
        <w:rPr>
          <w:lang w:val="fr-FR"/>
        </w:rPr>
        <w:t xml:space="preserve"> session</w:t>
      </w:r>
    </w:p>
    <w:p w14:paraId="793E8C28" w14:textId="0A301104" w:rsidR="00A6123D" w:rsidRDefault="00A6123D" w:rsidP="00A6123D">
      <w:pPr>
        <w:pStyle w:val="SingleTxtG"/>
        <w:ind w:left="2268" w:hanging="1134"/>
        <w:jc w:val="left"/>
        <w:rPr>
          <w:lang w:val="fr-FR"/>
        </w:rPr>
      </w:pPr>
      <w:r w:rsidRPr="00657F58">
        <w:rPr>
          <w:i/>
          <w:iCs/>
          <w:lang w:val="fr-FR"/>
        </w:rPr>
        <w:t>Document</w:t>
      </w:r>
      <w:r>
        <w:rPr>
          <w:i/>
          <w:iCs/>
          <w:lang w:val="fr-FR"/>
        </w:rPr>
        <w:t> </w:t>
      </w:r>
      <w:r w:rsidRPr="00657F58">
        <w:rPr>
          <w:lang w:val="fr-FR"/>
        </w:rPr>
        <w:t>:</w:t>
      </w:r>
      <w:r w:rsidRPr="00657F58">
        <w:rPr>
          <w:lang w:val="fr-FR"/>
        </w:rPr>
        <w:tab/>
      </w:r>
      <w:r>
        <w:rPr>
          <w:lang w:val="fr-FR"/>
        </w:rPr>
        <w:t>ECE/TRANS/WP.15/262, annexe (</w:t>
      </w:r>
      <w:r w:rsidR="00C5657B">
        <w:rPr>
          <w:lang w:val="fr-FR"/>
        </w:rPr>
        <w:t xml:space="preserve">Rapport </w:t>
      </w:r>
      <w:r>
        <w:rPr>
          <w:lang w:val="fr-FR"/>
        </w:rPr>
        <w:t>du Groupe de travail à sa 113</w:t>
      </w:r>
      <w:r w:rsidRPr="00121E66">
        <w:rPr>
          <w:vertAlign w:val="superscript"/>
          <w:lang w:val="fr-FR"/>
        </w:rPr>
        <w:t>e</w:t>
      </w:r>
      <w:r>
        <w:rPr>
          <w:lang w:val="fr-FR"/>
        </w:rPr>
        <w:t> session)</w:t>
      </w:r>
    </w:p>
    <w:p w14:paraId="6F93C946" w14:textId="14B6E434" w:rsidR="00A6123D" w:rsidRPr="00657F58" w:rsidRDefault="00A6123D" w:rsidP="00A6123D">
      <w:pPr>
        <w:pStyle w:val="SingleTxtG"/>
        <w:ind w:left="3119" w:hanging="1985"/>
        <w:jc w:val="left"/>
      </w:pPr>
      <w:r>
        <w:rPr>
          <w:i/>
          <w:iCs/>
          <w:lang w:val="fr-FR"/>
        </w:rPr>
        <w:t>Document informel </w:t>
      </w:r>
      <w:r w:rsidRPr="00830913">
        <w:t>:</w:t>
      </w:r>
      <w:r>
        <w:t xml:space="preserve"> INF.5/Rev.1, partie I (</w:t>
      </w:r>
      <w:r w:rsidR="006F5ACC">
        <w:t>Secrétariat</w:t>
      </w:r>
      <w:r>
        <w:t>)</w:t>
      </w:r>
    </w:p>
    <w:p w14:paraId="139D6E41" w14:textId="314090AF" w:rsidR="00A6123D" w:rsidRDefault="00E677A4" w:rsidP="00A6123D">
      <w:pPr>
        <w:pStyle w:val="SingleTxtG"/>
      </w:pPr>
      <w:r>
        <w:t>46</w:t>
      </w:r>
      <w:r w:rsidR="00A6123D">
        <w:t>.</w:t>
      </w:r>
      <w:r w:rsidR="00A6123D">
        <w:tab/>
        <w:t>Le Groupe de travail a adopté des modifications éditoriales au texte de la nouvelle disposition AP11 du 7.3.3.2.7 adopté à sa précédente session et repris en partie I du document informel INF.5/Rev.1 (voir annexe</w:t>
      </w:r>
      <w:r w:rsidR="00B72CF1">
        <w:t xml:space="preserve"> II).</w:t>
      </w:r>
    </w:p>
    <w:p w14:paraId="199B75C7" w14:textId="77777777" w:rsidR="00A6123D" w:rsidRPr="00970B91" w:rsidRDefault="00A6123D" w:rsidP="00A6123D">
      <w:pPr>
        <w:pStyle w:val="H23G"/>
        <w:rPr>
          <w:lang w:val="fr-FR"/>
        </w:rPr>
      </w:pPr>
      <w:r>
        <w:tab/>
      </w:r>
      <w:r w:rsidRPr="00970B91">
        <w:t>2.</w:t>
      </w:r>
      <w:r w:rsidRPr="00970B91">
        <w:tab/>
      </w:r>
      <w:r w:rsidRPr="00970B91">
        <w:rPr>
          <w:lang w:val="fr-FR"/>
        </w:rPr>
        <w:t>Obligation de formation des conducteurs (équipage du véhicule) transportant des marchandises dangereuses emballées en quantités limitées</w:t>
      </w:r>
    </w:p>
    <w:p w14:paraId="7C0215AD" w14:textId="77777777" w:rsidR="00A6123D" w:rsidRPr="00970B91" w:rsidRDefault="00A6123D" w:rsidP="00A6123D">
      <w:pPr>
        <w:pStyle w:val="SingleTxtG"/>
        <w:ind w:left="3119" w:hanging="1985"/>
        <w:jc w:val="left"/>
        <w:rPr>
          <w:lang w:val="fr-FR"/>
        </w:rPr>
      </w:pPr>
      <w:r w:rsidRPr="00970B91">
        <w:rPr>
          <w:i/>
          <w:iCs/>
          <w:lang w:val="fr-FR"/>
        </w:rPr>
        <w:t>Document </w:t>
      </w:r>
      <w:r w:rsidRPr="00970B91">
        <w:rPr>
          <w:lang w:val="fr-FR"/>
        </w:rPr>
        <w:t>:</w:t>
      </w:r>
      <w:r w:rsidRPr="00970B91">
        <w:rPr>
          <w:lang w:val="fr-FR"/>
        </w:rPr>
        <w:tab/>
        <w:t>ECE/TRANS/WP.15/2023/16 (IASA)</w:t>
      </w:r>
    </w:p>
    <w:p w14:paraId="77068B80" w14:textId="0AD40EAD" w:rsidR="00A6123D" w:rsidRPr="00970B91" w:rsidRDefault="00E677A4" w:rsidP="00A6123D">
      <w:pPr>
        <w:pStyle w:val="SingleTxtG"/>
      </w:pPr>
      <w:r>
        <w:t>47</w:t>
      </w:r>
      <w:r w:rsidR="00A6123D" w:rsidRPr="00AF6B85">
        <w:t>.</w:t>
      </w:r>
      <w:r w:rsidR="00A6123D" w:rsidRPr="00AF6B85">
        <w:tab/>
        <w:t xml:space="preserve">La proposition </w:t>
      </w:r>
      <w:r w:rsidR="00A6123D">
        <w:t xml:space="preserve">de modification du 3.4.1 h) a été adoptée avec </w:t>
      </w:r>
      <w:r w:rsidR="00A6123D" w:rsidRPr="00AF6B85">
        <w:t>une modification supplémentaire pour faire référence à la partie 8</w:t>
      </w:r>
      <w:r w:rsidR="00A6123D">
        <w:t xml:space="preserve"> (voir annexe</w:t>
      </w:r>
      <w:r w:rsidR="00B72CF1">
        <w:t xml:space="preserve"> II).</w:t>
      </w:r>
    </w:p>
    <w:p w14:paraId="51229EDE" w14:textId="77777777" w:rsidR="00A6123D" w:rsidRDefault="00A6123D" w:rsidP="00A6123D">
      <w:pPr>
        <w:pStyle w:val="H23G"/>
        <w:rPr>
          <w:lang w:val="fr-FR"/>
        </w:rPr>
      </w:pPr>
      <w:r>
        <w:tab/>
        <w:t>3.</w:t>
      </w:r>
      <w:r>
        <w:tab/>
      </w:r>
      <w:r>
        <w:rPr>
          <w:lang w:val="fr-FR"/>
        </w:rPr>
        <w:t>Amendement au 5.4.1.4 de l’ADR : prescriptions de l’ADR concernant la langue du document de transport</w:t>
      </w:r>
    </w:p>
    <w:p w14:paraId="38357DBF" w14:textId="77777777" w:rsidR="00A6123D" w:rsidRPr="00657F58" w:rsidRDefault="00A6123D" w:rsidP="00A6123D">
      <w:pPr>
        <w:pStyle w:val="SingleTxtG"/>
        <w:ind w:left="3119" w:hanging="1985"/>
        <w:jc w:val="left"/>
      </w:pPr>
      <w:r w:rsidRPr="00657F58">
        <w:rPr>
          <w:i/>
          <w:iCs/>
          <w:lang w:val="fr-FR"/>
        </w:rPr>
        <w:t>Document</w:t>
      </w:r>
      <w:r>
        <w:rPr>
          <w:i/>
          <w:iCs/>
          <w:lang w:val="fr-FR"/>
        </w:rPr>
        <w:t> </w:t>
      </w:r>
      <w:r w:rsidRPr="00657F58">
        <w:rPr>
          <w:lang w:val="fr-FR"/>
        </w:rPr>
        <w:t>:</w:t>
      </w:r>
      <w:r w:rsidRPr="00657F58">
        <w:rPr>
          <w:lang w:val="fr-FR"/>
        </w:rPr>
        <w:tab/>
      </w:r>
      <w:r>
        <w:rPr>
          <w:lang w:val="fr-FR"/>
        </w:rPr>
        <w:t>ECE/TRANS/WP.15/2023/17 (IASA)</w:t>
      </w:r>
    </w:p>
    <w:p w14:paraId="7725CCB8" w14:textId="0443B20E" w:rsidR="00A6123D" w:rsidRDefault="00E677A4" w:rsidP="00A6123D">
      <w:pPr>
        <w:pStyle w:val="SingleTxtG"/>
        <w:rPr>
          <w:lang w:val="fr-FR"/>
        </w:rPr>
      </w:pPr>
      <w:r>
        <w:rPr>
          <w:lang w:val="fr-FR"/>
        </w:rPr>
        <w:t>48</w:t>
      </w:r>
      <w:r w:rsidR="00A6123D">
        <w:rPr>
          <w:lang w:val="fr-FR"/>
        </w:rPr>
        <w:t>.</w:t>
      </w:r>
      <w:r w:rsidR="00A6123D">
        <w:rPr>
          <w:lang w:val="fr-FR"/>
        </w:rPr>
        <w:tab/>
        <w:t>La plupart des délégations qui se sont prononcées n’était pas en faveur de la proposition de IASA de supprimer la référence à la langue officielle du pays expéditeur dans les prescriptions relatives au document de transport. La proposition a été retirée.</w:t>
      </w:r>
    </w:p>
    <w:p w14:paraId="02579AA7" w14:textId="77777777" w:rsidR="00080B3C" w:rsidRPr="00F6298C" w:rsidRDefault="00080B3C" w:rsidP="00080B3C">
      <w:pPr>
        <w:pStyle w:val="H23G"/>
        <w:rPr>
          <w:lang w:val="fr-FR"/>
        </w:rPr>
      </w:pPr>
      <w:r>
        <w:tab/>
      </w:r>
      <w:r w:rsidRPr="00F6298C">
        <w:t>4.</w:t>
      </w:r>
      <w:r w:rsidRPr="00F6298C">
        <w:tab/>
      </w:r>
      <w:r w:rsidRPr="00F6298C">
        <w:rPr>
          <w:lang w:val="fr-FR"/>
        </w:rPr>
        <w:t>Chauffage à combustion</w:t>
      </w:r>
    </w:p>
    <w:p w14:paraId="75D49FDA" w14:textId="77777777" w:rsidR="00080B3C" w:rsidRPr="00F6298C" w:rsidRDefault="00080B3C" w:rsidP="00080B3C">
      <w:pPr>
        <w:pStyle w:val="SingleTxtG"/>
        <w:ind w:left="3119" w:hanging="1985"/>
        <w:jc w:val="left"/>
        <w:rPr>
          <w:lang w:val="fr-FR"/>
        </w:rPr>
      </w:pPr>
      <w:r w:rsidRPr="00F6298C">
        <w:rPr>
          <w:i/>
          <w:iCs/>
          <w:lang w:val="fr-FR"/>
        </w:rPr>
        <w:t>Document </w:t>
      </w:r>
      <w:r w:rsidRPr="00F6298C">
        <w:rPr>
          <w:lang w:val="fr-FR"/>
        </w:rPr>
        <w:t>:</w:t>
      </w:r>
      <w:r w:rsidRPr="00F6298C">
        <w:rPr>
          <w:lang w:val="fr-FR"/>
        </w:rPr>
        <w:tab/>
        <w:t>ECE/TRANS/WP.15/2023/9 (Fédération de Russie)</w:t>
      </w:r>
    </w:p>
    <w:p w14:paraId="79056E52" w14:textId="3566D32B" w:rsidR="00080B3C" w:rsidRPr="00956677" w:rsidRDefault="00E677A4" w:rsidP="00080B3C">
      <w:pPr>
        <w:pStyle w:val="SingleTxtG"/>
        <w:tabs>
          <w:tab w:val="clear" w:pos="1701"/>
          <w:tab w:val="clear" w:pos="2268"/>
          <w:tab w:val="clear" w:pos="2835"/>
        </w:tabs>
      </w:pPr>
      <w:r>
        <w:rPr>
          <w:lang w:val="fr-FR"/>
        </w:rPr>
        <w:t>49</w:t>
      </w:r>
      <w:r w:rsidR="00080B3C" w:rsidRPr="00956677">
        <w:rPr>
          <w:lang w:val="fr-FR"/>
        </w:rPr>
        <w:t>.</w:t>
      </w:r>
      <w:r w:rsidR="00080B3C" w:rsidRPr="00956677">
        <w:rPr>
          <w:lang w:val="fr-FR"/>
        </w:rPr>
        <w:tab/>
      </w:r>
      <w:r w:rsidR="00080B3C">
        <w:rPr>
          <w:lang w:val="fr-FR"/>
        </w:rPr>
        <w:t>Les avis étaient partagés sur la nécessité ou non de maintenir la définition de chauffage à combustion au 1.2.1. Plusieurs délégations considéraient qu’il serait dans tous les cas opportun de préciser en partie 9 les dispositions applicables notamment concernant le préchauffage du compartiment moteur. Le représentant de la Fédération de Russie présentera</w:t>
      </w:r>
      <w:r w:rsidR="003103C0">
        <w:rPr>
          <w:lang w:val="fr-FR"/>
        </w:rPr>
        <w:t>it</w:t>
      </w:r>
      <w:r w:rsidR="00080B3C">
        <w:rPr>
          <w:lang w:val="fr-FR"/>
        </w:rPr>
        <w:t xml:space="preserve"> une proposition révisée à une prochaine session sur la base des commentaires reçus. </w:t>
      </w:r>
    </w:p>
    <w:p w14:paraId="606647EF" w14:textId="77777777" w:rsidR="00080B3C" w:rsidRPr="007C35E4" w:rsidRDefault="00080B3C" w:rsidP="00080B3C">
      <w:pPr>
        <w:pStyle w:val="H23G"/>
        <w:rPr>
          <w:lang w:val="fr-FR"/>
        </w:rPr>
      </w:pPr>
      <w:r>
        <w:tab/>
      </w:r>
      <w:r w:rsidRPr="007C35E4">
        <w:t>5.</w:t>
      </w:r>
      <w:r w:rsidRPr="007C35E4">
        <w:tab/>
      </w:r>
      <w:r w:rsidRPr="007C35E4">
        <w:rPr>
          <w:lang w:val="fr-FR"/>
        </w:rPr>
        <w:t>Documents de bord</w:t>
      </w:r>
    </w:p>
    <w:p w14:paraId="4EE27750" w14:textId="77777777" w:rsidR="00080B3C" w:rsidRDefault="00080B3C" w:rsidP="00080B3C">
      <w:pPr>
        <w:pStyle w:val="SingleTxtG"/>
        <w:ind w:left="3119" w:hanging="1985"/>
        <w:jc w:val="left"/>
        <w:rPr>
          <w:lang w:val="fr-FR"/>
        </w:rPr>
      </w:pPr>
      <w:r w:rsidRPr="007C35E4">
        <w:rPr>
          <w:i/>
          <w:iCs/>
          <w:lang w:val="fr-FR"/>
        </w:rPr>
        <w:t>Document </w:t>
      </w:r>
      <w:r w:rsidRPr="007C35E4">
        <w:rPr>
          <w:lang w:val="fr-FR"/>
        </w:rPr>
        <w:t>:</w:t>
      </w:r>
      <w:r w:rsidRPr="007C35E4">
        <w:rPr>
          <w:lang w:val="fr-FR"/>
        </w:rPr>
        <w:tab/>
        <w:t>ECE/TRANS/WP.15/2023/11 (Pays-Bas)</w:t>
      </w:r>
    </w:p>
    <w:p w14:paraId="61080995" w14:textId="405BC7AA" w:rsidR="00080B3C" w:rsidRDefault="00E677A4" w:rsidP="00080B3C">
      <w:pPr>
        <w:pStyle w:val="SingleTxtG"/>
      </w:pPr>
      <w:r>
        <w:rPr>
          <w:lang w:val="fr-FR"/>
        </w:rPr>
        <w:t>50</w:t>
      </w:r>
      <w:r w:rsidR="00080B3C" w:rsidRPr="006E19C8">
        <w:t>.</w:t>
      </w:r>
      <w:r w:rsidR="00080B3C" w:rsidRPr="006E19C8">
        <w:tab/>
        <w:t xml:space="preserve">La majorité des délégations considérait que les documents de bord listés au 8.1.2 devaient se trouver dans la cabine de conduite. </w:t>
      </w:r>
      <w:r w:rsidR="00080B3C">
        <w:t xml:space="preserve">Le Groupe de travail a adopté une proposition </w:t>
      </w:r>
      <w:r w:rsidR="00080B3C">
        <w:lastRenderedPageBreak/>
        <w:t>alternative visant à modifier les textes des 8.1.2.1 et 8.1.2.2, au lieu du titre du 8.1.2, afin de refléter ce principe (voir annexe</w:t>
      </w:r>
      <w:r w:rsidR="00F151A1">
        <w:t xml:space="preserve"> II).</w:t>
      </w:r>
    </w:p>
    <w:p w14:paraId="0C648AF3" w14:textId="1C07996E" w:rsidR="00080B3C" w:rsidRDefault="00E677A4" w:rsidP="00080B3C">
      <w:pPr>
        <w:pStyle w:val="SingleTxtG"/>
      </w:pPr>
      <w:r>
        <w:t>51</w:t>
      </w:r>
      <w:r w:rsidR="00080B3C">
        <w:t>.</w:t>
      </w:r>
      <w:r w:rsidR="00080B3C">
        <w:tab/>
        <w:t>Le Groupe de travail a noté qu’il pourrait être nécessaire de clarifier le texte dans le futur pour préciser que tous les documents de bord doivent être maintenus à portée de main comme cela est déjà mentionné au 8.1.2.3 pour les consignes écrites.</w:t>
      </w:r>
    </w:p>
    <w:p w14:paraId="08333C63" w14:textId="77777777" w:rsidR="00080B3C" w:rsidRDefault="00080B3C" w:rsidP="00080B3C">
      <w:pPr>
        <w:pStyle w:val="H23G"/>
        <w:rPr>
          <w:lang w:val="fr-FR"/>
        </w:rPr>
      </w:pPr>
      <w:r>
        <w:tab/>
        <w:t>6.</w:t>
      </w:r>
      <w:r>
        <w:tab/>
      </w:r>
      <w:r>
        <w:rPr>
          <w:lang w:val="fr-FR"/>
        </w:rPr>
        <w:t>Définition de véhicule couvert</w:t>
      </w:r>
    </w:p>
    <w:p w14:paraId="30A0469B" w14:textId="77777777" w:rsidR="00080B3C" w:rsidRPr="00657F58" w:rsidRDefault="00080B3C" w:rsidP="00080B3C">
      <w:pPr>
        <w:pStyle w:val="SingleTxtG"/>
        <w:ind w:left="3119" w:hanging="1985"/>
        <w:jc w:val="left"/>
      </w:pPr>
      <w:r w:rsidRPr="00657F58">
        <w:rPr>
          <w:i/>
          <w:iCs/>
          <w:lang w:val="fr-FR"/>
        </w:rPr>
        <w:t>Document informel</w:t>
      </w:r>
      <w:r>
        <w:rPr>
          <w:i/>
          <w:iCs/>
          <w:lang w:val="fr-FR"/>
        </w:rPr>
        <w:t> </w:t>
      </w:r>
      <w:r w:rsidRPr="00657F58">
        <w:rPr>
          <w:lang w:val="fr-FR"/>
        </w:rPr>
        <w:t>:</w:t>
      </w:r>
      <w:r w:rsidRPr="00657F58">
        <w:rPr>
          <w:lang w:val="fr-FR"/>
        </w:rPr>
        <w:tab/>
      </w:r>
      <w:r>
        <w:rPr>
          <w:lang w:val="fr-FR"/>
        </w:rPr>
        <w:t>INF.8 (Pays-Bas)</w:t>
      </w:r>
    </w:p>
    <w:p w14:paraId="0FC17B55" w14:textId="3E1B233C" w:rsidR="00080B3C" w:rsidRDefault="00E677A4" w:rsidP="00080B3C">
      <w:pPr>
        <w:pStyle w:val="SingleTxtG"/>
        <w:rPr>
          <w:lang w:val="fr-FR"/>
        </w:rPr>
      </w:pPr>
      <w:r>
        <w:t>52</w:t>
      </w:r>
      <w:r w:rsidR="00080B3C">
        <w:t>.</w:t>
      </w:r>
      <w:r w:rsidR="00080B3C">
        <w:tab/>
        <w:t xml:space="preserve">Le Groupe de travail est convenu que les définitions actuelles pouvaient prêter à confusion quant aux types de véhicules qu’elles couvraient et que les modifications proposées par le représentant des Pays-Bas devraient être discutées à la Réunion commune en prenant également en considération les définitions de wagons couverts et bâchés. Le représentant des Pays-Bas </w:t>
      </w:r>
      <w:r w:rsidR="00080B3C">
        <w:rPr>
          <w:lang w:val="fr-FR"/>
        </w:rPr>
        <w:t>présentera</w:t>
      </w:r>
      <w:r w:rsidR="002F3BA4">
        <w:rPr>
          <w:lang w:val="fr-FR"/>
        </w:rPr>
        <w:t>it</w:t>
      </w:r>
      <w:r w:rsidR="00080B3C">
        <w:rPr>
          <w:lang w:val="fr-FR"/>
        </w:rPr>
        <w:t xml:space="preserve"> une proposition révisée à la Réunion commune en prenant en compte les commentaires reçus.</w:t>
      </w:r>
    </w:p>
    <w:p w14:paraId="0CA52940" w14:textId="56C43E99" w:rsidR="00080B3C" w:rsidRPr="006E19C8" w:rsidRDefault="00E677A4" w:rsidP="00080B3C">
      <w:pPr>
        <w:pStyle w:val="SingleTxtG"/>
      </w:pPr>
      <w:r>
        <w:rPr>
          <w:lang w:val="fr-FR"/>
        </w:rPr>
        <w:t>53</w:t>
      </w:r>
      <w:r w:rsidR="00080B3C">
        <w:rPr>
          <w:lang w:val="fr-FR"/>
        </w:rPr>
        <w:t>.</w:t>
      </w:r>
      <w:r w:rsidR="00080B3C">
        <w:rPr>
          <w:lang w:val="fr-FR"/>
        </w:rPr>
        <w:tab/>
        <w:t>Le Groupe de travail a adopté un amendement à la version française de l’ADR visant à corriger une erreur de traduction du terme « </w:t>
      </w:r>
      <w:proofErr w:type="spellStart"/>
      <w:r w:rsidR="00080B3C">
        <w:rPr>
          <w:lang w:val="fr-FR"/>
        </w:rPr>
        <w:t>closed</w:t>
      </w:r>
      <w:proofErr w:type="spellEnd"/>
      <w:r w:rsidR="00080B3C">
        <w:rPr>
          <w:lang w:val="fr-FR"/>
        </w:rPr>
        <w:t xml:space="preserve"> </w:t>
      </w:r>
      <w:proofErr w:type="spellStart"/>
      <w:r w:rsidR="00080B3C">
        <w:rPr>
          <w:lang w:val="fr-FR"/>
        </w:rPr>
        <w:t>vehicle</w:t>
      </w:r>
      <w:proofErr w:type="spellEnd"/>
      <w:r w:rsidR="00080B3C">
        <w:rPr>
          <w:lang w:val="fr-FR"/>
        </w:rPr>
        <w:t> » au 7.1.7.2 (voir annexe</w:t>
      </w:r>
      <w:r w:rsidR="00F151A1">
        <w:rPr>
          <w:lang w:val="fr-FR"/>
        </w:rPr>
        <w:t xml:space="preserve"> II).</w:t>
      </w:r>
    </w:p>
    <w:p w14:paraId="372C26A9" w14:textId="77777777" w:rsidR="00080B3C" w:rsidRDefault="00080B3C" w:rsidP="00080B3C">
      <w:pPr>
        <w:pStyle w:val="H23G"/>
        <w:rPr>
          <w:lang w:val="fr-FR"/>
        </w:rPr>
      </w:pPr>
      <w:r>
        <w:tab/>
        <w:t>7.</w:t>
      </w:r>
      <w:r>
        <w:tab/>
      </w:r>
      <w:r w:rsidRPr="00DE5E9E">
        <w:rPr>
          <w:lang w:val="fr-FR"/>
        </w:rPr>
        <w:t>Amendement au</w:t>
      </w:r>
      <w:r>
        <w:rPr>
          <w:lang w:val="fr-FR"/>
        </w:rPr>
        <w:t>x</w:t>
      </w:r>
      <w:r w:rsidRPr="00DE5E9E">
        <w:rPr>
          <w:lang w:val="fr-FR"/>
        </w:rPr>
        <w:t xml:space="preserve"> 7.5.7.5</w:t>
      </w:r>
      <w:r>
        <w:rPr>
          <w:lang w:val="fr-FR"/>
        </w:rPr>
        <w:t xml:space="preserve"> et </w:t>
      </w:r>
      <w:r w:rsidRPr="00DE5E9E">
        <w:rPr>
          <w:lang w:val="fr-FR"/>
        </w:rPr>
        <w:t>8.3.3</w:t>
      </w:r>
    </w:p>
    <w:p w14:paraId="33D3F3E4" w14:textId="77777777" w:rsidR="00080B3C" w:rsidRPr="00657F58" w:rsidRDefault="00080B3C" w:rsidP="00080B3C">
      <w:pPr>
        <w:pStyle w:val="SingleTxtG"/>
        <w:ind w:left="3119" w:hanging="1985"/>
        <w:jc w:val="left"/>
      </w:pPr>
      <w:r w:rsidRPr="00657F58">
        <w:rPr>
          <w:i/>
          <w:iCs/>
          <w:lang w:val="fr-FR"/>
        </w:rPr>
        <w:t>Document informel</w:t>
      </w:r>
      <w:r>
        <w:rPr>
          <w:i/>
          <w:iCs/>
          <w:lang w:val="fr-FR"/>
        </w:rPr>
        <w:t> </w:t>
      </w:r>
      <w:r w:rsidRPr="00657F58">
        <w:rPr>
          <w:lang w:val="fr-FR"/>
        </w:rPr>
        <w:t>:</w:t>
      </w:r>
      <w:r w:rsidRPr="00657F58">
        <w:rPr>
          <w:lang w:val="fr-FR"/>
        </w:rPr>
        <w:tab/>
      </w:r>
      <w:r>
        <w:rPr>
          <w:lang w:val="fr-FR"/>
        </w:rPr>
        <w:t>INF.9 (Pays-Bas)</w:t>
      </w:r>
    </w:p>
    <w:p w14:paraId="65404B24" w14:textId="6105E61D" w:rsidR="00080B3C" w:rsidRPr="002C6A73" w:rsidRDefault="00E677A4" w:rsidP="00080B3C">
      <w:pPr>
        <w:pStyle w:val="SingleTxtG"/>
        <w:rPr>
          <w:lang w:val="fr-FR"/>
        </w:rPr>
      </w:pPr>
      <w:r>
        <w:rPr>
          <w:lang w:val="fr-FR"/>
        </w:rPr>
        <w:t>54</w:t>
      </w:r>
      <w:r w:rsidR="00080B3C">
        <w:rPr>
          <w:lang w:val="fr-FR"/>
        </w:rPr>
        <w:t>.</w:t>
      </w:r>
      <w:r w:rsidR="00080B3C">
        <w:rPr>
          <w:lang w:val="fr-FR"/>
        </w:rPr>
        <w:tab/>
        <w:t xml:space="preserve">Les délégations qui se sont prononcées considéraient que la proposition des Pays-Bas allait à l’encontre du principe général selon lequel </w:t>
      </w:r>
      <w:r w:rsidR="00080B3C" w:rsidRPr="002C6A73">
        <w:rPr>
          <w:lang w:val="fr-FR"/>
        </w:rPr>
        <w:t>il était interdit aux membres de l'équipage d'ouvrir un colis contenant des marchandises dangereuses pendant les opérations relevant du champ d’application de l’ADR et que les dérogations adoptées au niveau des règlement</w:t>
      </w:r>
      <w:r w:rsidR="00080B3C">
        <w:rPr>
          <w:lang w:val="fr-FR"/>
        </w:rPr>
        <w:t>s</w:t>
      </w:r>
      <w:r w:rsidR="00080B3C" w:rsidRPr="002C6A73">
        <w:rPr>
          <w:lang w:val="fr-FR"/>
        </w:rPr>
        <w:t xml:space="preserve"> nationaux pour couvrir certains cas particuliers en début et fin de transport étaient suffisantes.</w:t>
      </w:r>
      <w:r w:rsidR="00080B3C">
        <w:rPr>
          <w:lang w:val="fr-FR"/>
        </w:rPr>
        <w:t xml:space="preserve"> </w:t>
      </w:r>
      <w:r w:rsidR="00080B3C" w:rsidRPr="000D3684">
        <w:rPr>
          <w:lang w:val="fr-FR"/>
        </w:rPr>
        <w:t xml:space="preserve">Il a également été souligné que les membres de l'équipage </w:t>
      </w:r>
      <w:r w:rsidR="00AA420F">
        <w:rPr>
          <w:lang w:val="fr-FR"/>
        </w:rPr>
        <w:t>pouvaient</w:t>
      </w:r>
      <w:r w:rsidR="00080B3C" w:rsidRPr="000D3684">
        <w:rPr>
          <w:lang w:val="fr-FR"/>
        </w:rPr>
        <w:t xml:space="preserve"> être chargés de tâches incombant à d'autres </w:t>
      </w:r>
      <w:r w:rsidR="00080B3C">
        <w:rPr>
          <w:lang w:val="fr-FR"/>
        </w:rPr>
        <w:t>participants</w:t>
      </w:r>
      <w:r w:rsidR="00080B3C" w:rsidRPr="000D3684">
        <w:rPr>
          <w:lang w:val="fr-FR"/>
        </w:rPr>
        <w:t xml:space="preserve"> de la chaîne de transport.</w:t>
      </w:r>
    </w:p>
    <w:p w14:paraId="6E8F91B2" w14:textId="0A501C1C" w:rsidR="00080B3C" w:rsidRPr="002C6A73" w:rsidRDefault="00E677A4" w:rsidP="00080B3C">
      <w:pPr>
        <w:pStyle w:val="SingleTxtG"/>
        <w:rPr>
          <w:lang w:val="fr-FR"/>
        </w:rPr>
      </w:pPr>
      <w:r>
        <w:rPr>
          <w:lang w:val="fr-FR"/>
        </w:rPr>
        <w:t>55</w:t>
      </w:r>
      <w:r w:rsidR="00080B3C" w:rsidRPr="002C6A73">
        <w:rPr>
          <w:lang w:val="fr-FR"/>
        </w:rPr>
        <w:t>.</w:t>
      </w:r>
      <w:r w:rsidR="00080B3C" w:rsidRPr="002C6A73">
        <w:rPr>
          <w:lang w:val="fr-FR"/>
        </w:rPr>
        <w:tab/>
        <w:t>Le représentant des Pays-Bas a retiré sa proposition.</w:t>
      </w:r>
    </w:p>
    <w:p w14:paraId="355FA274" w14:textId="77777777" w:rsidR="00B61CCC" w:rsidRPr="002F0A7C" w:rsidRDefault="00B61CCC" w:rsidP="00B61CCC">
      <w:pPr>
        <w:pStyle w:val="H23G"/>
        <w:rPr>
          <w:lang w:val="fr-FR"/>
        </w:rPr>
      </w:pPr>
      <w:r>
        <w:tab/>
      </w:r>
      <w:r w:rsidRPr="002F0A7C">
        <w:t>8.</w:t>
      </w:r>
      <w:r w:rsidRPr="002F0A7C">
        <w:tab/>
        <w:t>Temps de retenue réel - conteneurs-citernes et citernes mobiles en transport routier uniquement</w:t>
      </w:r>
    </w:p>
    <w:p w14:paraId="30E7FA68" w14:textId="77777777" w:rsidR="00B61CCC" w:rsidRDefault="00B61CCC" w:rsidP="00B61CCC">
      <w:pPr>
        <w:pStyle w:val="SingleTxtG"/>
        <w:ind w:left="3119" w:hanging="1985"/>
        <w:jc w:val="left"/>
        <w:rPr>
          <w:lang w:val="fr-FR"/>
        </w:rPr>
      </w:pPr>
      <w:r w:rsidRPr="002F0A7C">
        <w:rPr>
          <w:i/>
          <w:iCs/>
          <w:lang w:val="fr-FR"/>
        </w:rPr>
        <w:t>Document informel </w:t>
      </w:r>
      <w:r w:rsidRPr="002F0A7C">
        <w:rPr>
          <w:lang w:val="fr-FR"/>
        </w:rPr>
        <w:t>:</w:t>
      </w:r>
      <w:r w:rsidRPr="002F0A7C">
        <w:rPr>
          <w:lang w:val="fr-FR"/>
        </w:rPr>
        <w:tab/>
        <w:t>INF.16 (</w:t>
      </w:r>
      <w:r w:rsidRPr="002F0A7C">
        <w:rPr>
          <w:bCs/>
        </w:rPr>
        <w:t>Pays-Bas</w:t>
      </w:r>
      <w:r w:rsidRPr="002F0A7C">
        <w:rPr>
          <w:lang w:val="fr-FR"/>
        </w:rPr>
        <w:t>)</w:t>
      </w:r>
    </w:p>
    <w:p w14:paraId="4E7E3F72" w14:textId="3E530A88" w:rsidR="00B61CCC" w:rsidRDefault="00E677A4" w:rsidP="00B61CCC">
      <w:pPr>
        <w:pStyle w:val="SingleTxtG"/>
        <w:rPr>
          <w:lang w:val="fr-FR"/>
        </w:rPr>
      </w:pPr>
      <w:r>
        <w:rPr>
          <w:lang w:val="fr-FR"/>
        </w:rPr>
        <w:t>56</w:t>
      </w:r>
      <w:r w:rsidR="00B61CCC">
        <w:rPr>
          <w:lang w:val="fr-FR"/>
        </w:rPr>
        <w:t>.</w:t>
      </w:r>
      <w:r w:rsidR="00B61CCC">
        <w:rPr>
          <w:lang w:val="fr-FR"/>
        </w:rPr>
        <w:tab/>
        <w:t xml:space="preserve">Le Groupe de travail a noté que le représentant des Pays-Bas présenterait à la Réunion commune, à sa session de printemps 2024, une proposition d’amendement visant à exempter les citernes mobiles et conteneurs-citernes utilisés uniquement en transport routier du calcul du temps de retenue. </w:t>
      </w:r>
    </w:p>
    <w:p w14:paraId="5C54E62F" w14:textId="0E4F23EE" w:rsidR="00B61CCC" w:rsidRPr="00636445" w:rsidRDefault="00E677A4" w:rsidP="00B61CCC">
      <w:pPr>
        <w:pStyle w:val="SingleTxtG"/>
        <w:rPr>
          <w:lang w:val="fr-FR"/>
        </w:rPr>
      </w:pPr>
      <w:r>
        <w:rPr>
          <w:lang w:val="fr-FR"/>
        </w:rPr>
        <w:t>57</w:t>
      </w:r>
      <w:r w:rsidR="00B61CCC">
        <w:rPr>
          <w:lang w:val="fr-FR"/>
        </w:rPr>
        <w:t>.</w:t>
      </w:r>
      <w:r w:rsidR="00B61CCC">
        <w:rPr>
          <w:lang w:val="fr-FR"/>
        </w:rPr>
        <w:tab/>
        <w:t>S’agissant d’un sujet spécifique au transport par route, le Groupe de travail est convenu qu’il pourrait encore adopter une proposition d’amendement pour entrée en vigueur au 1</w:t>
      </w:r>
      <w:r w:rsidR="00B61CCC" w:rsidRPr="007C7C93">
        <w:rPr>
          <w:vertAlign w:val="superscript"/>
          <w:lang w:val="fr-FR"/>
        </w:rPr>
        <w:t>er</w:t>
      </w:r>
      <w:r w:rsidR="00B61CCC">
        <w:rPr>
          <w:lang w:val="fr-FR"/>
        </w:rPr>
        <w:t xml:space="preserve"> janvier 2025 à sa prochaine session en fonction du résultat des travaux de la Réunion commune sur ce point. </w:t>
      </w:r>
    </w:p>
    <w:p w14:paraId="400F76E2" w14:textId="77777777" w:rsidR="00B61CCC" w:rsidRPr="00B8558A" w:rsidRDefault="00B61CCC" w:rsidP="00B61CCC">
      <w:pPr>
        <w:pStyle w:val="H23G"/>
        <w:rPr>
          <w:lang w:val="fr-FR"/>
        </w:rPr>
      </w:pPr>
      <w:r w:rsidRPr="00B8558A">
        <w:tab/>
        <w:t>9.</w:t>
      </w:r>
      <w:r w:rsidRPr="00B8558A">
        <w:tab/>
        <w:t>Proposition de correction à l’ADR 2023</w:t>
      </w:r>
    </w:p>
    <w:p w14:paraId="2C50A5D4" w14:textId="77777777" w:rsidR="00B61CCC" w:rsidRDefault="00B61CCC" w:rsidP="00B61CCC">
      <w:pPr>
        <w:pStyle w:val="SingleTxtG"/>
        <w:ind w:left="3119" w:hanging="1985"/>
        <w:jc w:val="left"/>
        <w:rPr>
          <w:lang w:val="fr-FR"/>
        </w:rPr>
      </w:pPr>
      <w:r w:rsidRPr="00B8558A">
        <w:rPr>
          <w:i/>
          <w:iCs/>
          <w:lang w:val="fr-FR"/>
        </w:rPr>
        <w:t>Document informel </w:t>
      </w:r>
      <w:r w:rsidRPr="00B8558A">
        <w:rPr>
          <w:lang w:val="fr-FR"/>
        </w:rPr>
        <w:t>:</w:t>
      </w:r>
      <w:r w:rsidRPr="00B8558A">
        <w:rPr>
          <w:lang w:val="fr-FR"/>
        </w:rPr>
        <w:tab/>
        <w:t>INF.21 (</w:t>
      </w:r>
      <w:r w:rsidRPr="00B8558A">
        <w:rPr>
          <w:bCs/>
        </w:rPr>
        <w:t>Hongrie</w:t>
      </w:r>
      <w:r w:rsidRPr="00B8558A">
        <w:rPr>
          <w:lang w:val="fr-FR"/>
        </w:rPr>
        <w:t>)</w:t>
      </w:r>
    </w:p>
    <w:p w14:paraId="2CF674CF" w14:textId="0D2216C7" w:rsidR="00B61CCC" w:rsidRDefault="00E677A4" w:rsidP="00B61CCC">
      <w:pPr>
        <w:pStyle w:val="SingleTxtG"/>
        <w:rPr>
          <w:lang w:val="fr-FR"/>
        </w:rPr>
      </w:pPr>
      <w:r>
        <w:rPr>
          <w:lang w:val="fr-FR"/>
        </w:rPr>
        <w:t>58</w:t>
      </w:r>
      <w:r w:rsidR="00B61CCC">
        <w:rPr>
          <w:lang w:val="fr-FR"/>
        </w:rPr>
        <w:t>.</w:t>
      </w:r>
      <w:r w:rsidR="00B61CCC">
        <w:rPr>
          <w:lang w:val="fr-FR"/>
        </w:rPr>
        <w:tab/>
      </w:r>
      <w:r w:rsidR="00B61CCC">
        <w:t>Le Groupe de travail a confirmé que l’erreur identifiée dans le document informel INF.21 pour la version anglaise de l’ADR</w:t>
      </w:r>
      <w:r w:rsidR="00B61CCC">
        <w:rPr>
          <w:lang w:val="fr-FR"/>
        </w:rPr>
        <w:t xml:space="preserve"> </w:t>
      </w:r>
      <w:r w:rsidR="00B61CCC">
        <w:t xml:space="preserve">devait être corrigée </w:t>
      </w:r>
      <w:r w:rsidR="00B61CCC">
        <w:rPr>
          <w:lang w:val="fr-FR"/>
        </w:rPr>
        <w:t>(voir annexe</w:t>
      </w:r>
      <w:r w:rsidR="00F151A1">
        <w:rPr>
          <w:lang w:val="fr-FR"/>
        </w:rPr>
        <w:t xml:space="preserve"> IV).</w:t>
      </w:r>
    </w:p>
    <w:p w14:paraId="764CCB36" w14:textId="77777777" w:rsidR="00C51392" w:rsidRPr="00B52226" w:rsidRDefault="00C51392" w:rsidP="00C51392">
      <w:pPr>
        <w:pStyle w:val="H23G"/>
        <w:rPr>
          <w:lang w:val="fr-FR"/>
        </w:rPr>
      </w:pPr>
      <w:r>
        <w:tab/>
      </w:r>
      <w:r w:rsidRPr="00B52226">
        <w:t>10.</w:t>
      </w:r>
      <w:r w:rsidRPr="00B52226">
        <w:tab/>
      </w:r>
      <w:r w:rsidRPr="00B52226">
        <w:rPr>
          <w:lang w:val="fr-FR"/>
        </w:rPr>
        <w:t>Signalisation orange d'un véhicule-citerne portant les numéros ONU 1202, 1203 et 3475</w:t>
      </w:r>
    </w:p>
    <w:p w14:paraId="7B1CDC96" w14:textId="77777777" w:rsidR="00C51392" w:rsidRPr="00657F58" w:rsidRDefault="00C51392" w:rsidP="00C51392">
      <w:pPr>
        <w:pStyle w:val="SingleTxtG"/>
        <w:ind w:left="3119" w:hanging="1985"/>
        <w:jc w:val="left"/>
      </w:pPr>
      <w:r w:rsidRPr="00B52226">
        <w:rPr>
          <w:i/>
          <w:iCs/>
          <w:lang w:val="fr-FR"/>
        </w:rPr>
        <w:t>Document informel </w:t>
      </w:r>
      <w:r w:rsidRPr="00B52226">
        <w:rPr>
          <w:lang w:val="fr-FR"/>
        </w:rPr>
        <w:t>:</w:t>
      </w:r>
      <w:r w:rsidRPr="00B52226">
        <w:rPr>
          <w:lang w:val="fr-FR"/>
        </w:rPr>
        <w:tab/>
        <w:t>INF.11 (</w:t>
      </w:r>
      <w:proofErr w:type="spellStart"/>
      <w:r w:rsidRPr="00B52226">
        <w:rPr>
          <w:bCs/>
        </w:rPr>
        <w:t>FuelsEurope</w:t>
      </w:r>
      <w:proofErr w:type="spellEnd"/>
      <w:r w:rsidRPr="00B52226">
        <w:rPr>
          <w:lang w:val="fr-FR"/>
        </w:rPr>
        <w:t>)</w:t>
      </w:r>
    </w:p>
    <w:p w14:paraId="1D475E01" w14:textId="104F952B" w:rsidR="00C51392" w:rsidRDefault="00E677A4" w:rsidP="00C51392">
      <w:pPr>
        <w:pStyle w:val="SingleTxtG"/>
        <w:rPr>
          <w:lang w:val="fr-FR"/>
        </w:rPr>
      </w:pPr>
      <w:r>
        <w:rPr>
          <w:lang w:val="fr-FR"/>
        </w:rPr>
        <w:t>59</w:t>
      </w:r>
      <w:r w:rsidR="00C51392">
        <w:rPr>
          <w:lang w:val="fr-FR"/>
        </w:rPr>
        <w:t>.</w:t>
      </w:r>
      <w:r w:rsidR="00C51392">
        <w:rPr>
          <w:lang w:val="fr-FR"/>
        </w:rPr>
        <w:tab/>
        <w:t xml:space="preserve">Plusieurs délégations souhaitaient pouvoir consulter leurs services de sécurité incendie et services de secours avant de se prononcer. Le représentant de </w:t>
      </w:r>
      <w:proofErr w:type="spellStart"/>
      <w:r w:rsidR="00C51392">
        <w:rPr>
          <w:lang w:val="fr-FR"/>
        </w:rPr>
        <w:t>FuelsEurope</w:t>
      </w:r>
      <w:proofErr w:type="spellEnd"/>
      <w:r w:rsidR="00C51392">
        <w:rPr>
          <w:lang w:val="fr-FR"/>
        </w:rPr>
        <w:t xml:space="preserve"> a indiqué qu’il présenterait une proposition révisée prenant en compte les commentaires reçus, à la prochaine session.</w:t>
      </w:r>
    </w:p>
    <w:p w14:paraId="11902F1C" w14:textId="77777777" w:rsidR="003E4B17" w:rsidRPr="008C5EB0" w:rsidRDefault="003E4B17" w:rsidP="003E4B17">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lastRenderedPageBreak/>
        <w:tab/>
      </w:r>
      <w:r w:rsidRPr="008C5EB0">
        <w:rPr>
          <w:b/>
          <w:sz w:val="28"/>
          <w:lang w:eastAsia="en-US"/>
        </w:rPr>
        <w:t>VII.</w:t>
      </w:r>
      <w:r w:rsidRPr="008C5EB0">
        <w:rPr>
          <w:b/>
          <w:sz w:val="28"/>
          <w:lang w:eastAsia="en-US"/>
        </w:rPr>
        <w:tab/>
        <w:t>Interprétation de l’ADR (point 6 de l’ordre du jour)</w:t>
      </w:r>
    </w:p>
    <w:p w14:paraId="636BF4C0" w14:textId="77777777" w:rsidR="003E4B17" w:rsidRPr="008C5EB0" w:rsidRDefault="003E4B17" w:rsidP="003E4B17">
      <w:pPr>
        <w:pStyle w:val="H23G"/>
        <w:rPr>
          <w:lang w:val="fr-FR"/>
        </w:rPr>
      </w:pPr>
      <w:r w:rsidRPr="008C5EB0">
        <w:tab/>
        <w:t>1.</w:t>
      </w:r>
      <w:r w:rsidRPr="008C5EB0">
        <w:tab/>
      </w:r>
      <w:r w:rsidRPr="008C5EB0">
        <w:rPr>
          <w:lang w:val="fr-FR"/>
        </w:rPr>
        <w:t>Champ d’application de l’ADR</w:t>
      </w:r>
    </w:p>
    <w:p w14:paraId="3F9950B4" w14:textId="47316AE7" w:rsidR="003E4B17" w:rsidRPr="008C5EB0" w:rsidRDefault="003E4B17" w:rsidP="003E4B17">
      <w:pPr>
        <w:pStyle w:val="SingleTxtG"/>
        <w:ind w:left="3119" w:hanging="1985"/>
        <w:jc w:val="left"/>
      </w:pPr>
      <w:r w:rsidRPr="008C5EB0">
        <w:rPr>
          <w:i/>
          <w:iCs/>
          <w:lang w:val="fr-FR"/>
        </w:rPr>
        <w:t>Document </w:t>
      </w:r>
      <w:r w:rsidRPr="008C5EB0">
        <w:rPr>
          <w:lang w:val="fr-FR"/>
        </w:rPr>
        <w:t>:</w:t>
      </w:r>
      <w:r w:rsidRPr="008C5EB0">
        <w:rPr>
          <w:lang w:val="fr-FR"/>
        </w:rPr>
        <w:tab/>
        <w:t>ECE/TRANS/WP.15/2023/5/Rev.1 (</w:t>
      </w:r>
      <w:r w:rsidR="006F5ACC">
        <w:rPr>
          <w:lang w:val="fr-FR"/>
        </w:rPr>
        <w:t>S</w:t>
      </w:r>
      <w:r w:rsidR="006F5ACC" w:rsidRPr="008C5EB0">
        <w:rPr>
          <w:lang w:val="fr-FR"/>
        </w:rPr>
        <w:t>ecrétariat</w:t>
      </w:r>
      <w:r w:rsidRPr="008C5EB0">
        <w:rPr>
          <w:lang w:val="fr-FR"/>
        </w:rPr>
        <w:t>)</w:t>
      </w:r>
    </w:p>
    <w:p w14:paraId="77B9D2E4" w14:textId="4DDEF0D7" w:rsidR="003E4B17" w:rsidRDefault="00E677A4" w:rsidP="003E4B17">
      <w:pPr>
        <w:pStyle w:val="SingleTxtG"/>
        <w:rPr>
          <w:lang w:val="fr-FR"/>
        </w:rPr>
      </w:pPr>
      <w:r>
        <w:rPr>
          <w:lang w:val="fr-FR"/>
        </w:rPr>
        <w:t>60</w:t>
      </w:r>
      <w:r w:rsidR="003E4B17">
        <w:rPr>
          <w:lang w:val="fr-FR"/>
        </w:rPr>
        <w:t>.</w:t>
      </w:r>
      <w:r w:rsidR="003E4B17">
        <w:rPr>
          <w:lang w:val="fr-FR"/>
        </w:rPr>
        <w:tab/>
        <w:t>Le</w:t>
      </w:r>
      <w:r w:rsidR="003E4B17" w:rsidRPr="008C5EB0">
        <w:rPr>
          <w:lang w:val="fr-FR"/>
        </w:rPr>
        <w:t xml:space="preserve"> Groupe de travail </w:t>
      </w:r>
      <w:r w:rsidR="003E4B17">
        <w:rPr>
          <w:lang w:val="fr-FR"/>
        </w:rPr>
        <w:t>a</w:t>
      </w:r>
      <w:r w:rsidR="003E4B17" w:rsidRPr="008C5EB0">
        <w:rPr>
          <w:lang w:val="fr-FR"/>
        </w:rPr>
        <w:t xml:space="preserve"> confirm</w:t>
      </w:r>
      <w:r w:rsidR="003E4B17">
        <w:rPr>
          <w:lang w:val="fr-FR"/>
        </w:rPr>
        <w:t xml:space="preserve">é les interprétations et informations reprises dans le document </w:t>
      </w:r>
      <w:r w:rsidR="003E4B17" w:rsidRPr="008C5EB0">
        <w:rPr>
          <w:lang w:val="fr-FR"/>
        </w:rPr>
        <w:t>ECE/TRANS/WP.15/2023/5/Rev.1</w:t>
      </w:r>
      <w:r w:rsidR="003E4B17">
        <w:rPr>
          <w:lang w:val="fr-FR"/>
        </w:rPr>
        <w:t>.</w:t>
      </w:r>
    </w:p>
    <w:p w14:paraId="2EDC7C4D" w14:textId="7CCA4889" w:rsidR="003E4B17" w:rsidRDefault="00E677A4" w:rsidP="003E4B17">
      <w:pPr>
        <w:pStyle w:val="SingleTxtG"/>
        <w:rPr>
          <w:lang w:val="fr-FR"/>
        </w:rPr>
      </w:pPr>
      <w:r>
        <w:rPr>
          <w:lang w:val="fr-FR"/>
        </w:rPr>
        <w:t>61</w:t>
      </w:r>
      <w:r w:rsidR="003E4B17">
        <w:rPr>
          <w:lang w:val="fr-FR"/>
        </w:rPr>
        <w:t>.</w:t>
      </w:r>
      <w:r w:rsidR="003E4B17">
        <w:rPr>
          <w:lang w:val="fr-FR"/>
        </w:rPr>
        <w:tab/>
        <w:t xml:space="preserve">Plusieurs délégations ont présenté comment les transports de marchandises dangereuses par </w:t>
      </w:r>
      <w:r w:rsidR="003E4B17" w:rsidRPr="00701A3D">
        <w:rPr>
          <w:rFonts w:eastAsiaTheme="minorHAnsi"/>
          <w:lang w:val="fr-FR" w:eastAsia="en-US"/>
        </w:rPr>
        <w:t>cycles</w:t>
      </w:r>
      <w:r w:rsidR="003E4B17">
        <w:rPr>
          <w:rFonts w:eastAsiaTheme="minorHAnsi"/>
          <w:lang w:val="fr-FR" w:eastAsia="en-US"/>
        </w:rPr>
        <w:t xml:space="preserve"> </w:t>
      </w:r>
      <w:r w:rsidR="003E4B17" w:rsidRPr="00701A3D">
        <w:rPr>
          <w:rFonts w:eastAsiaTheme="minorHAnsi"/>
          <w:lang w:val="fr-FR" w:eastAsia="en-US"/>
        </w:rPr>
        <w:t>et</w:t>
      </w:r>
      <w:r w:rsidR="003E4B17">
        <w:rPr>
          <w:rFonts w:eastAsiaTheme="minorHAnsi"/>
          <w:lang w:val="fr-FR" w:eastAsia="en-US"/>
        </w:rPr>
        <w:t xml:space="preserve"> véhicules </w:t>
      </w:r>
      <w:r w:rsidR="003E4B17" w:rsidRPr="00701A3D">
        <w:rPr>
          <w:rFonts w:eastAsiaTheme="minorHAnsi"/>
          <w:lang w:val="fr-FR" w:eastAsia="en-US"/>
        </w:rPr>
        <w:t xml:space="preserve">non couverts par l’ADR </w:t>
      </w:r>
      <w:r w:rsidR="003E4B17">
        <w:rPr>
          <w:rFonts w:eastAsiaTheme="minorHAnsi"/>
          <w:lang w:val="fr-FR" w:eastAsia="en-US"/>
        </w:rPr>
        <w:t>étaient</w:t>
      </w:r>
      <w:r w:rsidR="003E4B17" w:rsidRPr="00701A3D">
        <w:rPr>
          <w:rFonts w:eastAsiaTheme="minorHAnsi"/>
          <w:lang w:val="fr-FR" w:eastAsia="en-US"/>
        </w:rPr>
        <w:t xml:space="preserve"> réglementé</w:t>
      </w:r>
      <w:r w:rsidR="003E4B17">
        <w:rPr>
          <w:rFonts w:eastAsiaTheme="minorHAnsi"/>
          <w:lang w:val="fr-FR" w:eastAsia="en-US"/>
        </w:rPr>
        <w:t>s</w:t>
      </w:r>
      <w:r w:rsidR="003E4B17" w:rsidRPr="00701A3D">
        <w:rPr>
          <w:rFonts w:eastAsiaTheme="minorHAnsi"/>
          <w:lang w:val="fr-FR" w:eastAsia="en-US"/>
        </w:rPr>
        <w:t xml:space="preserve"> dans leur pays</w:t>
      </w:r>
      <w:r w:rsidR="003E4B17">
        <w:rPr>
          <w:rFonts w:eastAsiaTheme="minorHAnsi"/>
          <w:lang w:val="fr-FR" w:eastAsia="en-US"/>
        </w:rPr>
        <w:t xml:space="preserve"> le cas échéant</w:t>
      </w:r>
      <w:r w:rsidR="003E4B17" w:rsidRPr="00701A3D">
        <w:rPr>
          <w:rFonts w:eastAsiaTheme="minorHAnsi"/>
          <w:lang w:val="fr-FR" w:eastAsia="en-US"/>
        </w:rPr>
        <w:t xml:space="preserve"> et de quelle manière.</w:t>
      </w:r>
      <w:r w:rsidR="003E4B17">
        <w:rPr>
          <w:rFonts w:eastAsiaTheme="minorHAnsi"/>
          <w:lang w:val="fr-FR" w:eastAsia="en-US"/>
        </w:rPr>
        <w:t xml:space="preserve"> Le Groupe de travail a invité les délégations qui ne l’avaient pas encore fait à transmettre ces informations par écrit au secrétariat avec une référence aux textes nationaux applicables le cas échéant.</w:t>
      </w:r>
    </w:p>
    <w:p w14:paraId="5B995908" w14:textId="774DA734" w:rsidR="003E4B17" w:rsidRDefault="00E677A4" w:rsidP="003E4B17">
      <w:pPr>
        <w:pStyle w:val="SingleTxtG"/>
      </w:pPr>
      <w:r>
        <w:rPr>
          <w:lang w:val="fr-FR"/>
        </w:rPr>
        <w:t>62</w:t>
      </w:r>
      <w:r w:rsidR="003E4B17">
        <w:rPr>
          <w:lang w:val="fr-FR"/>
        </w:rPr>
        <w:t>.</w:t>
      </w:r>
      <w:r w:rsidR="003E4B17">
        <w:rPr>
          <w:lang w:val="fr-FR"/>
        </w:rPr>
        <w:tab/>
        <w:t>Le Groupe de travail a noté que des discussions similaires s’étaient tenues à l’</w:t>
      </w:r>
      <w:r w:rsidR="003E4B17" w:rsidRPr="004E6F50">
        <w:rPr>
          <w:lang w:val="fr-FR"/>
        </w:rPr>
        <w:t>Organisation de l</w:t>
      </w:r>
      <w:r w:rsidR="003E4B17">
        <w:rPr>
          <w:lang w:val="fr-FR"/>
        </w:rPr>
        <w:t>’</w:t>
      </w:r>
      <w:r w:rsidR="003E4B17" w:rsidRPr="004E6F50">
        <w:rPr>
          <w:lang w:val="fr-FR"/>
        </w:rPr>
        <w:t>Aviation Civile Internationale</w:t>
      </w:r>
      <w:r w:rsidR="003E4B17">
        <w:rPr>
          <w:lang w:val="fr-FR"/>
        </w:rPr>
        <w:t xml:space="preserve"> (OACI) en ce qui concerne les livraisons par aéronefs téléguidés (drones) : l</w:t>
      </w:r>
      <w:r w:rsidR="003E4B17" w:rsidRPr="008C5EB0">
        <w:rPr>
          <w:lang w:val="fr-FR"/>
        </w:rPr>
        <w:t>'OACI a</w:t>
      </w:r>
      <w:r w:rsidR="003E4B17">
        <w:rPr>
          <w:lang w:val="fr-FR"/>
        </w:rPr>
        <w:t>vait</w:t>
      </w:r>
      <w:r w:rsidR="003E4B17" w:rsidRPr="008C5EB0">
        <w:rPr>
          <w:lang w:val="fr-FR"/>
        </w:rPr>
        <w:t xml:space="preserve"> publié en décembre 2020 un nouveau règlement type pour aider les pays à établir et à affiner leurs lignes directrices nationales pour l'exploitation des systèmes d'aéronefs sans pilote (UAS)</w:t>
      </w:r>
      <w:r w:rsidR="003E4B17">
        <w:rPr>
          <w:lang w:val="fr-FR"/>
        </w:rPr>
        <w:t xml:space="preserve"> et </w:t>
      </w:r>
      <w:r w:rsidR="003E4B17" w:rsidRPr="008C5EB0">
        <w:rPr>
          <w:lang w:val="fr-FR"/>
        </w:rPr>
        <w:t xml:space="preserve">élaboré une circulaire consultative (AC) </w:t>
      </w:r>
      <w:r w:rsidR="003E4B17">
        <w:rPr>
          <w:lang w:val="fr-FR"/>
        </w:rPr>
        <w:t>visant à fournir</w:t>
      </w:r>
      <w:r w:rsidR="003E4B17" w:rsidRPr="008C5EB0">
        <w:t xml:space="preserve"> des conseils </w:t>
      </w:r>
      <w:r w:rsidR="003E4B17">
        <w:t xml:space="preserve">à ses États membres </w:t>
      </w:r>
      <w:r w:rsidR="003E4B17" w:rsidRPr="008C5EB0">
        <w:t>pour le transport de marchandises dangereuses par UAS. Ce document comprend des informations sur l'emballage et le marquage.</w:t>
      </w:r>
      <w:r w:rsidR="003E4B17">
        <w:rPr>
          <w:rStyle w:val="Appelnotedebasdep"/>
        </w:rPr>
        <w:footnoteReference w:id="2"/>
      </w:r>
    </w:p>
    <w:p w14:paraId="24F9778D" w14:textId="676843EE" w:rsidR="003E4B17" w:rsidRPr="008C5EB0" w:rsidRDefault="00E677A4" w:rsidP="003E4B17">
      <w:pPr>
        <w:pStyle w:val="SingleTxtG"/>
      </w:pPr>
      <w:r>
        <w:t>63</w:t>
      </w:r>
      <w:r w:rsidR="003E4B17">
        <w:t>.</w:t>
      </w:r>
      <w:r w:rsidR="003E4B17">
        <w:tab/>
        <w:t xml:space="preserve">Le Groupe de travail est convenu de mener des travaux pour </w:t>
      </w:r>
      <w:r w:rsidR="003E4B17">
        <w:rPr>
          <w:lang w:val="fr-FR"/>
        </w:rPr>
        <w:t xml:space="preserve">élaborer des dispositions concernant les transports de marchandises dangereuses par route avec des véhicules ou cycles non réglementés actuellement dans l’ADR pour faciliter une harmonisation des prescriptions applicables à ces transports. Cette décision est en accord avec sa proposition de mandat révisé </w:t>
      </w:r>
      <w:r w:rsidR="003E4B17" w:rsidRPr="000B5B50">
        <w:rPr>
          <w:lang w:val="fr-FR"/>
        </w:rPr>
        <w:t xml:space="preserve">(voir paragraphe </w:t>
      </w:r>
      <w:r w:rsidR="002F5436" w:rsidRPr="000B5B50">
        <w:rPr>
          <w:lang w:val="fr-FR"/>
        </w:rPr>
        <w:t>8).</w:t>
      </w:r>
    </w:p>
    <w:p w14:paraId="116C286E" w14:textId="77777777" w:rsidR="003E4B17" w:rsidRPr="008C5EB0" w:rsidRDefault="003E4B17" w:rsidP="003E4B17">
      <w:pPr>
        <w:pStyle w:val="H23G"/>
        <w:rPr>
          <w:lang w:val="fr-FR"/>
        </w:rPr>
      </w:pPr>
      <w:r w:rsidRPr="008C5EB0">
        <w:tab/>
        <w:t>2.</w:t>
      </w:r>
      <w:r w:rsidRPr="008C5EB0">
        <w:tab/>
      </w:r>
      <w:r w:rsidRPr="008C5EB0">
        <w:rPr>
          <w:lang w:val="fr-FR"/>
        </w:rPr>
        <w:t>Interprétation du 4.1.1.15</w:t>
      </w:r>
    </w:p>
    <w:p w14:paraId="7D57AD05" w14:textId="77777777" w:rsidR="003E4B17" w:rsidRPr="00CF5A77" w:rsidRDefault="003E4B17" w:rsidP="003E4B17">
      <w:pPr>
        <w:pStyle w:val="SingleTxtG"/>
        <w:ind w:left="3119" w:hanging="1985"/>
        <w:jc w:val="left"/>
        <w:rPr>
          <w:lang w:val="fr-FR"/>
        </w:rPr>
      </w:pPr>
      <w:r w:rsidRPr="008C5EB0">
        <w:rPr>
          <w:i/>
          <w:iCs/>
          <w:lang w:val="fr-FR"/>
        </w:rPr>
        <w:t>Document informel </w:t>
      </w:r>
      <w:r w:rsidRPr="008C5EB0">
        <w:rPr>
          <w:lang w:val="fr-FR"/>
        </w:rPr>
        <w:t>:</w:t>
      </w:r>
      <w:r w:rsidRPr="008C5EB0">
        <w:rPr>
          <w:lang w:val="fr-FR"/>
        </w:rPr>
        <w:tab/>
        <w:t>INF.20 (</w:t>
      </w:r>
      <w:r w:rsidRPr="008C5EB0">
        <w:rPr>
          <w:bCs/>
        </w:rPr>
        <w:t>Hongrie</w:t>
      </w:r>
      <w:r w:rsidRPr="008C5EB0">
        <w:rPr>
          <w:lang w:val="fr-FR"/>
        </w:rPr>
        <w:t>)</w:t>
      </w:r>
    </w:p>
    <w:p w14:paraId="27958756" w14:textId="2602DF7F" w:rsidR="003E4B17" w:rsidRDefault="00E677A4" w:rsidP="003E4B17">
      <w:pPr>
        <w:pStyle w:val="SingleTxtG"/>
      </w:pPr>
      <w:r>
        <w:t>64</w:t>
      </w:r>
      <w:r w:rsidR="003E4B17">
        <w:t>.</w:t>
      </w:r>
      <w:r w:rsidR="003E4B17">
        <w:tab/>
        <w:t>Les délégations qui se sont prononcées ont confirmé qu’une durée d’utilisation inférieure à cinq ans pouvait être prévue dans les agréments de type des fûts en plastique, bidons en plastique, GRV en plastique rigide et GRV composites avec récipient intérieur en plastique lorsque cette durée d’utilisation plus courte était prescrite dans l’ADR par exemple par les instructions d’emballage.</w:t>
      </w:r>
    </w:p>
    <w:p w14:paraId="2E75C516" w14:textId="5744E367" w:rsidR="003E4B17" w:rsidRDefault="00E677A4" w:rsidP="003E4B17">
      <w:pPr>
        <w:pStyle w:val="SingleTxtG"/>
        <w:rPr>
          <w:rFonts w:ascii="TimesNewRomanPSMT" w:hAnsi="TimesNewRomanPSMT" w:cs="TimesNewRomanPSMT"/>
        </w:rPr>
      </w:pPr>
      <w:r>
        <w:t>65</w:t>
      </w:r>
      <w:r w:rsidR="003E4B17">
        <w:t>.</w:t>
      </w:r>
      <w:r w:rsidR="003E4B17">
        <w:tab/>
        <w:t xml:space="preserve">Certaines délégations ont confirmé que des dérogations pour une utilisation supérieure à cinq ans </w:t>
      </w:r>
      <w:r w:rsidR="003E4B17">
        <w:rPr>
          <w:rFonts w:ascii="TimesNewRomanPSMT" w:hAnsi="TimesNewRomanPSMT" w:cs="TimesNewRomanPSMT"/>
        </w:rPr>
        <w:t xml:space="preserve">suivant le 4.1.1.15 </w:t>
      </w:r>
      <w:r w:rsidR="003E4B17">
        <w:t xml:space="preserve">avaient été accordées par </w:t>
      </w:r>
      <w:r w:rsidR="003E4B17">
        <w:rPr>
          <w:rFonts w:ascii="TimesNewRomanPSMT" w:hAnsi="TimesNewRomanPSMT" w:cs="TimesNewRomanPSMT"/>
        </w:rPr>
        <w:t>l'autorité compétente de leur pays ayant délivré les agréments de type, sous certaines conditions. D’autres délégations ont indiqué qu’elles n’accordaient pas de telles dérogations.</w:t>
      </w:r>
    </w:p>
    <w:p w14:paraId="7716A479" w14:textId="08D4BF36" w:rsidR="003E4B17" w:rsidRDefault="00E677A4" w:rsidP="003E4B17">
      <w:pPr>
        <w:pStyle w:val="SingleTxtG"/>
        <w:rPr>
          <w:rFonts w:ascii="TimesNewRomanPSMT" w:hAnsi="TimesNewRomanPSMT" w:cs="TimesNewRomanPSMT"/>
        </w:rPr>
      </w:pPr>
      <w:r>
        <w:rPr>
          <w:rFonts w:ascii="TimesNewRomanPSMT" w:hAnsi="TimesNewRomanPSMT" w:cs="TimesNewRomanPSMT"/>
        </w:rPr>
        <w:t>66</w:t>
      </w:r>
      <w:r w:rsidR="003E4B17">
        <w:rPr>
          <w:rFonts w:ascii="TimesNewRomanPSMT" w:hAnsi="TimesNewRomanPSMT" w:cs="TimesNewRomanPSMT"/>
        </w:rPr>
        <w:t>.</w:t>
      </w:r>
      <w:r w:rsidR="003E4B17">
        <w:rPr>
          <w:rFonts w:ascii="TimesNewRomanPSMT" w:hAnsi="TimesNewRomanPSMT" w:cs="TimesNewRomanPSMT"/>
        </w:rPr>
        <w:tab/>
        <w:t xml:space="preserve">La question s’est posée de savoir si ces dérogations étaient du ressort de l’autorité compétente du pays où l’agrément de type avait été délivré ou de celle du pays d’utilisation. La représentante de la Suisse a rappelé que ce point serait discuté par le </w:t>
      </w:r>
      <w:r w:rsidR="003E4B17" w:rsidRPr="00AE11F7">
        <w:rPr>
          <w:rFonts w:ascii="TimesNewRomanPSMT" w:hAnsi="TimesNewRomanPSMT" w:cs="TimesNewRomanPSMT"/>
        </w:rPr>
        <w:t>groupe de travail informel des références aux autorités compétentes</w:t>
      </w:r>
      <w:r w:rsidR="003E4B17">
        <w:rPr>
          <w:rFonts w:ascii="TimesNewRomanPSMT" w:hAnsi="TimesNewRomanPSMT" w:cs="TimesNewRomanPSMT"/>
        </w:rPr>
        <w:t xml:space="preserve"> de la Réunion commune. Elle a invité les délégations qui souhaiteraient participer aux travaux de ce groupe informel à la contacter. </w:t>
      </w:r>
    </w:p>
    <w:p w14:paraId="5D72CF48" w14:textId="77777777" w:rsidR="00946B89" w:rsidRPr="00FD151F" w:rsidRDefault="00946B89" w:rsidP="00946B89">
      <w:pPr>
        <w:pStyle w:val="H23G"/>
        <w:rPr>
          <w:lang w:val="fr-FR"/>
        </w:rPr>
      </w:pPr>
      <w:r w:rsidRPr="00FD151F">
        <w:rPr>
          <w:lang w:val="fr-FR"/>
        </w:rPr>
        <w:tab/>
        <w:t>3.</w:t>
      </w:r>
      <w:r w:rsidRPr="00FD151F">
        <w:rPr>
          <w:lang w:val="fr-FR"/>
        </w:rPr>
        <w:tab/>
        <w:t>Document de transport et informations connexes - marchandises dans chaque unité de transport</w:t>
      </w:r>
    </w:p>
    <w:p w14:paraId="1886F186" w14:textId="77777777" w:rsidR="00946B89" w:rsidRPr="00FD151F" w:rsidRDefault="00946B89" w:rsidP="00946B89">
      <w:pPr>
        <w:pStyle w:val="SingleTxtG"/>
        <w:ind w:left="3119" w:hanging="1985"/>
        <w:jc w:val="left"/>
        <w:rPr>
          <w:lang w:val="fr-FR"/>
        </w:rPr>
      </w:pPr>
      <w:r w:rsidRPr="00FD151F">
        <w:rPr>
          <w:i/>
          <w:iCs/>
          <w:lang w:val="fr-FR"/>
        </w:rPr>
        <w:t>Document informel </w:t>
      </w:r>
      <w:r w:rsidRPr="00FD151F">
        <w:rPr>
          <w:lang w:val="fr-FR"/>
        </w:rPr>
        <w:t>:</w:t>
      </w:r>
      <w:r w:rsidRPr="00FD151F">
        <w:rPr>
          <w:lang w:val="fr-FR"/>
        </w:rPr>
        <w:tab/>
        <w:t>INF.23 (</w:t>
      </w:r>
      <w:r w:rsidRPr="00FD151F">
        <w:rPr>
          <w:bCs/>
          <w:lang w:val="fr-FR"/>
        </w:rPr>
        <w:t>Finlande</w:t>
      </w:r>
      <w:r w:rsidRPr="00FD151F">
        <w:rPr>
          <w:lang w:val="fr-FR"/>
        </w:rPr>
        <w:t>)</w:t>
      </w:r>
    </w:p>
    <w:p w14:paraId="0BEC5888" w14:textId="64B83775" w:rsidR="00946B89" w:rsidRPr="00FD151F" w:rsidRDefault="00E677A4" w:rsidP="00946B89">
      <w:pPr>
        <w:pStyle w:val="SingleTxtG"/>
        <w:rPr>
          <w:lang w:val="fr-FR"/>
        </w:rPr>
      </w:pPr>
      <w:r>
        <w:rPr>
          <w:lang w:val="fr-FR"/>
        </w:rPr>
        <w:t>67</w:t>
      </w:r>
      <w:r w:rsidR="00946B89" w:rsidRPr="00FD151F">
        <w:rPr>
          <w:lang w:val="fr-FR"/>
        </w:rPr>
        <w:t>.</w:t>
      </w:r>
      <w:r w:rsidR="00946B89" w:rsidRPr="00FD151F">
        <w:rPr>
          <w:lang w:val="fr-FR"/>
        </w:rPr>
        <w:tab/>
        <w:t xml:space="preserve">Le Groupe de travail a noté que les dispositions du 5.4.1.4.2 se trouvaient déjà dans les éditions de l’ADR datant d’avant la restructuration, au marginal 2002 (4), sous « Définitions et prescriptions générales ». </w:t>
      </w:r>
    </w:p>
    <w:p w14:paraId="050D0B63" w14:textId="0A34703A" w:rsidR="00946B89" w:rsidRPr="00FD151F" w:rsidRDefault="00E677A4" w:rsidP="00946B89">
      <w:pPr>
        <w:pStyle w:val="SingleTxtG"/>
        <w:rPr>
          <w:lang w:val="fr-FR"/>
        </w:rPr>
      </w:pPr>
      <w:r>
        <w:rPr>
          <w:lang w:val="fr-FR"/>
        </w:rPr>
        <w:t>68</w:t>
      </w:r>
      <w:r w:rsidR="00946B89" w:rsidRPr="00FD151F">
        <w:rPr>
          <w:lang w:val="fr-FR"/>
        </w:rPr>
        <w:t>.</w:t>
      </w:r>
      <w:r w:rsidR="00946B89" w:rsidRPr="00FD151F">
        <w:rPr>
          <w:lang w:val="fr-FR"/>
        </w:rPr>
        <w:tab/>
        <w:t xml:space="preserve">Le Groupe de travail est convenu qu’il serait opportun de vérifier si les dispositions de la première phrase du 5.4.1.4.2 étaient toujours utilisées et dans quels cas. Il a noté qu’elles </w:t>
      </w:r>
      <w:r w:rsidR="00946B89" w:rsidRPr="00FD151F">
        <w:rPr>
          <w:lang w:val="fr-FR"/>
        </w:rPr>
        <w:lastRenderedPageBreak/>
        <w:t>pouvaient être appropriées dans le cas d’unités de transport circulant en convois</w:t>
      </w:r>
      <w:r w:rsidR="00946B89">
        <w:rPr>
          <w:lang w:val="fr-FR"/>
        </w:rPr>
        <w:t>, notamment pour les transports d’explosifs</w:t>
      </w:r>
      <w:r w:rsidR="00946B89" w:rsidRPr="00FD151F">
        <w:rPr>
          <w:lang w:val="fr-FR"/>
        </w:rPr>
        <w:t xml:space="preserve">. </w:t>
      </w:r>
    </w:p>
    <w:p w14:paraId="607A8E5C" w14:textId="181B60CA" w:rsidR="00946B89" w:rsidRPr="00FD151F" w:rsidRDefault="00E677A4" w:rsidP="00946B89">
      <w:pPr>
        <w:pStyle w:val="SingleTxtG"/>
        <w:rPr>
          <w:lang w:val="fr-FR"/>
        </w:rPr>
      </w:pPr>
      <w:r>
        <w:rPr>
          <w:lang w:val="fr-FR"/>
        </w:rPr>
        <w:t>69</w:t>
      </w:r>
      <w:r w:rsidR="00946B89" w:rsidRPr="00FD151F">
        <w:rPr>
          <w:lang w:val="fr-FR"/>
        </w:rPr>
        <w:t>.</w:t>
      </w:r>
      <w:r w:rsidR="00946B89" w:rsidRPr="00FD151F">
        <w:rPr>
          <w:lang w:val="fr-FR"/>
        </w:rPr>
        <w:tab/>
        <w:t>La représentante de la Finlande présentera</w:t>
      </w:r>
      <w:r w:rsidR="002F3BA4">
        <w:rPr>
          <w:lang w:val="fr-FR"/>
        </w:rPr>
        <w:t>it</w:t>
      </w:r>
      <w:r w:rsidR="00946B89" w:rsidRPr="00FD151F">
        <w:rPr>
          <w:lang w:val="fr-FR"/>
        </w:rPr>
        <w:t xml:space="preserve"> un document officiel sur ce sujet à une prochaine session</w:t>
      </w:r>
      <w:r w:rsidR="00946B89">
        <w:rPr>
          <w:lang w:val="fr-FR"/>
        </w:rPr>
        <w:t>. L</w:t>
      </w:r>
      <w:r w:rsidR="00946B89" w:rsidRPr="00FD151F">
        <w:rPr>
          <w:lang w:val="fr-FR"/>
        </w:rPr>
        <w:t xml:space="preserve">e représentant de l’IRU a indiqué qu’il se renseignerait sur l’application de ces dispositions </w:t>
      </w:r>
      <w:r w:rsidR="00946B89">
        <w:rPr>
          <w:lang w:val="fr-FR"/>
        </w:rPr>
        <w:t>parmi</w:t>
      </w:r>
      <w:r w:rsidR="00946B89" w:rsidRPr="00FD151F">
        <w:rPr>
          <w:lang w:val="fr-FR"/>
        </w:rPr>
        <w:t xml:space="preserve"> ses membres. </w:t>
      </w:r>
    </w:p>
    <w:p w14:paraId="58B43E81" w14:textId="77777777" w:rsidR="00946B89" w:rsidRPr="00FD151F" w:rsidRDefault="00946B89" w:rsidP="00946B89">
      <w:pPr>
        <w:pStyle w:val="H23G"/>
        <w:rPr>
          <w:lang w:val="fr-FR"/>
        </w:rPr>
      </w:pPr>
      <w:r w:rsidRPr="00FD151F">
        <w:rPr>
          <w:lang w:val="fr-FR"/>
        </w:rPr>
        <w:tab/>
        <w:t>4.</w:t>
      </w:r>
      <w:r w:rsidRPr="00FD151F">
        <w:rPr>
          <w:lang w:val="fr-FR"/>
        </w:rPr>
        <w:tab/>
        <w:t>Certificat d’agrément des véhicules</w:t>
      </w:r>
    </w:p>
    <w:p w14:paraId="15CEC7F6" w14:textId="77777777" w:rsidR="00946B89" w:rsidRPr="00FD151F" w:rsidRDefault="00946B89" w:rsidP="00946B89">
      <w:pPr>
        <w:pStyle w:val="SingleTxtG"/>
        <w:ind w:left="3119" w:hanging="1985"/>
        <w:jc w:val="left"/>
        <w:rPr>
          <w:lang w:val="fr-FR"/>
        </w:rPr>
      </w:pPr>
      <w:r w:rsidRPr="00FD151F">
        <w:rPr>
          <w:i/>
          <w:iCs/>
          <w:lang w:val="fr-FR"/>
        </w:rPr>
        <w:t>Document informel </w:t>
      </w:r>
      <w:r w:rsidRPr="00FD151F">
        <w:rPr>
          <w:lang w:val="fr-FR"/>
        </w:rPr>
        <w:t>:</w:t>
      </w:r>
      <w:r w:rsidRPr="00FD151F">
        <w:rPr>
          <w:lang w:val="fr-FR"/>
        </w:rPr>
        <w:tab/>
        <w:t>INF.26 (</w:t>
      </w:r>
      <w:r w:rsidRPr="00FD151F">
        <w:rPr>
          <w:bCs/>
          <w:lang w:val="fr-FR"/>
        </w:rPr>
        <w:t>Malte</w:t>
      </w:r>
      <w:r w:rsidRPr="00FD151F">
        <w:rPr>
          <w:lang w:val="fr-FR"/>
        </w:rPr>
        <w:t>)</w:t>
      </w:r>
    </w:p>
    <w:p w14:paraId="38D9EDD4" w14:textId="40C6C16B" w:rsidR="00946B89" w:rsidRPr="00FD151F" w:rsidRDefault="00E677A4" w:rsidP="00946B89">
      <w:pPr>
        <w:pStyle w:val="SingleTxtG"/>
        <w:rPr>
          <w:lang w:val="fr-FR"/>
        </w:rPr>
      </w:pPr>
      <w:r>
        <w:rPr>
          <w:lang w:val="fr-FR"/>
        </w:rPr>
        <w:t>70</w:t>
      </w:r>
      <w:r w:rsidR="00946B89" w:rsidRPr="00FD151F">
        <w:rPr>
          <w:lang w:val="fr-FR"/>
        </w:rPr>
        <w:t>.</w:t>
      </w:r>
      <w:r w:rsidR="00946B89" w:rsidRPr="00FD151F">
        <w:rPr>
          <w:lang w:val="fr-FR"/>
        </w:rPr>
        <w:tab/>
        <w:t xml:space="preserve">La </w:t>
      </w:r>
      <w:r w:rsidR="00946B89">
        <w:rPr>
          <w:lang w:val="fr-FR"/>
        </w:rPr>
        <w:t>P</w:t>
      </w:r>
      <w:r w:rsidR="00946B89" w:rsidRPr="00FD151F">
        <w:rPr>
          <w:lang w:val="fr-FR"/>
        </w:rPr>
        <w:t xml:space="preserve">résidente du Groupe de travail a clarifié que les dispositions du 9.1.3.2 concernait l’acceptation des certificats délivrés par les autorités compétentes des autres Parties contractantes lors des opérations de transport international et non dans le cadre de la </w:t>
      </w:r>
      <w:r w:rsidR="00946B89">
        <w:rPr>
          <w:lang w:val="fr-FR"/>
        </w:rPr>
        <w:t>c</w:t>
      </w:r>
      <w:r w:rsidR="00946B89" w:rsidRPr="00FD151F">
        <w:rPr>
          <w:lang w:val="fr-FR"/>
        </w:rPr>
        <w:t xml:space="preserve">ession d’un véhicule d’occasion. </w:t>
      </w:r>
    </w:p>
    <w:p w14:paraId="1B85A01B" w14:textId="7DECCCC2" w:rsidR="00946B89" w:rsidRPr="00FD151F" w:rsidRDefault="00E677A4" w:rsidP="00946B89">
      <w:pPr>
        <w:pStyle w:val="SingleTxtG"/>
        <w:rPr>
          <w:lang w:val="fr-FR"/>
        </w:rPr>
      </w:pPr>
      <w:r>
        <w:rPr>
          <w:lang w:val="fr-FR"/>
        </w:rPr>
        <w:t>71</w:t>
      </w:r>
      <w:r w:rsidR="00946B89" w:rsidRPr="00FD151F">
        <w:rPr>
          <w:lang w:val="fr-FR"/>
        </w:rPr>
        <w:t>.</w:t>
      </w:r>
      <w:r w:rsidR="00946B89" w:rsidRPr="00FD151F">
        <w:rPr>
          <w:lang w:val="fr-FR"/>
        </w:rPr>
        <w:tab/>
      </w:r>
      <w:r w:rsidR="00946B89">
        <w:rPr>
          <w:lang w:val="fr-FR"/>
        </w:rPr>
        <w:t>Les</w:t>
      </w:r>
      <w:r w:rsidR="00946B89" w:rsidRPr="00FD151F">
        <w:rPr>
          <w:lang w:val="fr-FR"/>
        </w:rPr>
        <w:t xml:space="preserve"> délégations </w:t>
      </w:r>
      <w:r w:rsidR="00946B89">
        <w:rPr>
          <w:lang w:val="fr-FR"/>
        </w:rPr>
        <w:t xml:space="preserve">qui se sont exprimées </w:t>
      </w:r>
      <w:r w:rsidR="00946B89" w:rsidRPr="00FD151F">
        <w:rPr>
          <w:lang w:val="fr-FR"/>
        </w:rPr>
        <w:t xml:space="preserve">ont confirmé que, lors </w:t>
      </w:r>
      <w:r w:rsidR="00946B89">
        <w:rPr>
          <w:lang w:val="fr-FR"/>
        </w:rPr>
        <w:t>de l’</w:t>
      </w:r>
      <w:r w:rsidR="00946B89" w:rsidRPr="00FD151F">
        <w:rPr>
          <w:lang w:val="fr-FR"/>
        </w:rPr>
        <w:t>importation de véhicule agréé d’occasion, le véhicule devait être réimmatriculé et donc que, selon le 9.1.3.1, l'autorité compétente du nouveau pays d'immatriculation devait délivrer un nouveau certificat d’agrément</w:t>
      </w:r>
      <w:r w:rsidR="00946B89">
        <w:rPr>
          <w:lang w:val="fr-FR"/>
        </w:rPr>
        <w:t xml:space="preserve"> au nouveau propriétaire</w:t>
      </w:r>
      <w:r w:rsidR="00946B89" w:rsidRPr="00FD151F">
        <w:rPr>
          <w:lang w:val="fr-FR"/>
        </w:rPr>
        <w:t>.</w:t>
      </w:r>
    </w:p>
    <w:p w14:paraId="41E57D00" w14:textId="77777777" w:rsidR="00FC72C5" w:rsidRPr="00FD151F" w:rsidRDefault="00FC72C5" w:rsidP="00FC72C5">
      <w:pPr>
        <w:keepNext/>
        <w:keepLines/>
        <w:tabs>
          <w:tab w:val="right" w:pos="851"/>
        </w:tabs>
        <w:suppressAutoHyphens/>
        <w:spacing w:before="360" w:after="240" w:line="300" w:lineRule="exact"/>
        <w:ind w:left="1134" w:right="1134" w:hanging="1134"/>
        <w:rPr>
          <w:b/>
          <w:sz w:val="28"/>
          <w:lang w:val="fr-FR" w:eastAsia="en-US"/>
        </w:rPr>
      </w:pPr>
      <w:r w:rsidRPr="00FD151F">
        <w:rPr>
          <w:b/>
          <w:sz w:val="28"/>
          <w:lang w:val="fr-FR" w:eastAsia="en-US"/>
        </w:rPr>
        <w:tab/>
        <w:t>VIII.</w:t>
      </w:r>
      <w:r w:rsidRPr="00FD151F">
        <w:rPr>
          <w:b/>
          <w:sz w:val="28"/>
          <w:lang w:val="fr-FR" w:eastAsia="en-US"/>
        </w:rPr>
        <w:tab/>
        <w:t>Économie circulaire, utilisation durable des ressources naturelles et objectifs de développement durable (point 7 de l’ordre du jour)</w:t>
      </w:r>
    </w:p>
    <w:p w14:paraId="1BF94012" w14:textId="2B83C4FB" w:rsidR="00FC72C5" w:rsidRPr="00FD151F" w:rsidRDefault="00E677A4" w:rsidP="00FC72C5">
      <w:pPr>
        <w:pStyle w:val="SingleTxtG"/>
        <w:rPr>
          <w:lang w:val="fr-FR"/>
        </w:rPr>
      </w:pPr>
      <w:r>
        <w:rPr>
          <w:lang w:val="fr-FR"/>
        </w:rPr>
        <w:t>72</w:t>
      </w:r>
      <w:r w:rsidR="00FC72C5" w:rsidRPr="00FD151F">
        <w:rPr>
          <w:lang w:val="fr-FR"/>
        </w:rPr>
        <w:t>.</w:t>
      </w:r>
      <w:r w:rsidR="00FC72C5" w:rsidRPr="00FD151F">
        <w:rPr>
          <w:lang w:val="fr-FR"/>
        </w:rPr>
        <w:tab/>
        <w:t xml:space="preserve"> Le Groupe de travail a adopté une modification de ses « Règles concernant les documents à soumettre au Groupe de travail » de façon à tenir compte de sa récente décision d’inviter les délégations à préciser dans la partie « justification » de leurs futures propositions le lien éventuel avec les objectifs de développement durable et l’économie circulaire (voir paragraphe</w:t>
      </w:r>
      <w:r w:rsidR="00FC72C5">
        <w:rPr>
          <w:lang w:val="fr-FR"/>
        </w:rPr>
        <w:t xml:space="preserve"> </w:t>
      </w:r>
      <w:r w:rsidR="006B2FDB">
        <w:rPr>
          <w:lang w:val="fr-FR"/>
        </w:rPr>
        <w:t>80</w:t>
      </w:r>
      <w:r w:rsidR="00FC72C5" w:rsidRPr="00FD151F">
        <w:rPr>
          <w:lang w:val="fr-FR"/>
        </w:rPr>
        <w:t>).</w:t>
      </w:r>
    </w:p>
    <w:p w14:paraId="441BA890" w14:textId="7928A12B" w:rsidR="00FC72C5" w:rsidRPr="00FD151F" w:rsidRDefault="00E677A4" w:rsidP="00FC72C5">
      <w:pPr>
        <w:pStyle w:val="SingleTxtG"/>
        <w:rPr>
          <w:lang w:val="fr-FR"/>
        </w:rPr>
      </w:pPr>
      <w:r>
        <w:rPr>
          <w:lang w:val="fr-FR"/>
        </w:rPr>
        <w:t>73</w:t>
      </w:r>
      <w:r w:rsidR="00FC72C5" w:rsidRPr="00FD151F">
        <w:rPr>
          <w:lang w:val="fr-FR"/>
        </w:rPr>
        <w:t>.</w:t>
      </w:r>
      <w:r w:rsidR="00FC72C5" w:rsidRPr="00FD151F">
        <w:rPr>
          <w:lang w:val="fr-FR"/>
        </w:rPr>
        <w:tab/>
        <w:t>Le Groupe de travail a noté que, lors de sa 114</w:t>
      </w:r>
      <w:r w:rsidR="00FC72C5" w:rsidRPr="00FD151F">
        <w:rPr>
          <w:vertAlign w:val="superscript"/>
          <w:lang w:val="fr-FR"/>
        </w:rPr>
        <w:t>e</w:t>
      </w:r>
      <w:r w:rsidR="00FC72C5" w:rsidRPr="00FD151F">
        <w:rPr>
          <w:lang w:val="fr-FR"/>
        </w:rPr>
        <w:t xml:space="preserve"> session, ses travaux se sont notamment inscrits dans le cadre des objectifs de développement durable des Nations </w:t>
      </w:r>
      <w:r w:rsidR="00FC72C5">
        <w:rPr>
          <w:lang w:val="fr-FR"/>
        </w:rPr>
        <w:t>U</w:t>
      </w:r>
      <w:r w:rsidR="00FC72C5" w:rsidRPr="00FD151F">
        <w:rPr>
          <w:lang w:val="fr-FR"/>
        </w:rPr>
        <w:t>nies 3 (Assurer une vie saine et promouvoir le bien-être de tous à tout âge), 11 (Rendre les villes et les établissements humains inclusifs, sûrs, résilients et durables) et 13 (Agir d'urgence pour lutter contre le changement climatique et ses effets).</w:t>
      </w:r>
    </w:p>
    <w:p w14:paraId="1BBF1B7B" w14:textId="77777777" w:rsidR="008331DA" w:rsidRPr="00495E83" w:rsidRDefault="008331DA" w:rsidP="008331DA">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r>
      <w:r>
        <w:rPr>
          <w:b/>
          <w:sz w:val="28"/>
          <w:lang w:eastAsia="en-US"/>
        </w:rPr>
        <w:t>IX</w:t>
      </w:r>
      <w:r w:rsidRPr="00495E83">
        <w:rPr>
          <w:b/>
          <w:sz w:val="28"/>
          <w:lang w:eastAsia="en-US"/>
        </w:rPr>
        <w:t>.</w:t>
      </w:r>
      <w:r w:rsidRPr="00495E83">
        <w:rPr>
          <w:b/>
          <w:sz w:val="28"/>
          <w:lang w:eastAsia="en-US"/>
        </w:rPr>
        <w:tab/>
      </w:r>
      <w:r w:rsidRPr="006D0587">
        <w:rPr>
          <w:b/>
          <w:sz w:val="28"/>
          <w:lang w:eastAsia="en-US"/>
        </w:rPr>
        <w:t xml:space="preserve">Programme de travail </w:t>
      </w:r>
      <w:r w:rsidRPr="00495E83">
        <w:rPr>
          <w:b/>
          <w:sz w:val="28"/>
          <w:lang w:eastAsia="en-US"/>
        </w:rPr>
        <w:t xml:space="preserve">(point </w:t>
      </w:r>
      <w:r>
        <w:rPr>
          <w:b/>
          <w:sz w:val="28"/>
          <w:lang w:eastAsia="en-US"/>
        </w:rPr>
        <w:t xml:space="preserve">8 </w:t>
      </w:r>
      <w:r w:rsidRPr="00495E83">
        <w:rPr>
          <w:b/>
          <w:sz w:val="28"/>
          <w:lang w:eastAsia="en-US"/>
        </w:rPr>
        <w:t>de l’ordre du jour)</w:t>
      </w:r>
    </w:p>
    <w:p w14:paraId="0D8E1115" w14:textId="77777777" w:rsidR="008331DA" w:rsidRPr="00D126EA" w:rsidRDefault="008331DA" w:rsidP="008331DA">
      <w:pPr>
        <w:pStyle w:val="H1G"/>
        <w:rPr>
          <w:lang w:val="fr-FR"/>
        </w:rPr>
      </w:pPr>
      <w:r w:rsidRPr="00D126EA">
        <w:tab/>
      </w:r>
      <w:r>
        <w:t>A</w:t>
      </w:r>
      <w:r w:rsidRPr="00D126EA">
        <w:t>.</w:t>
      </w:r>
      <w:r w:rsidRPr="00D126EA">
        <w:tab/>
      </w:r>
      <w:r w:rsidRPr="00D126EA">
        <w:rPr>
          <w:lang w:val="fr-FR"/>
        </w:rPr>
        <w:t>115</w:t>
      </w:r>
      <w:r w:rsidRPr="00D126EA">
        <w:rPr>
          <w:vertAlign w:val="superscript"/>
          <w:lang w:val="fr-FR"/>
        </w:rPr>
        <w:t>e</w:t>
      </w:r>
      <w:r w:rsidRPr="00D126EA">
        <w:rPr>
          <w:lang w:val="fr-FR"/>
        </w:rPr>
        <w:t xml:space="preserve"> session</w:t>
      </w:r>
    </w:p>
    <w:p w14:paraId="1E320C7A" w14:textId="26BBD7DC" w:rsidR="008331DA" w:rsidRPr="00D126EA" w:rsidRDefault="008331DA" w:rsidP="008331DA">
      <w:pPr>
        <w:pStyle w:val="SingleTxtG"/>
        <w:ind w:left="3119" w:hanging="1985"/>
        <w:jc w:val="left"/>
        <w:rPr>
          <w:lang w:val="fr-FR"/>
        </w:rPr>
      </w:pPr>
      <w:r w:rsidRPr="00D126EA">
        <w:rPr>
          <w:i/>
          <w:iCs/>
          <w:lang w:val="fr-FR"/>
        </w:rPr>
        <w:t>Document informel </w:t>
      </w:r>
      <w:r w:rsidRPr="00D126EA">
        <w:rPr>
          <w:lang w:val="fr-FR"/>
        </w:rPr>
        <w:t>:</w:t>
      </w:r>
      <w:r w:rsidRPr="00D126EA">
        <w:rPr>
          <w:lang w:val="fr-FR"/>
        </w:rPr>
        <w:tab/>
        <w:t>INF.6</w:t>
      </w:r>
      <w:r>
        <w:rPr>
          <w:lang w:val="fr-FR"/>
        </w:rPr>
        <w:t xml:space="preserve"> (</w:t>
      </w:r>
      <w:r w:rsidR="006F5ACC">
        <w:rPr>
          <w:lang w:val="fr-FR"/>
        </w:rPr>
        <w:t>Secrétariat</w:t>
      </w:r>
      <w:r>
        <w:rPr>
          <w:lang w:val="fr-FR"/>
        </w:rPr>
        <w:t>)</w:t>
      </w:r>
    </w:p>
    <w:p w14:paraId="0115607E" w14:textId="0F54DE14" w:rsidR="008331DA" w:rsidRPr="00964D04" w:rsidRDefault="00E677A4" w:rsidP="008331DA">
      <w:pPr>
        <w:pStyle w:val="SingleTxtG"/>
      </w:pPr>
      <w:r>
        <w:rPr>
          <w:lang w:val="fr-FR"/>
        </w:rPr>
        <w:t>74</w:t>
      </w:r>
      <w:r w:rsidR="008331DA" w:rsidRPr="00657F58">
        <w:rPr>
          <w:lang w:val="fr-FR"/>
        </w:rPr>
        <w:t>.</w:t>
      </w:r>
      <w:r w:rsidR="008331DA" w:rsidRPr="00657F58">
        <w:rPr>
          <w:lang w:val="fr-FR"/>
        </w:rPr>
        <w:tab/>
        <w:t xml:space="preserve">Les points à l’ordre du jour de la prochaine session (prévue du </w:t>
      </w:r>
      <w:r w:rsidR="008331DA">
        <w:rPr>
          <w:lang w:val="fr-FR"/>
        </w:rPr>
        <w:t>2 au 5 avril 2024</w:t>
      </w:r>
      <w:r w:rsidR="008331DA" w:rsidRPr="00657F58">
        <w:rPr>
          <w:lang w:val="fr-FR"/>
        </w:rPr>
        <w:t>) seront les suivants</w:t>
      </w:r>
      <w:r w:rsidR="008331DA">
        <w:rPr>
          <w:lang w:val="fr-FR"/>
        </w:rPr>
        <w:t> </w:t>
      </w:r>
      <w:r w:rsidR="008331DA" w:rsidRPr="00657F58">
        <w:rPr>
          <w:lang w:val="fr-FR"/>
        </w:rPr>
        <w:t>: Adoption de l’ordre du jour</w:t>
      </w:r>
      <w:r w:rsidR="008331DA">
        <w:rPr>
          <w:lang w:val="fr-FR"/>
        </w:rPr>
        <w:t xml:space="preserve"> ; </w:t>
      </w:r>
      <w:r w:rsidR="008331DA" w:rsidRPr="00657F58">
        <w:rPr>
          <w:lang w:val="fr-FR"/>
        </w:rPr>
        <w:t>Quatre-vingt-</w:t>
      </w:r>
      <w:r w:rsidR="008331DA">
        <w:rPr>
          <w:lang w:val="fr-FR"/>
        </w:rPr>
        <w:t>sixième</w:t>
      </w:r>
      <w:r w:rsidR="008331DA" w:rsidRPr="00657F58">
        <w:rPr>
          <w:lang w:val="fr-FR"/>
        </w:rPr>
        <w:t xml:space="preserve"> session du Comité des transports intérieurs</w:t>
      </w:r>
      <w:r w:rsidR="008331DA">
        <w:rPr>
          <w:lang w:val="fr-FR"/>
        </w:rPr>
        <w:t xml:space="preserve"> ; </w:t>
      </w:r>
      <w:r w:rsidR="008331DA" w:rsidRPr="00657F58">
        <w:rPr>
          <w:lang w:val="fr-FR"/>
        </w:rPr>
        <w:t>État de l’Accord relatif au transport international des marchandises dangereuses par route (ADR) et questions connexes</w:t>
      </w:r>
      <w:r w:rsidR="008331DA">
        <w:rPr>
          <w:lang w:val="fr-FR"/>
        </w:rPr>
        <w:t xml:space="preserve"> ; </w:t>
      </w:r>
      <w:r w:rsidR="008331DA" w:rsidRPr="00657F58">
        <w:rPr>
          <w:lang w:val="fr-FR"/>
        </w:rPr>
        <w:t>Travaux de la Réunion commune RID/ADR/ADN</w:t>
      </w:r>
      <w:r w:rsidR="008331DA">
        <w:rPr>
          <w:lang w:val="fr-FR"/>
        </w:rPr>
        <w:t xml:space="preserve"> ; </w:t>
      </w:r>
      <w:r w:rsidR="008331DA" w:rsidRPr="00657F58">
        <w:rPr>
          <w:lang w:val="fr-FR"/>
        </w:rPr>
        <w:t>Propositions d’amendement aux annexes A et B de l’ADR</w:t>
      </w:r>
      <w:r w:rsidR="008331DA">
        <w:rPr>
          <w:lang w:val="fr-FR"/>
        </w:rPr>
        <w:t xml:space="preserve"> ; </w:t>
      </w:r>
      <w:r w:rsidR="008331DA" w:rsidRPr="00657F58">
        <w:rPr>
          <w:lang w:val="fr-FR"/>
        </w:rPr>
        <w:t>Interprétation de l’ADR</w:t>
      </w:r>
      <w:r w:rsidR="008331DA">
        <w:rPr>
          <w:lang w:val="fr-FR"/>
        </w:rPr>
        <w:t xml:space="preserve"> ; Économie circulaire, utilisation durable des ressources naturelles et objectifs de développement durable ; </w:t>
      </w:r>
      <w:r w:rsidR="008331DA">
        <w:rPr>
          <w:lang w:val="fr-FR"/>
        </w:rPr>
        <w:tab/>
        <w:t xml:space="preserve">Programme de travail ; </w:t>
      </w:r>
      <w:r w:rsidR="008331DA" w:rsidRPr="00CF1EEF">
        <w:rPr>
          <w:lang w:val="fr-FR"/>
        </w:rPr>
        <w:t>Questions diverses</w:t>
      </w:r>
      <w:r w:rsidR="008331DA">
        <w:rPr>
          <w:lang w:val="fr-FR"/>
        </w:rPr>
        <w:t> ; Adoption du rapport.</w:t>
      </w:r>
    </w:p>
    <w:p w14:paraId="2C236FC8" w14:textId="45D85FDC" w:rsidR="008331DA" w:rsidRPr="00657F58" w:rsidRDefault="00E677A4" w:rsidP="008331DA">
      <w:pPr>
        <w:pStyle w:val="SingleTxtG"/>
      </w:pPr>
      <w:r>
        <w:rPr>
          <w:lang w:val="fr-FR"/>
        </w:rPr>
        <w:t>75</w:t>
      </w:r>
      <w:r w:rsidR="008331DA" w:rsidRPr="00657F58">
        <w:rPr>
          <w:lang w:val="fr-FR"/>
        </w:rPr>
        <w:t>.</w:t>
      </w:r>
      <w:r w:rsidR="008331DA" w:rsidRPr="00657F58">
        <w:rPr>
          <w:lang w:val="fr-FR"/>
        </w:rPr>
        <w:tab/>
        <w:t xml:space="preserve">La date limite pour soumettre des documents officiels pour cette session est le </w:t>
      </w:r>
      <w:r w:rsidR="008331DA">
        <w:rPr>
          <w:lang w:val="fr-FR"/>
        </w:rPr>
        <w:t>9 janvier 2024</w:t>
      </w:r>
      <w:r w:rsidR="008331DA" w:rsidRPr="00657F58">
        <w:rPr>
          <w:lang w:val="fr-FR"/>
        </w:rPr>
        <w:t>.</w:t>
      </w:r>
    </w:p>
    <w:p w14:paraId="450AE253" w14:textId="77777777" w:rsidR="00864ACC" w:rsidRPr="00D126EA" w:rsidRDefault="00864ACC" w:rsidP="00864ACC">
      <w:pPr>
        <w:pStyle w:val="H1G"/>
      </w:pPr>
      <w:r>
        <w:rPr>
          <w:lang w:val="fr-FR"/>
        </w:rPr>
        <w:tab/>
      </w:r>
      <w:r w:rsidRPr="00D126EA">
        <w:rPr>
          <w:lang w:val="fr-FR"/>
        </w:rPr>
        <w:t>B.</w:t>
      </w:r>
      <w:r w:rsidRPr="00D126EA">
        <w:rPr>
          <w:lang w:val="fr-FR"/>
        </w:rPr>
        <w:tab/>
      </w:r>
      <w:bookmarkStart w:id="6" w:name="_Hlk95747041"/>
      <w:r w:rsidRPr="00D126EA">
        <w:rPr>
          <w:lang w:val="fr-FR"/>
        </w:rPr>
        <w:t>Amendements de 202</w:t>
      </w:r>
      <w:bookmarkEnd w:id="6"/>
      <w:r w:rsidRPr="00D126EA">
        <w:rPr>
          <w:lang w:val="fr-FR"/>
        </w:rPr>
        <w:t>5</w:t>
      </w:r>
    </w:p>
    <w:p w14:paraId="4D996052" w14:textId="18E25669" w:rsidR="00864ACC" w:rsidRPr="00D126EA" w:rsidRDefault="00E677A4" w:rsidP="00864ACC">
      <w:pPr>
        <w:pStyle w:val="SingleTxtG"/>
      </w:pPr>
      <w:r>
        <w:rPr>
          <w:lang w:val="fr-FR"/>
        </w:rPr>
        <w:t>76</w:t>
      </w:r>
      <w:r w:rsidR="00864ACC" w:rsidRPr="00D126EA">
        <w:rPr>
          <w:lang w:val="fr-FR"/>
        </w:rPr>
        <w:t>.</w:t>
      </w:r>
      <w:r w:rsidR="00864ACC" w:rsidRPr="00D126EA">
        <w:rPr>
          <w:lang w:val="fr-FR"/>
        </w:rPr>
        <w:tab/>
        <w:t>Le Groupe de travail a prié le secrétariat d’établir une liste récapitulative de tous les amendements qu’il avait adoptés pour entrée en vigueur le 1</w:t>
      </w:r>
      <w:r w:rsidR="00864ACC" w:rsidRPr="00D126EA">
        <w:rPr>
          <w:vertAlign w:val="superscript"/>
          <w:lang w:val="fr-FR"/>
        </w:rPr>
        <w:t>er</w:t>
      </w:r>
      <w:r w:rsidR="00864ACC" w:rsidRPr="00D126EA">
        <w:rPr>
          <w:lang w:val="fr-FR"/>
        </w:rPr>
        <w:t xml:space="preserve"> janvier 2025 afin qu’ils </w:t>
      </w:r>
      <w:r w:rsidR="00864ACC" w:rsidRPr="00D126EA">
        <w:rPr>
          <w:lang w:val="fr-FR"/>
        </w:rPr>
        <w:lastRenderedPageBreak/>
        <w:t>puissent faire l’objet d’une proposition officielle, conformément à la procédure de l’article 14 de l’ADR, que, selon l’usage, la Présidente se chargerait de transmettre au dépositaire par l’entremise de son Gouvernement. La notification devrait être diffusée au plus tard le 1</w:t>
      </w:r>
      <w:r w:rsidR="00864ACC" w:rsidRPr="00D126EA">
        <w:rPr>
          <w:vertAlign w:val="superscript"/>
          <w:lang w:val="fr-FR"/>
        </w:rPr>
        <w:t>er</w:t>
      </w:r>
      <w:r w:rsidR="00864ACC" w:rsidRPr="00D126EA">
        <w:rPr>
          <w:lang w:val="fr-FR"/>
        </w:rPr>
        <w:t> juillet 2024 en mentionnant la date prévue d’entrée en vigueur du 1</w:t>
      </w:r>
      <w:r w:rsidR="00864ACC" w:rsidRPr="00D126EA">
        <w:rPr>
          <w:vertAlign w:val="superscript"/>
          <w:lang w:val="fr-FR"/>
        </w:rPr>
        <w:t>er</w:t>
      </w:r>
      <w:r w:rsidR="00864ACC" w:rsidRPr="00D126EA">
        <w:rPr>
          <w:lang w:val="fr-FR"/>
        </w:rPr>
        <w:t xml:space="preserve"> janvier 2025. Ce document serait distribué sous la cote ECE/TRANS/WP.15/265. </w:t>
      </w:r>
    </w:p>
    <w:p w14:paraId="1010FF49" w14:textId="1D3A8A22" w:rsidR="00864ACC" w:rsidRPr="00D126EA" w:rsidRDefault="00E677A4" w:rsidP="00864ACC">
      <w:pPr>
        <w:pStyle w:val="SingleTxtG"/>
      </w:pPr>
      <w:r>
        <w:rPr>
          <w:lang w:val="fr-FR"/>
        </w:rPr>
        <w:t>77</w:t>
      </w:r>
      <w:r w:rsidR="00864ACC" w:rsidRPr="00D126EA">
        <w:rPr>
          <w:lang w:val="fr-FR"/>
        </w:rPr>
        <w:t>.</w:t>
      </w:r>
      <w:r w:rsidR="00864ACC" w:rsidRPr="00D126EA">
        <w:rPr>
          <w:lang w:val="fr-FR"/>
        </w:rPr>
        <w:tab/>
        <w:t>Le Groupe de travail a également prié le secrétariat de publier le texte récapitulatif de l’ADR tel qu’il sera</w:t>
      </w:r>
      <w:r w:rsidR="002F3BA4">
        <w:rPr>
          <w:lang w:val="fr-FR"/>
        </w:rPr>
        <w:t>it</w:t>
      </w:r>
      <w:r w:rsidR="00864ACC" w:rsidRPr="00D126EA">
        <w:rPr>
          <w:lang w:val="fr-FR"/>
        </w:rPr>
        <w:t xml:space="preserve"> modifié le 1</w:t>
      </w:r>
      <w:r w:rsidR="00864ACC" w:rsidRPr="00D126EA">
        <w:rPr>
          <w:vertAlign w:val="superscript"/>
          <w:lang w:val="fr-FR"/>
        </w:rPr>
        <w:t>er</w:t>
      </w:r>
      <w:r w:rsidR="00864ACC" w:rsidRPr="00D126EA">
        <w:rPr>
          <w:lang w:val="fr-FR"/>
        </w:rPr>
        <w:t xml:space="preserve"> janvier 2025 suffisamment à l’avance pour préparer sa mise en œuvre effective avant l’entrée en vigueur desdits amendements.</w:t>
      </w:r>
    </w:p>
    <w:p w14:paraId="0804BB65" w14:textId="77777777" w:rsidR="001076DF" w:rsidRPr="00FD151F" w:rsidRDefault="001076DF" w:rsidP="001076DF">
      <w:pPr>
        <w:pStyle w:val="H1G"/>
        <w:rPr>
          <w:lang w:val="fr-FR"/>
        </w:rPr>
      </w:pPr>
      <w:r w:rsidRPr="00FD151F">
        <w:rPr>
          <w:lang w:val="fr-FR"/>
        </w:rPr>
        <w:tab/>
        <w:t>C.</w:t>
      </w:r>
      <w:r w:rsidRPr="00FD151F">
        <w:rPr>
          <w:lang w:val="fr-FR"/>
        </w:rPr>
        <w:tab/>
        <w:t>Efficacité et méthodes du Groupe de travail</w:t>
      </w:r>
    </w:p>
    <w:p w14:paraId="3895BC2D" w14:textId="32598341" w:rsidR="001076DF" w:rsidRDefault="001076DF" w:rsidP="001076DF">
      <w:pPr>
        <w:pStyle w:val="SingleTxtG"/>
        <w:ind w:left="3119" w:hanging="1985"/>
        <w:jc w:val="left"/>
        <w:rPr>
          <w:lang w:val="fr-FR"/>
        </w:rPr>
      </w:pPr>
      <w:r w:rsidRPr="00FD151F">
        <w:rPr>
          <w:i/>
          <w:iCs/>
          <w:lang w:val="fr-FR"/>
        </w:rPr>
        <w:t>Document </w:t>
      </w:r>
      <w:r w:rsidRPr="00FD151F">
        <w:rPr>
          <w:lang w:val="fr-FR"/>
        </w:rPr>
        <w:t>:</w:t>
      </w:r>
      <w:r w:rsidRPr="00FD151F">
        <w:rPr>
          <w:lang w:val="fr-FR"/>
        </w:rPr>
        <w:tab/>
        <w:t>ECE/TRANS/WP.15/2023/15 (</w:t>
      </w:r>
      <w:r w:rsidR="006F5ACC">
        <w:rPr>
          <w:lang w:val="fr-FR"/>
        </w:rPr>
        <w:t>S</w:t>
      </w:r>
      <w:r w:rsidR="006F5ACC" w:rsidRPr="00FD151F">
        <w:rPr>
          <w:lang w:val="fr-FR"/>
        </w:rPr>
        <w:t>ecrétariat</w:t>
      </w:r>
      <w:r w:rsidRPr="00FD151F">
        <w:rPr>
          <w:lang w:val="fr-FR"/>
        </w:rPr>
        <w:t>)</w:t>
      </w:r>
    </w:p>
    <w:p w14:paraId="6360E3CF" w14:textId="23A2B905" w:rsidR="001076DF" w:rsidRDefault="00E677A4" w:rsidP="001076DF">
      <w:pPr>
        <w:pStyle w:val="SingleTxtG"/>
        <w:rPr>
          <w:lang w:val="fr-FR"/>
        </w:rPr>
      </w:pPr>
      <w:r>
        <w:rPr>
          <w:lang w:val="fr-FR"/>
        </w:rPr>
        <w:t>78</w:t>
      </w:r>
      <w:r w:rsidR="001076DF" w:rsidRPr="00FD151F">
        <w:rPr>
          <w:lang w:val="fr-FR"/>
        </w:rPr>
        <w:t>.</w:t>
      </w:r>
      <w:r w:rsidR="001076DF" w:rsidRPr="00FD151F">
        <w:rPr>
          <w:lang w:val="fr-FR"/>
        </w:rPr>
        <w:tab/>
        <w:t xml:space="preserve">Le Groupe de travail a </w:t>
      </w:r>
      <w:r w:rsidR="001076DF">
        <w:rPr>
          <w:lang w:val="fr-FR"/>
        </w:rPr>
        <w:t xml:space="preserve">adopté la proposition 1 du document </w:t>
      </w:r>
      <w:r w:rsidR="001076DF" w:rsidRPr="00FD151F">
        <w:rPr>
          <w:lang w:val="fr-FR"/>
        </w:rPr>
        <w:t>ECE/TRANS/WP.15/2023/15</w:t>
      </w:r>
      <w:r w:rsidR="001076DF">
        <w:rPr>
          <w:lang w:val="fr-FR"/>
        </w:rPr>
        <w:t xml:space="preserve"> (</w:t>
      </w:r>
      <w:r w:rsidR="001076DF" w:rsidRPr="0040056F">
        <w:rPr>
          <w:lang w:val="fr-FR"/>
        </w:rPr>
        <w:t>règles révisées concernant l</w:t>
      </w:r>
      <w:r w:rsidR="001076DF">
        <w:rPr>
          <w:lang w:val="fr-FR"/>
        </w:rPr>
        <w:t>’</w:t>
      </w:r>
      <w:r w:rsidR="001076DF" w:rsidRPr="0040056F">
        <w:rPr>
          <w:lang w:val="fr-FR"/>
        </w:rPr>
        <w:t>ordre du jour de la dernière session d</w:t>
      </w:r>
      <w:r w:rsidR="001076DF">
        <w:rPr>
          <w:lang w:val="fr-FR"/>
        </w:rPr>
        <w:t>’</w:t>
      </w:r>
      <w:r w:rsidR="001076DF" w:rsidRPr="0040056F">
        <w:rPr>
          <w:lang w:val="fr-FR"/>
        </w:rPr>
        <w:t>une période d</w:t>
      </w:r>
      <w:r w:rsidR="001076DF">
        <w:rPr>
          <w:lang w:val="fr-FR"/>
        </w:rPr>
        <w:t>’</w:t>
      </w:r>
      <w:r w:rsidR="001076DF" w:rsidRPr="0040056F">
        <w:rPr>
          <w:lang w:val="fr-FR"/>
        </w:rPr>
        <w:t>amendements</w:t>
      </w:r>
      <w:r w:rsidR="001076DF">
        <w:rPr>
          <w:lang w:val="fr-FR"/>
        </w:rPr>
        <w:t>).</w:t>
      </w:r>
    </w:p>
    <w:p w14:paraId="171077C2" w14:textId="138769DC" w:rsidR="001076DF" w:rsidRDefault="00E677A4" w:rsidP="001076DF">
      <w:pPr>
        <w:pStyle w:val="SingleTxtG"/>
        <w:rPr>
          <w:lang w:val="fr-FR"/>
        </w:rPr>
      </w:pPr>
      <w:r>
        <w:rPr>
          <w:lang w:val="fr-FR"/>
        </w:rPr>
        <w:t>79</w:t>
      </w:r>
      <w:r w:rsidR="001076DF">
        <w:rPr>
          <w:lang w:val="fr-FR"/>
        </w:rPr>
        <w:t>.</w:t>
      </w:r>
      <w:r w:rsidR="001076DF">
        <w:rPr>
          <w:lang w:val="fr-FR"/>
        </w:rPr>
        <w:tab/>
        <w:t>Concernant son calendrier de réunions, le Groupe de travail a</w:t>
      </w:r>
      <w:r w:rsidR="001076DF" w:rsidRPr="0040056F">
        <w:rPr>
          <w:lang w:val="fr-FR"/>
        </w:rPr>
        <w:t xml:space="preserve"> confirmé qu</w:t>
      </w:r>
      <w:r w:rsidR="001076DF">
        <w:rPr>
          <w:lang w:val="fr-FR"/>
        </w:rPr>
        <w:t xml:space="preserve">’il souhaitait pour l’instant </w:t>
      </w:r>
      <w:r w:rsidR="001076DF" w:rsidRPr="0040056F">
        <w:rPr>
          <w:lang w:val="fr-FR"/>
        </w:rPr>
        <w:t xml:space="preserve">maintenir le </w:t>
      </w:r>
      <w:r w:rsidR="001076DF">
        <w:rPr>
          <w:lang w:val="fr-FR"/>
        </w:rPr>
        <w:t>calendrier</w:t>
      </w:r>
      <w:r w:rsidR="001076DF" w:rsidRPr="0040056F">
        <w:rPr>
          <w:lang w:val="fr-FR"/>
        </w:rPr>
        <w:t xml:space="preserve"> de </w:t>
      </w:r>
      <w:r w:rsidR="001076DF">
        <w:rPr>
          <w:lang w:val="fr-FR"/>
        </w:rPr>
        <w:t xml:space="preserve">ses sessions et le nombre de ses réunions </w:t>
      </w:r>
      <w:r w:rsidR="001076DF" w:rsidRPr="0040056F">
        <w:rPr>
          <w:lang w:val="fr-FR"/>
        </w:rPr>
        <w:t xml:space="preserve">compte tenu des </w:t>
      </w:r>
      <w:r w:rsidR="001076DF">
        <w:rPr>
          <w:lang w:val="fr-FR"/>
        </w:rPr>
        <w:t xml:space="preserve">travaux futurs </w:t>
      </w:r>
      <w:r w:rsidR="001076DF" w:rsidRPr="0040056F">
        <w:rPr>
          <w:lang w:val="fr-FR"/>
        </w:rPr>
        <w:t xml:space="preserve">envisagés </w:t>
      </w:r>
      <w:r w:rsidR="001076DF">
        <w:rPr>
          <w:lang w:val="fr-FR"/>
        </w:rPr>
        <w:t xml:space="preserve">notamment en ce qui concerne la dématérialisation des documents et informations, le suivi de la mise en œuvre des nouveaux amendements concernant les </w:t>
      </w:r>
      <w:r w:rsidR="001076DF" w:rsidRPr="007433B9">
        <w:rPr>
          <w:lang w:val="fr-FR"/>
        </w:rPr>
        <w:t>véhicules électriques à batterie</w:t>
      </w:r>
      <w:r w:rsidR="001076DF">
        <w:rPr>
          <w:lang w:val="fr-FR"/>
        </w:rPr>
        <w:t>s</w:t>
      </w:r>
      <w:r w:rsidR="001076DF" w:rsidRPr="007433B9">
        <w:rPr>
          <w:lang w:val="fr-FR"/>
        </w:rPr>
        <w:t>, les véhicules à pile</w:t>
      </w:r>
      <w:r w:rsidR="001076DF">
        <w:rPr>
          <w:lang w:val="fr-FR"/>
        </w:rPr>
        <w:t>s</w:t>
      </w:r>
      <w:r w:rsidR="001076DF" w:rsidRPr="007433B9">
        <w:rPr>
          <w:lang w:val="fr-FR"/>
        </w:rPr>
        <w:t xml:space="preserve"> à combustible et les véhicules </w:t>
      </w:r>
      <w:r w:rsidR="001076DF">
        <w:rPr>
          <w:lang w:val="fr-FR"/>
        </w:rPr>
        <w:t xml:space="preserve">à </w:t>
      </w:r>
      <w:r w:rsidR="001076DF" w:rsidRPr="007433B9">
        <w:rPr>
          <w:lang w:val="fr-FR"/>
        </w:rPr>
        <w:t xml:space="preserve">hydrogène </w:t>
      </w:r>
      <w:r w:rsidR="001076DF">
        <w:rPr>
          <w:lang w:val="fr-FR"/>
        </w:rPr>
        <w:t>et l’élaboration de dispositions concernant les transports de marchandises dangereuses par route avec des véhicules ou cycles non réglementés actuellement dans l’ADR.</w:t>
      </w:r>
    </w:p>
    <w:p w14:paraId="6DCF151B" w14:textId="0782F0AF" w:rsidR="001076DF" w:rsidRDefault="00E677A4" w:rsidP="001076DF">
      <w:pPr>
        <w:pStyle w:val="SingleTxtG"/>
        <w:rPr>
          <w:lang w:val="fr-FR"/>
        </w:rPr>
      </w:pPr>
      <w:r>
        <w:rPr>
          <w:lang w:val="fr-FR"/>
        </w:rPr>
        <w:t>80</w:t>
      </w:r>
      <w:r w:rsidR="001076DF">
        <w:rPr>
          <w:lang w:val="fr-FR"/>
        </w:rPr>
        <w:t>.</w:t>
      </w:r>
      <w:r w:rsidR="001076DF">
        <w:rPr>
          <w:lang w:val="fr-FR"/>
        </w:rPr>
        <w:tab/>
        <w:t xml:space="preserve">Le Groupe de travail a adopté la proposition 3 du document </w:t>
      </w:r>
      <w:r w:rsidR="001076DF" w:rsidRPr="00FD151F">
        <w:rPr>
          <w:lang w:val="fr-FR"/>
        </w:rPr>
        <w:t>ECE/TRANS/WP.15/2023/15</w:t>
      </w:r>
      <w:r w:rsidR="001076DF">
        <w:rPr>
          <w:lang w:val="fr-FR"/>
        </w:rPr>
        <w:t xml:space="preserve"> visant à modifier les </w:t>
      </w:r>
      <w:r w:rsidR="00FB3971">
        <w:rPr>
          <w:lang w:val="fr-FR"/>
        </w:rPr>
        <w:t>r</w:t>
      </w:r>
      <w:r w:rsidR="001076DF" w:rsidRPr="00FD151F">
        <w:rPr>
          <w:lang w:val="fr-FR"/>
        </w:rPr>
        <w:t>ègles concernant les documents à soumettre au Groupe de travail</w:t>
      </w:r>
      <w:r w:rsidR="001076DF">
        <w:rPr>
          <w:lang w:val="fr-FR"/>
        </w:rPr>
        <w:t xml:space="preserve"> avec la correction d’une faute de frappe dans la version anglaise.</w:t>
      </w:r>
    </w:p>
    <w:p w14:paraId="3C699F86" w14:textId="67B7C18B" w:rsidR="001076DF" w:rsidRPr="0040056F" w:rsidRDefault="00E677A4" w:rsidP="001076DF">
      <w:pPr>
        <w:pStyle w:val="SingleTxtG"/>
        <w:rPr>
          <w:rFonts w:eastAsia="Calibri"/>
          <w:lang w:val="fr-FR"/>
        </w:rPr>
      </w:pPr>
      <w:r>
        <w:rPr>
          <w:lang w:val="fr-FR"/>
        </w:rPr>
        <w:t>81</w:t>
      </w:r>
      <w:r w:rsidR="001076DF">
        <w:rPr>
          <w:lang w:val="fr-FR"/>
        </w:rPr>
        <w:t>.</w:t>
      </w:r>
      <w:r w:rsidR="001076DF">
        <w:rPr>
          <w:lang w:val="fr-FR"/>
        </w:rPr>
        <w:tab/>
        <w:t xml:space="preserve">Le Groupe de travail a modifié ses </w:t>
      </w:r>
      <w:r w:rsidR="001076DF" w:rsidRPr="0040056F">
        <w:rPr>
          <w:lang w:val="fr-FR"/>
        </w:rPr>
        <w:t xml:space="preserve">règles concernant la soumission de documents informels </w:t>
      </w:r>
      <w:r w:rsidR="001076DF">
        <w:rPr>
          <w:lang w:val="fr-FR"/>
        </w:rPr>
        <w:t>pour lire comme suit :</w:t>
      </w:r>
    </w:p>
    <w:p w14:paraId="3B19B51E" w14:textId="77777777" w:rsidR="001076DF" w:rsidRPr="0040056F" w:rsidRDefault="001076DF" w:rsidP="001076DF">
      <w:pPr>
        <w:pStyle w:val="SingleTxtG"/>
        <w:keepNext/>
        <w:ind w:firstLine="567"/>
        <w:rPr>
          <w:rFonts w:eastAsia="Calibri"/>
          <w:lang w:val="fr-FR"/>
        </w:rPr>
      </w:pPr>
      <w:r>
        <w:rPr>
          <w:lang w:val="fr-FR"/>
        </w:rPr>
        <w:t>« </w:t>
      </w:r>
      <w:r w:rsidRPr="008E4354">
        <w:rPr>
          <w:lang w:val="fr-FR"/>
        </w:rPr>
        <w:t>Un document</w:t>
      </w:r>
      <w:r w:rsidRPr="0040056F">
        <w:rPr>
          <w:lang w:val="fr-FR"/>
        </w:rPr>
        <w:t xml:space="preserve"> informel peut être présenté pour examen </w:t>
      </w:r>
      <w:r>
        <w:rPr>
          <w:lang w:val="fr-FR"/>
        </w:rPr>
        <w:t xml:space="preserve">à </w:t>
      </w:r>
      <w:r w:rsidRPr="0040056F">
        <w:rPr>
          <w:lang w:val="fr-FR"/>
        </w:rPr>
        <w:t>une session à condition :</w:t>
      </w:r>
    </w:p>
    <w:p w14:paraId="644606C7" w14:textId="77777777" w:rsidR="001076DF" w:rsidRPr="0040056F" w:rsidRDefault="001076DF" w:rsidP="001076DF">
      <w:pPr>
        <w:pStyle w:val="SingleTxtG"/>
        <w:ind w:left="2268" w:hanging="567"/>
        <w:rPr>
          <w:rFonts w:eastAsia="Calibri"/>
          <w:lang w:val="fr-FR"/>
        </w:rPr>
      </w:pPr>
      <w:r w:rsidRPr="0040056F">
        <w:rPr>
          <w:lang w:val="fr-FR"/>
        </w:rPr>
        <w:t>a)</w:t>
      </w:r>
      <w:r w:rsidRPr="0040056F">
        <w:rPr>
          <w:lang w:val="fr-FR"/>
        </w:rPr>
        <w:tab/>
      </w:r>
      <w:r w:rsidRPr="00BD4C4B">
        <w:rPr>
          <w:lang w:val="fr-FR"/>
        </w:rPr>
        <w:t xml:space="preserve">Qu’il contienne </w:t>
      </w:r>
      <w:r w:rsidRPr="0040056F">
        <w:rPr>
          <w:lang w:val="fr-FR"/>
        </w:rPr>
        <w:t>des commentaires précis ou des renseignements supplémentaires concernant un document nouveau inscrit à l</w:t>
      </w:r>
      <w:r>
        <w:rPr>
          <w:lang w:val="fr-FR"/>
        </w:rPr>
        <w:t>’</w:t>
      </w:r>
      <w:r w:rsidRPr="0040056F">
        <w:rPr>
          <w:lang w:val="fr-FR"/>
        </w:rPr>
        <w:t>ordre du jour provisoire et n</w:t>
      </w:r>
      <w:r>
        <w:rPr>
          <w:lang w:val="fr-FR"/>
        </w:rPr>
        <w:t xml:space="preserve">’ait </w:t>
      </w:r>
      <w:r w:rsidRPr="0040056F">
        <w:rPr>
          <w:lang w:val="fr-FR"/>
        </w:rPr>
        <w:t>donc pu être présent</w:t>
      </w:r>
      <w:r>
        <w:rPr>
          <w:lang w:val="fr-FR"/>
        </w:rPr>
        <w:t xml:space="preserve">é </w:t>
      </w:r>
      <w:r w:rsidRPr="0040056F">
        <w:rPr>
          <w:lang w:val="fr-FR"/>
        </w:rPr>
        <w:t>dans les délais voulus ;</w:t>
      </w:r>
    </w:p>
    <w:p w14:paraId="6D7EFA0D" w14:textId="77777777" w:rsidR="001076DF" w:rsidRPr="0040056F" w:rsidRDefault="001076DF" w:rsidP="001076DF">
      <w:pPr>
        <w:pStyle w:val="SingleTxtG"/>
        <w:ind w:left="2268" w:hanging="567"/>
        <w:rPr>
          <w:rFonts w:eastAsia="Calibri"/>
          <w:lang w:val="fr-FR"/>
        </w:rPr>
      </w:pPr>
      <w:r w:rsidRPr="0040056F">
        <w:rPr>
          <w:lang w:val="fr-FR"/>
        </w:rPr>
        <w:t>b)</w:t>
      </w:r>
      <w:r w:rsidRPr="0040056F">
        <w:rPr>
          <w:lang w:val="fr-FR"/>
        </w:rPr>
        <w:tab/>
      </w:r>
      <w:r>
        <w:rPr>
          <w:lang w:val="fr-FR"/>
        </w:rPr>
        <w:t>Qu’il soit uniquement présenté</w:t>
      </w:r>
      <w:r w:rsidRPr="0040056F">
        <w:rPr>
          <w:lang w:val="fr-FR"/>
        </w:rPr>
        <w:t xml:space="preserve"> à titre d</w:t>
      </w:r>
      <w:r>
        <w:rPr>
          <w:lang w:val="fr-FR"/>
        </w:rPr>
        <w:t>’</w:t>
      </w:r>
      <w:r w:rsidRPr="0040056F">
        <w:rPr>
          <w:lang w:val="fr-FR"/>
        </w:rPr>
        <w:t>information et n</w:t>
      </w:r>
      <w:r>
        <w:rPr>
          <w:lang w:val="fr-FR"/>
        </w:rPr>
        <w:t>’</w:t>
      </w:r>
      <w:r w:rsidRPr="0040056F">
        <w:rPr>
          <w:lang w:val="fr-FR"/>
        </w:rPr>
        <w:t>exig</w:t>
      </w:r>
      <w:r>
        <w:rPr>
          <w:lang w:val="fr-FR"/>
        </w:rPr>
        <w:t>e</w:t>
      </w:r>
      <w:r w:rsidRPr="0040056F">
        <w:rPr>
          <w:lang w:val="fr-FR"/>
        </w:rPr>
        <w:t xml:space="preserve"> pas de décision du Groupe de travail ;</w:t>
      </w:r>
    </w:p>
    <w:p w14:paraId="3B4BA4EE" w14:textId="77777777" w:rsidR="001076DF" w:rsidRPr="0040056F" w:rsidRDefault="001076DF" w:rsidP="001076DF">
      <w:pPr>
        <w:pStyle w:val="SingleTxtG"/>
        <w:ind w:left="2268" w:hanging="567"/>
        <w:rPr>
          <w:rFonts w:eastAsia="Calibri"/>
          <w:lang w:val="fr-FR"/>
        </w:rPr>
      </w:pPr>
      <w:r w:rsidRPr="0040056F">
        <w:rPr>
          <w:lang w:val="fr-FR"/>
        </w:rPr>
        <w:t>c)</w:t>
      </w:r>
      <w:r w:rsidRPr="0040056F">
        <w:rPr>
          <w:lang w:val="fr-FR"/>
        </w:rPr>
        <w:tab/>
      </w:r>
      <w:r>
        <w:rPr>
          <w:lang w:val="fr-FR"/>
        </w:rPr>
        <w:t>Qu’il vise à corriger</w:t>
      </w:r>
      <w:r w:rsidRPr="0040056F">
        <w:rPr>
          <w:lang w:val="fr-FR"/>
        </w:rPr>
        <w:t xml:space="preserve"> des erreurs flagrantes dans des textes existants ; </w:t>
      </w:r>
    </w:p>
    <w:p w14:paraId="600320FD" w14:textId="77777777" w:rsidR="001076DF" w:rsidRPr="0040056F" w:rsidRDefault="001076DF" w:rsidP="001076DF">
      <w:pPr>
        <w:pStyle w:val="SingleTxtG"/>
        <w:ind w:left="2268" w:hanging="567"/>
        <w:rPr>
          <w:rFonts w:eastAsia="Calibri"/>
          <w:lang w:val="fr-FR"/>
        </w:rPr>
      </w:pPr>
      <w:r w:rsidRPr="0040056F">
        <w:rPr>
          <w:lang w:val="fr-FR"/>
        </w:rPr>
        <w:t>d)</w:t>
      </w:r>
      <w:r w:rsidRPr="0040056F">
        <w:rPr>
          <w:lang w:val="fr-FR"/>
        </w:rPr>
        <w:tab/>
      </w:r>
      <w:r w:rsidRPr="00761175">
        <w:rPr>
          <w:lang w:val="fr-FR"/>
        </w:rPr>
        <w:t xml:space="preserve">Qu’il </w:t>
      </w:r>
      <w:r>
        <w:rPr>
          <w:lang w:val="fr-FR"/>
        </w:rPr>
        <w:t xml:space="preserve">requiert un premier avis sur une </w:t>
      </w:r>
      <w:r w:rsidRPr="0040056F">
        <w:rPr>
          <w:lang w:val="fr-FR"/>
        </w:rPr>
        <w:t>interprétation de</w:t>
      </w:r>
      <w:r>
        <w:rPr>
          <w:lang w:val="fr-FR"/>
        </w:rPr>
        <w:t>s</w:t>
      </w:r>
      <w:r w:rsidRPr="0040056F">
        <w:rPr>
          <w:lang w:val="fr-FR"/>
        </w:rPr>
        <w:t xml:space="preserve"> textes existants ; </w:t>
      </w:r>
    </w:p>
    <w:p w14:paraId="731584A4" w14:textId="77777777" w:rsidR="001076DF" w:rsidRPr="00FD151F" w:rsidRDefault="001076DF" w:rsidP="001076DF">
      <w:pPr>
        <w:pStyle w:val="SingleTxtG"/>
        <w:ind w:left="2268" w:hanging="567"/>
        <w:rPr>
          <w:lang w:val="fr-FR"/>
        </w:rPr>
      </w:pPr>
      <w:r w:rsidRPr="0040056F">
        <w:rPr>
          <w:lang w:val="fr-FR"/>
        </w:rPr>
        <w:t>e)</w:t>
      </w:r>
      <w:r w:rsidRPr="0040056F">
        <w:rPr>
          <w:lang w:val="fr-FR"/>
        </w:rPr>
        <w:tab/>
      </w:r>
      <w:r w:rsidRPr="00761175">
        <w:rPr>
          <w:lang w:val="fr-FR"/>
        </w:rPr>
        <w:t>Qu’il contienne</w:t>
      </w:r>
      <w:r>
        <w:rPr>
          <w:lang w:val="fr-FR"/>
        </w:rPr>
        <w:t xml:space="preserve"> </w:t>
      </w:r>
      <w:r w:rsidRPr="0040056F">
        <w:rPr>
          <w:lang w:val="fr-FR"/>
        </w:rPr>
        <w:t>le rapport d</w:t>
      </w:r>
      <w:r>
        <w:rPr>
          <w:lang w:val="fr-FR"/>
        </w:rPr>
        <w:t>’</w:t>
      </w:r>
      <w:r w:rsidRPr="0040056F">
        <w:rPr>
          <w:lang w:val="fr-FR"/>
        </w:rPr>
        <w:t>un groupe de travail informel.</w:t>
      </w:r>
      <w:r>
        <w:rPr>
          <w:lang w:val="fr-FR"/>
        </w:rPr>
        <w:t> »</w:t>
      </w:r>
    </w:p>
    <w:p w14:paraId="1B8E75A6" w14:textId="0F88D933" w:rsidR="001076DF" w:rsidRDefault="00E677A4" w:rsidP="001076DF">
      <w:pPr>
        <w:pStyle w:val="SingleTxtG"/>
        <w:rPr>
          <w:lang w:val="fr-FR"/>
        </w:rPr>
      </w:pPr>
      <w:r>
        <w:rPr>
          <w:lang w:val="fr-FR"/>
        </w:rPr>
        <w:t>82</w:t>
      </w:r>
      <w:r w:rsidR="001076DF">
        <w:rPr>
          <w:lang w:val="fr-FR"/>
        </w:rPr>
        <w:t>.</w:t>
      </w:r>
      <w:r w:rsidR="001076DF">
        <w:rPr>
          <w:lang w:val="fr-FR"/>
        </w:rPr>
        <w:tab/>
        <w:t>Le Groupe de travail a noté qu’il n’y avait pas de règle concernant la langue des documents informels et a invité les délégations à soumettre leurs documents informels dans plusieurs langues de travail du Groupe lorsque cela est possible.</w:t>
      </w:r>
    </w:p>
    <w:p w14:paraId="434434B3" w14:textId="10013BFE" w:rsidR="001076DF" w:rsidRDefault="00E677A4" w:rsidP="001076DF">
      <w:pPr>
        <w:pStyle w:val="SingleTxtG"/>
        <w:rPr>
          <w:lang w:val="fr-FR"/>
        </w:rPr>
      </w:pPr>
      <w:r>
        <w:rPr>
          <w:lang w:val="fr-FR"/>
        </w:rPr>
        <w:t>83</w:t>
      </w:r>
      <w:r w:rsidR="001076DF">
        <w:rPr>
          <w:lang w:val="fr-FR"/>
        </w:rPr>
        <w:t>.</w:t>
      </w:r>
      <w:r w:rsidR="001076DF">
        <w:rPr>
          <w:lang w:val="fr-FR"/>
        </w:rPr>
        <w:tab/>
        <w:t>Le Groupe de travail a demandé au secrétariat de préparer, pour la prochaine session, un document reprenant son mandat, son règlement intérieur et les règles relatives à ses méthodes de travail, tels que révisés.</w:t>
      </w:r>
    </w:p>
    <w:p w14:paraId="2AA6973D" w14:textId="77777777" w:rsidR="001076DF" w:rsidRDefault="001076DF" w:rsidP="001076DF">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r>
      <w:r>
        <w:rPr>
          <w:b/>
          <w:sz w:val="28"/>
          <w:lang w:eastAsia="en-US"/>
        </w:rPr>
        <w:t>X</w:t>
      </w:r>
      <w:r w:rsidRPr="00495E83">
        <w:rPr>
          <w:b/>
          <w:sz w:val="28"/>
          <w:lang w:eastAsia="en-US"/>
        </w:rPr>
        <w:t>.</w:t>
      </w:r>
      <w:r w:rsidRPr="00495E83">
        <w:rPr>
          <w:b/>
          <w:sz w:val="28"/>
          <w:lang w:eastAsia="en-US"/>
        </w:rPr>
        <w:tab/>
      </w:r>
      <w:r w:rsidRPr="00A801CA">
        <w:rPr>
          <w:b/>
          <w:sz w:val="28"/>
          <w:lang w:eastAsia="en-US"/>
        </w:rPr>
        <w:t>Questions diverses</w:t>
      </w:r>
      <w:r w:rsidRPr="006D0587">
        <w:rPr>
          <w:b/>
          <w:sz w:val="28"/>
          <w:lang w:eastAsia="en-US"/>
        </w:rPr>
        <w:t xml:space="preserve"> </w:t>
      </w:r>
      <w:r w:rsidRPr="00495E83">
        <w:rPr>
          <w:b/>
          <w:sz w:val="28"/>
          <w:lang w:eastAsia="en-US"/>
        </w:rPr>
        <w:t xml:space="preserve">(point </w:t>
      </w:r>
      <w:r>
        <w:rPr>
          <w:b/>
          <w:sz w:val="28"/>
          <w:lang w:eastAsia="en-US"/>
        </w:rPr>
        <w:t>9</w:t>
      </w:r>
      <w:r w:rsidRPr="00495E83">
        <w:rPr>
          <w:b/>
          <w:sz w:val="28"/>
          <w:lang w:eastAsia="en-US"/>
        </w:rPr>
        <w:t xml:space="preserve"> de l’ordre du jour)</w:t>
      </w:r>
    </w:p>
    <w:p w14:paraId="5404BB54" w14:textId="1A67372C" w:rsidR="001076DF" w:rsidRDefault="00E677A4" w:rsidP="001076DF">
      <w:pPr>
        <w:pStyle w:val="SingleTxtG"/>
      </w:pPr>
      <w:r>
        <w:rPr>
          <w:lang w:val="fr-FR"/>
        </w:rPr>
        <w:t>84</w:t>
      </w:r>
      <w:r w:rsidR="001076DF">
        <w:rPr>
          <w:lang w:val="fr-FR"/>
        </w:rPr>
        <w:t>.</w:t>
      </w:r>
      <w:r w:rsidR="001076DF">
        <w:rPr>
          <w:lang w:val="fr-FR"/>
        </w:rPr>
        <w:tab/>
        <w:t>Une représentante des associations</w:t>
      </w:r>
      <w:r w:rsidR="001076DF" w:rsidRPr="00ED1DA8">
        <w:rPr>
          <w:lang w:val="fr-FR"/>
        </w:rPr>
        <w:t xml:space="preserve"> </w:t>
      </w:r>
      <w:r w:rsidR="001076DF" w:rsidRPr="00560653">
        <w:rPr>
          <w:lang w:val="fr-FR"/>
        </w:rPr>
        <w:t xml:space="preserve">World Bicycle </w:t>
      </w:r>
      <w:proofErr w:type="spellStart"/>
      <w:r w:rsidR="001076DF" w:rsidRPr="00560653">
        <w:rPr>
          <w:lang w:val="fr-FR"/>
        </w:rPr>
        <w:t>Industry</w:t>
      </w:r>
      <w:proofErr w:type="spellEnd"/>
      <w:r w:rsidR="001076DF" w:rsidRPr="00560653">
        <w:rPr>
          <w:lang w:val="fr-FR"/>
        </w:rPr>
        <w:t xml:space="preserve"> Association</w:t>
      </w:r>
      <w:r w:rsidR="001076DF">
        <w:rPr>
          <w:lang w:val="fr-FR"/>
        </w:rPr>
        <w:t xml:space="preserve"> (WBIA) et </w:t>
      </w:r>
      <w:proofErr w:type="spellStart"/>
      <w:r w:rsidR="001076DF" w:rsidRPr="00661916">
        <w:rPr>
          <w:lang w:val="fr-FR"/>
        </w:rPr>
        <w:t>Confederation</w:t>
      </w:r>
      <w:proofErr w:type="spellEnd"/>
      <w:r w:rsidR="001076DF" w:rsidRPr="00661916">
        <w:rPr>
          <w:lang w:val="fr-FR"/>
        </w:rPr>
        <w:t xml:space="preserve"> of the </w:t>
      </w:r>
      <w:proofErr w:type="spellStart"/>
      <w:r w:rsidR="001076DF" w:rsidRPr="00661916">
        <w:rPr>
          <w:lang w:val="fr-FR"/>
        </w:rPr>
        <w:t>European</w:t>
      </w:r>
      <w:proofErr w:type="spellEnd"/>
      <w:r w:rsidR="001076DF" w:rsidRPr="00661916">
        <w:rPr>
          <w:lang w:val="fr-FR"/>
        </w:rPr>
        <w:t xml:space="preserve"> Bicycle </w:t>
      </w:r>
      <w:proofErr w:type="spellStart"/>
      <w:r w:rsidR="001076DF" w:rsidRPr="00661916">
        <w:rPr>
          <w:lang w:val="fr-FR"/>
        </w:rPr>
        <w:t>Industry</w:t>
      </w:r>
      <w:proofErr w:type="spellEnd"/>
      <w:r w:rsidR="001076DF">
        <w:rPr>
          <w:lang w:val="fr-FR"/>
        </w:rPr>
        <w:t xml:space="preserve"> (CONEBI) a présenté leurs activités et a indiqué leur intérêt à participer aux sessions du Groupe de travail. Elle a indiqué qu’elle avait transmis au secrétariat les </w:t>
      </w:r>
      <w:r w:rsidR="001076DF">
        <w:t xml:space="preserve">justifications requises pour une demande de statut consultatif. Le </w:t>
      </w:r>
      <w:r w:rsidR="001076DF">
        <w:lastRenderedPageBreak/>
        <w:t>secrétariat a été prié de soumettre cette demande sous forme de document officiel à la prochaine session.</w:t>
      </w:r>
    </w:p>
    <w:p w14:paraId="549359E2" w14:textId="77777777" w:rsidR="001076DF" w:rsidRPr="0098570B" w:rsidRDefault="001076DF" w:rsidP="001076DF">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r>
      <w:r w:rsidRPr="0098570B">
        <w:rPr>
          <w:b/>
          <w:sz w:val="28"/>
          <w:lang w:eastAsia="en-US"/>
        </w:rPr>
        <w:t>XI.</w:t>
      </w:r>
      <w:r w:rsidRPr="0098570B">
        <w:rPr>
          <w:b/>
          <w:sz w:val="28"/>
          <w:lang w:eastAsia="en-US"/>
        </w:rPr>
        <w:tab/>
        <w:t>Élection du Bureau pour 2024 (point 10 de l’ordre du jour)</w:t>
      </w:r>
    </w:p>
    <w:p w14:paraId="33EC212C" w14:textId="48CD8D2C" w:rsidR="001076DF" w:rsidRDefault="00E677A4" w:rsidP="001076DF">
      <w:pPr>
        <w:spacing w:after="120"/>
        <w:ind w:left="1134" w:right="1134"/>
        <w:jc w:val="both"/>
        <w:rPr>
          <w:lang w:val="fr-FR"/>
        </w:rPr>
      </w:pPr>
      <w:r>
        <w:rPr>
          <w:lang w:val="fr-FR"/>
        </w:rPr>
        <w:t>85</w:t>
      </w:r>
      <w:r w:rsidR="001076DF" w:rsidRPr="0098570B">
        <w:rPr>
          <w:lang w:val="fr-FR"/>
        </w:rPr>
        <w:t>.</w:t>
      </w:r>
      <w:r w:rsidR="001076DF" w:rsidRPr="0098570B">
        <w:rPr>
          <w:lang w:val="fr-FR"/>
        </w:rPr>
        <w:tab/>
        <w:t>Sur proposition du représentant d</w:t>
      </w:r>
      <w:r w:rsidR="001076DF">
        <w:rPr>
          <w:lang w:val="fr-FR"/>
        </w:rPr>
        <w:t>u</w:t>
      </w:r>
      <w:r w:rsidR="001076DF" w:rsidRPr="0098570B">
        <w:rPr>
          <w:lang w:val="fr-FR"/>
        </w:rPr>
        <w:t xml:space="preserve"> Luxembourg soutenue par les représentants des Pays-Bas et de l’Allemagne, le Groupe de travail a élu M</w:t>
      </w:r>
      <w:r w:rsidR="001076DF" w:rsidRPr="0098570B">
        <w:rPr>
          <w:vertAlign w:val="superscript"/>
          <w:lang w:val="fr-FR"/>
        </w:rPr>
        <w:t>me</w:t>
      </w:r>
      <w:r w:rsidR="001076DF" w:rsidRPr="0098570B">
        <w:rPr>
          <w:lang w:val="fr-FR"/>
        </w:rPr>
        <w:t> Ariane Roumier (France) Présidente et M. Alfonso Simoni (Italie) Vice-Président pour l’année 2024.</w:t>
      </w:r>
    </w:p>
    <w:p w14:paraId="04C1684F" w14:textId="77777777" w:rsidR="001076DF" w:rsidRPr="00495E83" w:rsidRDefault="001076DF" w:rsidP="001076DF">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r>
      <w:r>
        <w:rPr>
          <w:b/>
          <w:sz w:val="28"/>
          <w:lang w:eastAsia="en-US"/>
        </w:rPr>
        <w:t>XII</w:t>
      </w:r>
      <w:r w:rsidRPr="00495E83">
        <w:rPr>
          <w:b/>
          <w:sz w:val="28"/>
          <w:lang w:eastAsia="en-US"/>
        </w:rPr>
        <w:t>.</w:t>
      </w:r>
      <w:r w:rsidRPr="00495E83">
        <w:rPr>
          <w:b/>
          <w:sz w:val="28"/>
          <w:lang w:eastAsia="en-US"/>
        </w:rPr>
        <w:tab/>
      </w:r>
      <w:r w:rsidRPr="008C3C4A">
        <w:rPr>
          <w:b/>
          <w:sz w:val="28"/>
          <w:lang w:eastAsia="en-US"/>
        </w:rPr>
        <w:t>Adoption du rapport</w:t>
      </w:r>
      <w:r w:rsidRPr="006D0587">
        <w:rPr>
          <w:b/>
          <w:sz w:val="28"/>
          <w:lang w:eastAsia="en-US"/>
        </w:rPr>
        <w:t xml:space="preserve"> </w:t>
      </w:r>
      <w:r w:rsidRPr="00495E83">
        <w:rPr>
          <w:b/>
          <w:sz w:val="28"/>
          <w:lang w:eastAsia="en-US"/>
        </w:rPr>
        <w:t xml:space="preserve">(point </w:t>
      </w:r>
      <w:r>
        <w:rPr>
          <w:b/>
          <w:sz w:val="28"/>
          <w:lang w:eastAsia="en-US"/>
        </w:rPr>
        <w:t>11</w:t>
      </w:r>
      <w:r w:rsidRPr="00495E83">
        <w:rPr>
          <w:b/>
          <w:sz w:val="28"/>
          <w:lang w:eastAsia="en-US"/>
        </w:rPr>
        <w:t xml:space="preserve"> de l’ordre du jour)</w:t>
      </w:r>
    </w:p>
    <w:p w14:paraId="0ACB5194" w14:textId="063C5C3D" w:rsidR="001076DF" w:rsidRDefault="00E677A4" w:rsidP="001076DF">
      <w:pPr>
        <w:spacing w:after="120"/>
        <w:ind w:left="1134" w:right="1134"/>
        <w:jc w:val="both"/>
        <w:rPr>
          <w:lang w:val="fr-FR"/>
        </w:rPr>
      </w:pPr>
      <w:r>
        <w:rPr>
          <w:lang w:val="fr-FR"/>
        </w:rPr>
        <w:t>86</w:t>
      </w:r>
      <w:r w:rsidR="001076DF">
        <w:rPr>
          <w:lang w:val="fr-FR"/>
        </w:rPr>
        <w:t>.</w:t>
      </w:r>
      <w:r w:rsidR="001076DF">
        <w:rPr>
          <w:lang w:val="fr-FR"/>
        </w:rPr>
        <w:tab/>
        <w:t>Le Groupe de travail a adopté le rapport de sa 114</w:t>
      </w:r>
      <w:r w:rsidR="001076DF">
        <w:rPr>
          <w:vertAlign w:val="superscript"/>
          <w:lang w:val="fr-FR"/>
        </w:rPr>
        <w:t>e</w:t>
      </w:r>
      <w:r w:rsidR="001076DF">
        <w:rPr>
          <w:lang w:val="fr-FR"/>
        </w:rPr>
        <w:t xml:space="preserve"> session et ses annexes sur la base d’un projet établi par le secrétariat.</w:t>
      </w:r>
    </w:p>
    <w:p w14:paraId="5D941072" w14:textId="1447C361" w:rsidR="001076DF" w:rsidRDefault="001076DF">
      <w:pPr>
        <w:rPr>
          <w:lang w:val="fr-FR"/>
        </w:rPr>
      </w:pPr>
      <w:r>
        <w:rPr>
          <w:lang w:val="fr-FR"/>
        </w:rPr>
        <w:br w:type="page"/>
      </w:r>
    </w:p>
    <w:p w14:paraId="66C95FA3" w14:textId="77777777" w:rsidR="00E677A4" w:rsidRDefault="00E677A4" w:rsidP="00E677A4">
      <w:pPr>
        <w:pStyle w:val="HChG"/>
        <w:rPr>
          <w:bCs/>
          <w:lang w:val="fr-FR"/>
        </w:rPr>
      </w:pPr>
      <w:r>
        <w:rPr>
          <w:lang w:val="fr-FR"/>
        </w:rPr>
        <w:lastRenderedPageBreak/>
        <w:t>Annexe </w:t>
      </w:r>
      <w:r w:rsidRPr="00455A13">
        <w:rPr>
          <w:bCs/>
          <w:lang w:val="fr-FR"/>
        </w:rPr>
        <w:t>I</w:t>
      </w:r>
    </w:p>
    <w:p w14:paraId="1EE13C91" w14:textId="739F98D2" w:rsidR="00E677A4" w:rsidRPr="00455A13" w:rsidRDefault="00E677A4" w:rsidP="00E677A4">
      <w:pPr>
        <w:pStyle w:val="HChG"/>
        <w:rPr>
          <w:bCs/>
          <w:lang w:val="fr-FR"/>
        </w:rPr>
      </w:pPr>
      <w:r>
        <w:rPr>
          <w:bCs/>
          <w:lang w:val="fr-FR"/>
        </w:rPr>
        <w:tab/>
      </w:r>
      <w:r>
        <w:rPr>
          <w:bCs/>
          <w:lang w:val="fr-FR"/>
        </w:rPr>
        <w:tab/>
        <w:t>Projet de m</w:t>
      </w:r>
      <w:r w:rsidRPr="00455A13">
        <w:rPr>
          <w:bCs/>
          <w:lang w:val="fr-FR"/>
        </w:rPr>
        <w:t>andat</w:t>
      </w:r>
      <w:r>
        <w:rPr>
          <w:bCs/>
          <w:lang w:val="fr-FR"/>
        </w:rPr>
        <w:t xml:space="preserve"> révisé proposé par le </w:t>
      </w:r>
      <w:r w:rsidRPr="00455A13">
        <w:rPr>
          <w:lang w:val="fr-FR"/>
        </w:rPr>
        <w:t>Groupe</w:t>
      </w:r>
      <w:r w:rsidRPr="00455A13">
        <w:rPr>
          <w:bCs/>
          <w:lang w:val="fr-FR"/>
        </w:rPr>
        <w:t xml:space="preserve"> de travail</w:t>
      </w:r>
    </w:p>
    <w:p w14:paraId="41DD3C8D" w14:textId="49B0517D" w:rsidR="00E677A4" w:rsidRPr="002914D7" w:rsidRDefault="00E677A4" w:rsidP="00E677A4">
      <w:pPr>
        <w:pStyle w:val="SingleTxtG"/>
        <w:keepNext/>
        <w:spacing w:after="100"/>
        <w:rPr>
          <w:i/>
          <w:iCs/>
        </w:rPr>
      </w:pPr>
      <w:r>
        <w:rPr>
          <w:i/>
          <w:iCs/>
          <w:lang w:val="fr-FR"/>
        </w:rPr>
        <w:t xml:space="preserve">Note du secrétariat : Au paragraphe 3, </w:t>
      </w:r>
      <w:r w:rsidRPr="00327370">
        <w:rPr>
          <w:i/>
          <w:iCs/>
          <w:lang w:val="fr-FR"/>
        </w:rPr>
        <w:t>l'ordre des alinéas a été modifié pour des raisons édit</w:t>
      </w:r>
      <w:r>
        <w:rPr>
          <w:i/>
          <w:iCs/>
          <w:lang w:val="fr-FR"/>
        </w:rPr>
        <w:t>oriales.</w:t>
      </w:r>
    </w:p>
    <w:p w14:paraId="5F68B7B3" w14:textId="0C330F24" w:rsidR="00E677A4" w:rsidRDefault="00E677A4" w:rsidP="00E677A4">
      <w:pPr>
        <w:pStyle w:val="SingleTxtG"/>
      </w:pPr>
      <w:r>
        <w:rPr>
          <w:lang w:val="fr-FR"/>
        </w:rPr>
        <w:t>1.</w:t>
      </w:r>
      <w:r>
        <w:rPr>
          <w:lang w:val="fr-FR"/>
        </w:rPr>
        <w:tab/>
        <w:t xml:space="preserve">Le Groupe de travail des transports de marchandises dangereuses (ci-après dénommé le WP.15) agit dans le cadre des politiques de l’Organisation des Nations Unies et de la Commission économique pour l’Europe (ci-après dénommée la CEE), sous la supervision générale de son organe de tutelle, le Comité des transports intérieurs (ci-après dénommé le CTI), et conformément aux mandats de la CEE (E/ECE/778/Rev.5) et du CTI (E/RES/2022/2 et ECE/TRANS/316/Add.2). </w:t>
      </w:r>
    </w:p>
    <w:p w14:paraId="4F5C3CFF" w14:textId="77777777" w:rsidR="00E677A4" w:rsidRDefault="00E677A4" w:rsidP="00E677A4">
      <w:pPr>
        <w:pStyle w:val="SingleTxtG"/>
      </w:pPr>
      <w:r>
        <w:rPr>
          <w:lang w:val="fr-FR"/>
        </w:rPr>
        <w:t>2.</w:t>
      </w:r>
      <w:r>
        <w:rPr>
          <w:lang w:val="fr-FR"/>
        </w:rPr>
        <w:tab/>
        <w:t>Le WP.15 s’acquitte de ses tâches conformément aux Directives aux fins de l’établissement et du fonctionnement de groupes de travail sous l’égide de la CEE, telles qu’elles ont été approuvées par le Comité exécutif de la CEE à sa quatrième réunion, le 14 juillet 2006 (ECE/EX/1). Ces directives définissent le statut et les caractéristiques du WP.15, y compris son mandat et la prolongation de celui-ci, qui devraient faire l’objet d’un examen tous les cinq ans, sa composition et les membres de son bureau, ses méthodes de travail, ainsi que son secrétariat, qui est assuré par la Division des transports durables de la CEE.</w:t>
      </w:r>
    </w:p>
    <w:p w14:paraId="209CDCDA" w14:textId="77777777" w:rsidR="00E677A4" w:rsidRDefault="00E677A4" w:rsidP="00E677A4">
      <w:pPr>
        <w:pStyle w:val="SingleTxtG"/>
      </w:pPr>
      <w:r>
        <w:rPr>
          <w:lang w:val="fr-FR"/>
        </w:rPr>
        <w:t>3.</w:t>
      </w:r>
      <w:r>
        <w:rPr>
          <w:lang w:val="fr-FR"/>
        </w:rPr>
        <w:tab/>
        <w:t>Le WP.15 doit :</w:t>
      </w:r>
    </w:p>
    <w:p w14:paraId="3CD16559" w14:textId="54A29531" w:rsidR="00E677A4" w:rsidRDefault="00E677A4" w:rsidP="00E677A4">
      <w:pPr>
        <w:pStyle w:val="SingleTxtG"/>
      </w:pPr>
      <w:r>
        <w:rPr>
          <w:lang w:val="fr-FR"/>
        </w:rPr>
        <w:t>a)</w:t>
      </w:r>
      <w:r>
        <w:rPr>
          <w:lang w:val="fr-FR"/>
        </w:rPr>
        <w:tab/>
        <w:t>Développer et mettre à jour l’Accord relatif au transport international de marchandises dangereuses par route (ADR), fait à Genève en 1957, et l’Accord européen relatif au transport international de marchandises dangereuses par voies de navigation intérieures (ADN), fait à Genève en 2000, ainsi que d’autres instruments juridiques pertinents traitant du transport des marchandises dangereuses dont le CTI pourrait lui confier la responsabilité ;</w:t>
      </w:r>
    </w:p>
    <w:p w14:paraId="4829CC1E" w14:textId="0438DE6C" w:rsidR="00E677A4" w:rsidRDefault="00E677A4" w:rsidP="00E677A4">
      <w:pPr>
        <w:pStyle w:val="SingleTxtG"/>
      </w:pPr>
      <w:r>
        <w:rPr>
          <w:lang w:val="fr-FR"/>
        </w:rPr>
        <w:t>b)</w:t>
      </w:r>
      <w:r>
        <w:rPr>
          <w:lang w:val="fr-FR"/>
        </w:rPr>
        <w:tab/>
        <w:t>Prendre et mettre en œuvre des mesures visant à accroître la sécurité et la sûreté des transports intérieurs de marchandises dangereuses et à protéger l’environnement au cours de ces transports, y compris élaborer des normes, des recommandations relatives aux pratiques et des documents d’orientation concernant les transports qui n’entrent pas dans le champ d’application du RID, de l’ADR et de l’ADN ;</w:t>
      </w:r>
    </w:p>
    <w:p w14:paraId="06886B00" w14:textId="14B98C3C" w:rsidR="00E677A4" w:rsidRDefault="00E677A4" w:rsidP="00E677A4">
      <w:pPr>
        <w:pStyle w:val="SingleTxtG"/>
      </w:pPr>
      <w:r>
        <w:rPr>
          <w:lang w:val="fr-FR"/>
        </w:rPr>
        <w:t>c)</w:t>
      </w:r>
      <w:r>
        <w:rPr>
          <w:lang w:val="fr-FR"/>
        </w:rPr>
        <w:tab/>
        <w:t>Promouvoir la facilitation du transport international des marchandises dangereuses par une harmonisation des prescriptions et règles y relatives ainsi que des procédures administratives et de la documentation auxquelles ce transport est soumis ;</w:t>
      </w:r>
    </w:p>
    <w:p w14:paraId="7F68F87B" w14:textId="77777777" w:rsidR="00E677A4" w:rsidRDefault="00E677A4" w:rsidP="00E677A4">
      <w:pPr>
        <w:pStyle w:val="SingleTxtG"/>
      </w:pPr>
      <w:r>
        <w:rPr>
          <w:lang w:val="fr-FR"/>
        </w:rPr>
        <w:t>d)</w:t>
      </w:r>
      <w:r>
        <w:rPr>
          <w:lang w:val="fr-FR"/>
        </w:rPr>
        <w:tab/>
        <w:t>Favoriser l’adhésion de nouveaux pays aux accords mentionnés ci</w:t>
      </w:r>
      <w:r>
        <w:rPr>
          <w:lang w:val="fr-FR"/>
        </w:rPr>
        <w:noBreakHyphen/>
        <w:t>dessus ;</w:t>
      </w:r>
    </w:p>
    <w:p w14:paraId="791170EE" w14:textId="77777777" w:rsidR="00E677A4" w:rsidRDefault="00E677A4" w:rsidP="00E677A4">
      <w:pPr>
        <w:pStyle w:val="SingleTxtG"/>
      </w:pPr>
      <w:r>
        <w:rPr>
          <w:lang w:val="fr-FR"/>
        </w:rPr>
        <w:t>e)</w:t>
      </w:r>
      <w:r>
        <w:rPr>
          <w:lang w:val="fr-FR"/>
        </w:rPr>
        <w:tab/>
        <w:t>Assurer l’harmonisation de l’ADR et de l’ADN avec d’autres instruments juridiques pertinents régissant le transport des marchandises dangereuses par d’autres modes de transport sur la base des recommandations du Comité d’experts du transport des marchandises dangereuses et du Système général harmonisé de classification et d’étiquetage des produits chimiques du Conseil économique et social des Nations Unies ;</w:t>
      </w:r>
    </w:p>
    <w:p w14:paraId="2D264A2E" w14:textId="77777777" w:rsidR="00E677A4" w:rsidRDefault="00E677A4" w:rsidP="00E677A4">
      <w:pPr>
        <w:pStyle w:val="SingleTxtG"/>
      </w:pPr>
      <w:r>
        <w:rPr>
          <w:lang w:val="fr-FR"/>
        </w:rPr>
        <w:t>f)</w:t>
      </w:r>
      <w:r>
        <w:rPr>
          <w:lang w:val="fr-FR"/>
        </w:rPr>
        <w:tab/>
        <w:t>Favoriser une participation à ses activités en encourageant la coopération et la collaboration avec les pays, la Commission européenne, les organisations internationales gouvernementales et non gouvernementales concernées par les transports de marchandises dangereuses ainsi qu’avec les autres commissions régionales des Nations Unies et d’autres organisations ou organes du système des Nations Unies, en vue notamment de discuter et de régler tout problème lié à l’interprétation ou la mise en œuvre effective des prescriptions de l’ADR ou de l’ADN ou d’autres instruments juridiques pertinents ;</w:t>
      </w:r>
    </w:p>
    <w:p w14:paraId="30F899F5" w14:textId="77777777" w:rsidR="00E677A4" w:rsidRDefault="00E677A4" w:rsidP="00E677A4">
      <w:pPr>
        <w:pStyle w:val="SingleTxtG"/>
      </w:pPr>
      <w:r>
        <w:rPr>
          <w:lang w:val="fr-FR"/>
        </w:rPr>
        <w:t>g)</w:t>
      </w:r>
      <w:r>
        <w:rPr>
          <w:lang w:val="fr-FR"/>
        </w:rPr>
        <w:tab/>
        <w:t xml:space="preserve">Collaborer étroitement avec les autres organes subsidiaires du CTI, notamment le Forum mondial de l’harmonisation des Règlements concernant les véhicules (WP.29), le Groupe de travail des transports routiers (SC.1), le Forum mondial de la sécurité routière (WP.1), le Groupe de travail des transports par voie navigable (SC.3) et le Groupe de travail des statistiques des transports (WP.6), </w:t>
      </w:r>
      <w:r w:rsidRPr="00455A13">
        <w:rPr>
          <w:lang w:val="fr-FR"/>
        </w:rPr>
        <w:t>Groupe de travail du transport intermodal et de la logistique (WP.24)</w:t>
      </w:r>
      <w:r>
        <w:rPr>
          <w:lang w:val="fr-FR"/>
        </w:rPr>
        <w:t>, ainsi que tout autre organe pertinent de la CEE, sur les questions d’intérêt commun touchant les transports de marchandises dangereuses ;</w:t>
      </w:r>
    </w:p>
    <w:p w14:paraId="4C371E46" w14:textId="77777777" w:rsidR="00E677A4" w:rsidRDefault="00E677A4" w:rsidP="00E677A4">
      <w:pPr>
        <w:pStyle w:val="SingleTxtG"/>
      </w:pPr>
      <w:r>
        <w:rPr>
          <w:lang w:val="fr-FR"/>
        </w:rPr>
        <w:lastRenderedPageBreak/>
        <w:t>h)</w:t>
      </w:r>
      <w:r>
        <w:rPr>
          <w:lang w:val="fr-FR"/>
        </w:rPr>
        <w:tab/>
        <w:t>Définir et mettre en œuvre un programme de travail ayant trait à ses activités ;</w:t>
      </w:r>
    </w:p>
    <w:p w14:paraId="79914E33" w14:textId="77777777" w:rsidR="00E677A4" w:rsidRDefault="00E677A4" w:rsidP="00E677A4">
      <w:pPr>
        <w:pStyle w:val="SingleTxtG"/>
      </w:pPr>
      <w:r>
        <w:rPr>
          <w:lang w:val="fr-FR"/>
        </w:rPr>
        <w:t>i)</w:t>
      </w:r>
      <w:r>
        <w:rPr>
          <w:lang w:val="fr-FR"/>
        </w:rPr>
        <w:tab/>
        <w:t>Créer une ambiance de travail qui facilite l’exécution par les Parties contractantes de leurs obligations énoncées dans les instruments juridiques concernés par les activités du groupe, et les échanges de vues concernant l’interprétation de ces instruments ou le règlement de problèmes liés à leur mise en œuvre effective ;</w:t>
      </w:r>
    </w:p>
    <w:p w14:paraId="5671F482" w14:textId="77777777" w:rsidR="00E677A4" w:rsidRDefault="00E677A4" w:rsidP="00E677A4">
      <w:pPr>
        <w:pStyle w:val="SingleTxtG"/>
      </w:pPr>
      <w:r>
        <w:rPr>
          <w:lang w:val="fr-FR"/>
        </w:rPr>
        <w:t>j)</w:t>
      </w:r>
      <w:r>
        <w:rPr>
          <w:lang w:val="fr-FR"/>
        </w:rPr>
        <w:tab/>
        <w:t>Veiller à la régularité et à la transparence des séances.</w:t>
      </w:r>
    </w:p>
    <w:p w14:paraId="6CBE1456" w14:textId="2D4599B6" w:rsidR="00E677A4" w:rsidRDefault="00E677A4" w:rsidP="00E677A4">
      <w:pPr>
        <w:pStyle w:val="SingleTxtG"/>
      </w:pPr>
      <w:r>
        <w:rPr>
          <w:lang w:val="fr-FR"/>
        </w:rPr>
        <w:t>4.</w:t>
      </w:r>
      <w:r>
        <w:rPr>
          <w:lang w:val="fr-FR"/>
        </w:rPr>
        <w:tab/>
        <w:t>Le présent mandat et le Règlement intérieur s’appliquent au WP.15 et ne modifient pas les dispositions des instruments juridiques pertinents.</w:t>
      </w:r>
    </w:p>
    <w:p w14:paraId="7D22BF11" w14:textId="77777777" w:rsidR="001E55E7" w:rsidRDefault="001E55E7">
      <w:pPr>
        <w:rPr>
          <w:b/>
          <w:sz w:val="28"/>
          <w:lang w:val="fr-FR"/>
        </w:rPr>
      </w:pPr>
      <w:r>
        <w:rPr>
          <w:lang w:val="fr-FR"/>
        </w:rPr>
        <w:br w:type="page"/>
      </w:r>
    </w:p>
    <w:p w14:paraId="396C2353" w14:textId="2FB2E5B3" w:rsidR="00E677A4" w:rsidRDefault="00AB693C" w:rsidP="00AB693C">
      <w:pPr>
        <w:pStyle w:val="HChG"/>
        <w:rPr>
          <w:lang w:val="fr-FR"/>
        </w:rPr>
      </w:pPr>
      <w:r>
        <w:rPr>
          <w:lang w:val="fr-FR"/>
        </w:rPr>
        <w:lastRenderedPageBreak/>
        <w:t>Annexe</w:t>
      </w:r>
      <w:r w:rsidR="000D10E8">
        <w:rPr>
          <w:lang w:val="fr-FR"/>
        </w:rPr>
        <w:t> </w:t>
      </w:r>
      <w:r w:rsidRPr="004A2EDD">
        <w:rPr>
          <w:lang w:val="fr-FR"/>
        </w:rPr>
        <w:t>I</w:t>
      </w:r>
      <w:r w:rsidR="00E677A4">
        <w:rPr>
          <w:lang w:val="fr-FR"/>
        </w:rPr>
        <w:t>I</w:t>
      </w:r>
    </w:p>
    <w:p w14:paraId="47C61C1C" w14:textId="10FE8465" w:rsidR="00AB693C" w:rsidRPr="004A2EDD" w:rsidRDefault="00E677A4" w:rsidP="00AB693C">
      <w:pPr>
        <w:pStyle w:val="HChG"/>
        <w:rPr>
          <w:lang w:val="fr-FR"/>
        </w:rPr>
      </w:pPr>
      <w:r>
        <w:rPr>
          <w:lang w:val="fr-FR"/>
        </w:rPr>
        <w:tab/>
      </w:r>
      <w:r w:rsidR="00AB693C" w:rsidRPr="004A2EDD">
        <w:rPr>
          <w:lang w:val="fr-FR"/>
        </w:rPr>
        <w:tab/>
        <w:t>Projet d’amendements aux annexes A et B de l’ADR pour entrée en vigueur le 1er janvier 2025</w:t>
      </w:r>
    </w:p>
    <w:p w14:paraId="16314607" w14:textId="77777777" w:rsidR="00AB693C" w:rsidRPr="004A2EDD" w:rsidRDefault="00AB693C" w:rsidP="00AB693C">
      <w:pPr>
        <w:pStyle w:val="H23G"/>
        <w:rPr>
          <w:lang w:val="fr-FR"/>
        </w:rPr>
      </w:pPr>
      <w:r w:rsidRPr="004A2EDD">
        <w:rPr>
          <w:lang w:val="fr-FR"/>
        </w:rPr>
        <w:tab/>
      </w:r>
      <w:r w:rsidRPr="004A2EDD">
        <w:rPr>
          <w:lang w:val="fr-FR"/>
        </w:rPr>
        <w:tab/>
        <w:t>Chapitre 3.4</w:t>
      </w:r>
    </w:p>
    <w:p w14:paraId="7B58300A" w14:textId="39FF761A" w:rsidR="00AB693C" w:rsidRPr="004A2EDD" w:rsidRDefault="00AB693C" w:rsidP="00AB693C">
      <w:pPr>
        <w:pStyle w:val="SingleTxtG"/>
        <w:ind w:left="2268" w:hanging="1134"/>
      </w:pPr>
      <w:r w:rsidRPr="004A2EDD">
        <w:t>3.4.1</w:t>
      </w:r>
      <w:r w:rsidRPr="004A2EDD">
        <w:tab/>
      </w:r>
      <w:r w:rsidRPr="005C6A7B">
        <w:t>À l’alinéa h), remplacer « </w:t>
      </w:r>
      <w:r w:rsidRPr="005C6A7B">
        <w:rPr>
          <w:rFonts w:ascii="TimesNewRomanPSMT" w:hAnsi="TimesNewRomanPSMT" w:cs="TimesNewRomanPSMT"/>
        </w:rPr>
        <w:t>Du 8.6.3.3 et du 8.6.4</w:t>
      </w:r>
      <w:r w:rsidRPr="005C6A7B">
        <w:t> » par « De la partie 8, 8.2.3</w:t>
      </w:r>
      <w:r>
        <w:t>, 8.6.3.3 et 8.6.4.</w:t>
      </w:r>
      <w:r w:rsidRPr="005C6A7B">
        <w:t> ».</w:t>
      </w:r>
    </w:p>
    <w:p w14:paraId="0137E400" w14:textId="77777777" w:rsidR="00AB693C" w:rsidRPr="004A2EDD" w:rsidRDefault="00AB693C" w:rsidP="00AB693C">
      <w:pPr>
        <w:pStyle w:val="SingleTxtG"/>
        <w:rPr>
          <w:i/>
          <w:iCs/>
          <w:lang w:val="fr-FR"/>
        </w:rPr>
      </w:pPr>
      <w:r w:rsidRPr="004A2EDD">
        <w:rPr>
          <w:i/>
          <w:iCs/>
          <w:lang w:val="fr-FR"/>
        </w:rPr>
        <w:t>(Document de référence : ECE/TRANS/WP.15/2023/16, tel que modifié)</w:t>
      </w:r>
    </w:p>
    <w:p w14:paraId="58328AEC" w14:textId="77777777" w:rsidR="00AB693C" w:rsidRPr="004A2EDD" w:rsidRDefault="00AB693C" w:rsidP="00AB693C">
      <w:pPr>
        <w:pStyle w:val="H23G"/>
        <w:rPr>
          <w:lang w:val="fr-FR"/>
        </w:rPr>
      </w:pPr>
      <w:r w:rsidRPr="004A2EDD">
        <w:rPr>
          <w:lang w:val="fr-FR"/>
        </w:rPr>
        <w:tab/>
      </w:r>
      <w:r w:rsidRPr="004A2EDD">
        <w:rPr>
          <w:lang w:val="fr-FR"/>
        </w:rPr>
        <w:tab/>
        <w:t xml:space="preserve">Chapitre </w:t>
      </w:r>
      <w:r>
        <w:rPr>
          <w:lang w:val="fr-FR"/>
        </w:rPr>
        <w:t>6.8</w:t>
      </w:r>
    </w:p>
    <w:p w14:paraId="26085F0C" w14:textId="77777777" w:rsidR="00AB693C" w:rsidRPr="00B93575" w:rsidRDefault="00AB693C" w:rsidP="00AB693C">
      <w:pPr>
        <w:spacing w:after="120"/>
        <w:ind w:left="1134" w:right="1134"/>
        <w:jc w:val="both"/>
        <w:rPr>
          <w:rFonts w:eastAsia="Calibri" w:cs="Arial"/>
          <w:bCs/>
          <w:lang w:val="fr-FR"/>
        </w:rPr>
      </w:pPr>
      <w:r w:rsidRPr="00B93575">
        <w:rPr>
          <w:rFonts w:eastAsia="Calibri"/>
          <w:lang w:val="fr-FR"/>
        </w:rPr>
        <w:t>6.8.2.6.1</w:t>
      </w:r>
      <w:r w:rsidRPr="00B93575">
        <w:rPr>
          <w:rFonts w:eastAsia="Calibri"/>
          <w:lang w:val="fr-FR"/>
        </w:rPr>
        <w:tab/>
        <w:t>Dans le tableau, sous « </w:t>
      </w:r>
      <w:r w:rsidRPr="00B93575">
        <w:rPr>
          <w:rFonts w:eastAsia="Calibri"/>
          <w:i/>
          <w:iCs/>
          <w:lang w:val="fr-FR"/>
        </w:rPr>
        <w:t>Pour la conception et la construction des citernes</w:t>
      </w:r>
      <w:r w:rsidRPr="00B93575">
        <w:rPr>
          <w:rFonts w:eastAsia="Calibri"/>
          <w:lang w:val="fr-FR"/>
        </w:rPr>
        <w:t> » :</w:t>
      </w:r>
    </w:p>
    <w:p w14:paraId="2A331019" w14:textId="186294E5" w:rsidR="00AB693C" w:rsidRPr="00B93575" w:rsidRDefault="00AB693C" w:rsidP="00AB693C">
      <w:pPr>
        <w:spacing w:before="120" w:after="120"/>
        <w:ind w:left="2268" w:right="1134"/>
        <w:jc w:val="both"/>
        <w:rPr>
          <w:rFonts w:eastAsia="Calibri" w:cs="Arial"/>
          <w:lang w:val="fr-FR"/>
        </w:rPr>
      </w:pPr>
      <w:r w:rsidRPr="00B93575">
        <w:rPr>
          <w:rFonts w:eastAsia="Calibri"/>
          <w:lang w:val="fr-FR"/>
        </w:rPr>
        <w:t>Dans la ligne pour « EN 14025:2018 + AC:2020 », dans la colonne 4), remplacer « Jusqu’à nouvel ordre » par « Entre le 1</w:t>
      </w:r>
      <w:r w:rsidRPr="00B93575">
        <w:rPr>
          <w:rFonts w:eastAsia="Calibri"/>
          <w:vertAlign w:val="superscript"/>
          <w:lang w:val="fr-FR"/>
        </w:rPr>
        <w:t>er</w:t>
      </w:r>
      <w:r w:rsidRPr="00B93575">
        <w:rPr>
          <w:rFonts w:eastAsia="Calibri"/>
          <w:lang w:val="fr-FR"/>
        </w:rPr>
        <w:t xml:space="preserve"> janvier 2021 et le 31 décembre 2026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AB693C" w:rsidRPr="00B93575" w14:paraId="24D6025A" w14:textId="77777777" w:rsidTr="00972C6A">
        <w:trPr>
          <w:cantSplit/>
        </w:trPr>
        <w:tc>
          <w:tcPr>
            <w:tcW w:w="2002" w:type="dxa"/>
            <w:tcBorders>
              <w:top w:val="single" w:sz="4" w:space="0" w:color="auto"/>
              <w:left w:val="single" w:sz="4" w:space="0" w:color="auto"/>
              <w:bottom w:val="single" w:sz="4" w:space="0" w:color="auto"/>
              <w:right w:val="single" w:sz="4" w:space="0" w:color="auto"/>
            </w:tcBorders>
            <w:vAlign w:val="center"/>
            <w:hideMark/>
          </w:tcPr>
          <w:p w14:paraId="03FD6687" w14:textId="51099C6F" w:rsidR="00AB693C" w:rsidRPr="00B93575" w:rsidRDefault="00AB693C" w:rsidP="00972C6A">
            <w:pPr>
              <w:widowControl w:val="0"/>
              <w:tabs>
                <w:tab w:val="left" w:pos="720"/>
              </w:tabs>
              <w:spacing w:before="60" w:after="60" w:line="220" w:lineRule="atLeast"/>
              <w:ind w:left="57" w:right="57"/>
              <w:rPr>
                <w:rFonts w:eastAsia="Calibri" w:cs="Arial"/>
                <w:lang w:val="fr-FR"/>
              </w:rPr>
            </w:pPr>
            <w:r w:rsidRPr="00B93575">
              <w:rPr>
                <w:rFonts w:eastAsia="Calibri"/>
                <w:lang w:val="fr-FR"/>
              </w:rPr>
              <w:t>EN 14025:2023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B52FB8C" w14:textId="77777777" w:rsidR="00AB693C" w:rsidRPr="00B93575" w:rsidRDefault="00AB693C" w:rsidP="00972C6A">
            <w:pPr>
              <w:widowControl w:val="0"/>
              <w:tabs>
                <w:tab w:val="left" w:pos="599"/>
              </w:tabs>
              <w:spacing w:before="60" w:after="60" w:line="220" w:lineRule="atLeast"/>
              <w:ind w:left="57" w:right="57"/>
              <w:rPr>
                <w:rFonts w:eastAsia="Calibri"/>
                <w:bCs/>
                <w:lang w:val="fr-FR"/>
              </w:rPr>
            </w:pPr>
            <w:r w:rsidRPr="00B93575">
              <w:rPr>
                <w:rFonts w:eastAsia="Calibri"/>
                <w:lang w:val="fr-FR"/>
              </w:rPr>
              <w:t>Citernes destinées au transport de matières dangereuses − citernes métalliques sous pression − conception et fabrication</w:t>
            </w:r>
          </w:p>
          <w:p w14:paraId="2988EDAC" w14:textId="77777777" w:rsidR="00AB693C" w:rsidRPr="00B93575" w:rsidRDefault="00AB693C" w:rsidP="00972C6A">
            <w:pPr>
              <w:widowControl w:val="0"/>
              <w:tabs>
                <w:tab w:val="left" w:pos="446"/>
              </w:tabs>
              <w:spacing w:before="60" w:after="60" w:line="220" w:lineRule="atLeast"/>
              <w:ind w:left="57" w:right="57"/>
              <w:rPr>
                <w:rFonts w:eastAsia="Calibri" w:cs="Arial"/>
                <w:bCs/>
                <w:i/>
                <w:lang w:val="fr-FR"/>
              </w:rPr>
            </w:pPr>
            <w:r w:rsidRPr="00B93575">
              <w:rPr>
                <w:rFonts w:eastAsia="Calibri"/>
                <w:b/>
                <w:bCs/>
                <w:i/>
                <w:iCs/>
                <w:lang w:val="fr-FR"/>
              </w:rPr>
              <w:t>NOTA :</w:t>
            </w:r>
            <w:r w:rsidRPr="00B93575">
              <w:rPr>
                <w:rFonts w:eastAsia="Calibri"/>
                <w:lang w:val="fr-FR"/>
              </w:rPr>
              <w:tab/>
            </w:r>
            <w:r w:rsidRPr="00B93575">
              <w:rPr>
                <w:rFonts w:eastAsia="Calibri"/>
                <w:i/>
                <w:iCs/>
                <w:lang w:val="fr-FR"/>
              </w:rPr>
              <w:t>Les matériaux des réservoirs doivent au moins être attestés par un certificat de type 3.1 délivré conformément à la norme EN 10204.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12A1BA" w14:textId="77777777" w:rsidR="00AB693C" w:rsidRPr="00B93575" w:rsidRDefault="00AB693C" w:rsidP="00972C6A">
            <w:pPr>
              <w:widowControl w:val="0"/>
              <w:tabs>
                <w:tab w:val="left" w:pos="720"/>
              </w:tabs>
              <w:spacing w:before="60" w:after="60" w:line="220" w:lineRule="atLeast"/>
              <w:ind w:left="57" w:right="57"/>
              <w:rPr>
                <w:rFonts w:eastAsia="Calibri" w:cs="Arial"/>
                <w:lang w:val="fr-FR"/>
              </w:rPr>
            </w:pPr>
            <w:r w:rsidRPr="00B93575">
              <w:rPr>
                <w:rFonts w:eastAsia="Calibri"/>
                <w:lang w:val="fr-FR"/>
              </w:rPr>
              <w:t>6.8.2.1 et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6D2FF90" w14:textId="77777777" w:rsidR="00AB693C" w:rsidRPr="00B93575" w:rsidRDefault="00AB693C" w:rsidP="00972C6A">
            <w:pPr>
              <w:widowControl w:val="0"/>
              <w:tabs>
                <w:tab w:val="left" w:pos="720"/>
              </w:tabs>
              <w:spacing w:before="60" w:after="60" w:line="220" w:lineRule="atLeast"/>
              <w:ind w:left="57" w:right="57"/>
              <w:rPr>
                <w:rFonts w:eastAsia="Calibri" w:cs="Arial"/>
                <w:lang w:val="fr-FR"/>
              </w:rPr>
            </w:pPr>
            <w:r w:rsidRPr="00B93575">
              <w:rPr>
                <w:rFonts w:eastAsia="Calibri"/>
                <w:lang w:val="fr-FR"/>
              </w:rPr>
              <w:t>Jusqu’à nouvel ordre</w:t>
            </w:r>
          </w:p>
        </w:tc>
        <w:tc>
          <w:tcPr>
            <w:tcW w:w="718" w:type="dxa"/>
            <w:tcBorders>
              <w:top w:val="single" w:sz="4" w:space="0" w:color="auto"/>
              <w:left w:val="single" w:sz="4" w:space="0" w:color="auto"/>
              <w:bottom w:val="single" w:sz="4" w:space="0" w:color="auto"/>
              <w:right w:val="single" w:sz="4" w:space="0" w:color="auto"/>
            </w:tcBorders>
            <w:vAlign w:val="center"/>
          </w:tcPr>
          <w:p w14:paraId="57A30A7B" w14:textId="77777777" w:rsidR="00AB693C" w:rsidRPr="00B93575" w:rsidRDefault="00AB693C" w:rsidP="00972C6A">
            <w:pPr>
              <w:widowControl w:val="0"/>
              <w:tabs>
                <w:tab w:val="left" w:pos="720"/>
              </w:tabs>
              <w:spacing w:before="60" w:after="60" w:line="220" w:lineRule="atLeast"/>
              <w:ind w:left="57" w:right="57"/>
              <w:rPr>
                <w:rFonts w:eastAsia="Calibri" w:cs="Arial"/>
                <w:lang w:val="fr-FR"/>
              </w:rPr>
            </w:pPr>
          </w:p>
        </w:tc>
      </w:tr>
    </w:tbl>
    <w:p w14:paraId="43602751" w14:textId="624C39B4" w:rsidR="00AB693C" w:rsidRPr="00B93575" w:rsidRDefault="00AB693C" w:rsidP="00AB693C">
      <w:pPr>
        <w:spacing w:after="120"/>
        <w:ind w:left="1134" w:right="1134"/>
        <w:jc w:val="both"/>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ECE/TRANS/WP.15/260, annexe)</w:t>
      </w:r>
    </w:p>
    <w:p w14:paraId="5AD120B2" w14:textId="2F52B75E" w:rsidR="00AB693C" w:rsidRPr="00B93575" w:rsidRDefault="00AB693C" w:rsidP="00AB693C">
      <w:pPr>
        <w:spacing w:before="120" w:after="120"/>
        <w:ind w:left="2268" w:right="1134" w:hanging="1134"/>
        <w:jc w:val="both"/>
        <w:rPr>
          <w:rFonts w:eastAsia="Calibri"/>
          <w:lang w:val="fr-FR"/>
        </w:rPr>
      </w:pPr>
      <w:r w:rsidRPr="00B93575">
        <w:rPr>
          <w:rFonts w:eastAsia="Calibri"/>
          <w:lang w:val="fr-FR"/>
        </w:rPr>
        <w:t>6.8.4 d), TT11</w:t>
      </w:r>
      <w:r w:rsidRPr="00B93575">
        <w:rPr>
          <w:rFonts w:eastAsia="Calibri"/>
          <w:lang w:val="fr-FR"/>
        </w:rPr>
        <w:tab/>
        <w:t>Dans le premier paragraphe sous le tableau, remplacer «</w:t>
      </w:r>
      <w:r w:rsidR="000C50D3">
        <w:rPr>
          <w:rFonts w:eastAsia="Calibri"/>
          <w:lang w:val="fr-FR"/>
        </w:rPr>
        <w:t> </w:t>
      </w:r>
      <w:r w:rsidRPr="00B93575">
        <w:rPr>
          <w:rFonts w:eastAsia="Calibri"/>
          <w:lang w:val="fr-FR"/>
        </w:rPr>
        <w:t>EN 14025:2018</w:t>
      </w:r>
      <w:r w:rsidR="005B0B8A">
        <w:rPr>
          <w:rFonts w:eastAsia="Calibri"/>
          <w:lang w:val="fr-FR"/>
        </w:rPr>
        <w:t> </w:t>
      </w:r>
      <w:r w:rsidRPr="00B93575">
        <w:rPr>
          <w:rFonts w:eastAsia="Calibri"/>
          <w:lang w:val="fr-FR"/>
        </w:rPr>
        <w:t>» par « EN 14025:2023 ».</w:t>
      </w:r>
    </w:p>
    <w:p w14:paraId="23E03770" w14:textId="437EE3B9" w:rsidR="00AB693C" w:rsidRPr="00B93575" w:rsidRDefault="00AB693C" w:rsidP="00AB693C">
      <w:pPr>
        <w:spacing w:after="120"/>
        <w:ind w:left="1134" w:right="1134"/>
        <w:jc w:val="both"/>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ECE/TRANS/WP.15/260, annexe)</w:t>
      </w:r>
    </w:p>
    <w:p w14:paraId="6BBB974E" w14:textId="77777777" w:rsidR="00AB693C" w:rsidRPr="004A2EDD" w:rsidRDefault="00AB693C" w:rsidP="00AB693C">
      <w:pPr>
        <w:pStyle w:val="H23G"/>
        <w:rPr>
          <w:lang w:val="fr-FR"/>
        </w:rPr>
      </w:pPr>
      <w:r w:rsidRPr="004A2EDD">
        <w:rPr>
          <w:lang w:val="fr-FR"/>
        </w:rPr>
        <w:tab/>
      </w:r>
      <w:r w:rsidRPr="004A2EDD">
        <w:rPr>
          <w:lang w:val="fr-FR"/>
        </w:rPr>
        <w:tab/>
        <w:t xml:space="preserve">Chapitre </w:t>
      </w:r>
      <w:r>
        <w:rPr>
          <w:lang w:val="fr-FR"/>
        </w:rPr>
        <w:t>7.1</w:t>
      </w:r>
    </w:p>
    <w:p w14:paraId="16A88074" w14:textId="1002C1F2" w:rsidR="00AB693C" w:rsidRDefault="00AB693C" w:rsidP="00AB693C">
      <w:pPr>
        <w:pStyle w:val="SingleTxtG"/>
        <w:ind w:left="2268" w:hanging="1134"/>
      </w:pPr>
      <w:r w:rsidRPr="003827A8">
        <w:t>7.1.7.2</w:t>
      </w:r>
      <w:r>
        <w:tab/>
      </w:r>
      <w:r w:rsidR="00A6551A">
        <w:tab/>
      </w:r>
      <w:r>
        <w:t>R</w:t>
      </w:r>
      <w:r w:rsidRPr="003827A8">
        <w:t xml:space="preserve">emplacer </w:t>
      </w:r>
      <w:r>
        <w:t>« </w:t>
      </w:r>
      <w:r w:rsidRPr="003827A8">
        <w:t>véhicule fermé</w:t>
      </w:r>
      <w:r>
        <w:t> »</w:t>
      </w:r>
      <w:r w:rsidRPr="003827A8">
        <w:t xml:space="preserve"> par </w:t>
      </w:r>
      <w:r>
        <w:t>« </w:t>
      </w:r>
      <w:r w:rsidRPr="003827A8">
        <w:t>véhicule couvert</w:t>
      </w:r>
      <w:r>
        <w:t> ».</w:t>
      </w:r>
    </w:p>
    <w:p w14:paraId="59549205" w14:textId="77777777" w:rsidR="00AB693C" w:rsidRPr="00D215AC" w:rsidRDefault="00AB693C" w:rsidP="00AB693C">
      <w:pPr>
        <w:pStyle w:val="SingleTxtG"/>
        <w:rPr>
          <w:i/>
          <w:iCs/>
          <w:lang w:val="fr-FR"/>
        </w:rPr>
      </w:pPr>
      <w:r w:rsidRPr="00D215AC">
        <w:rPr>
          <w:i/>
          <w:iCs/>
          <w:lang w:val="fr-FR"/>
        </w:rPr>
        <w:t xml:space="preserve">(Amendement identifié </w:t>
      </w:r>
      <w:r>
        <w:rPr>
          <w:i/>
          <w:iCs/>
          <w:lang w:val="fr-FR"/>
        </w:rPr>
        <w:t>pendant</w:t>
      </w:r>
      <w:r w:rsidRPr="00D215AC">
        <w:rPr>
          <w:i/>
          <w:iCs/>
          <w:lang w:val="fr-FR"/>
        </w:rPr>
        <w:t xml:space="preserve"> la discussion </w:t>
      </w:r>
      <w:r>
        <w:rPr>
          <w:i/>
          <w:iCs/>
          <w:lang w:val="fr-FR"/>
        </w:rPr>
        <w:t>du document informel INF.8</w:t>
      </w:r>
      <w:r w:rsidRPr="00D215AC">
        <w:rPr>
          <w:i/>
          <w:iCs/>
          <w:lang w:val="fr-FR"/>
        </w:rPr>
        <w:t>)</w:t>
      </w:r>
    </w:p>
    <w:p w14:paraId="1C72A648" w14:textId="77777777" w:rsidR="00AB693C" w:rsidRPr="004A2EDD" w:rsidRDefault="00AB693C" w:rsidP="00AB693C">
      <w:pPr>
        <w:pStyle w:val="H23G"/>
        <w:rPr>
          <w:lang w:val="fr-FR"/>
        </w:rPr>
      </w:pPr>
      <w:r w:rsidRPr="004A2EDD">
        <w:rPr>
          <w:lang w:val="fr-FR"/>
        </w:rPr>
        <w:tab/>
      </w:r>
      <w:r w:rsidRPr="004A2EDD">
        <w:rPr>
          <w:lang w:val="fr-FR"/>
        </w:rPr>
        <w:tab/>
        <w:t xml:space="preserve">Chapitre </w:t>
      </w:r>
      <w:r>
        <w:rPr>
          <w:lang w:val="fr-FR"/>
        </w:rPr>
        <w:t>8.1</w:t>
      </w:r>
    </w:p>
    <w:p w14:paraId="7561D12C" w14:textId="658EE5FA" w:rsidR="00AB693C" w:rsidRPr="004A2EDD" w:rsidRDefault="00AB693C" w:rsidP="00AB693C">
      <w:pPr>
        <w:pStyle w:val="SingleTxtG"/>
        <w:ind w:left="2268" w:hanging="1134"/>
      </w:pPr>
      <w:r>
        <w:t>8.1.2.1</w:t>
      </w:r>
      <w:r>
        <w:tab/>
      </w:r>
      <w:r w:rsidR="00A6551A">
        <w:tab/>
      </w:r>
      <w:r>
        <w:t>À la première phrase, avant « </w:t>
      </w:r>
      <w:r w:rsidRPr="00996593">
        <w:t>l'unité de transport</w:t>
      </w:r>
      <w:r>
        <w:t> », ajouter « la cabine de conduite de ».</w:t>
      </w:r>
    </w:p>
    <w:p w14:paraId="44A28DF4" w14:textId="77777777" w:rsidR="00AB693C" w:rsidRPr="004A2EDD" w:rsidRDefault="00AB693C" w:rsidP="00AB693C">
      <w:pPr>
        <w:pStyle w:val="SingleTxtG"/>
        <w:rPr>
          <w:i/>
          <w:iCs/>
          <w:lang w:val="fr-FR"/>
        </w:rPr>
      </w:pPr>
      <w:r w:rsidRPr="004A2EDD">
        <w:rPr>
          <w:i/>
          <w:iCs/>
          <w:lang w:val="fr-FR"/>
        </w:rPr>
        <w:t>(Document de référence : ECE/TRANS/WP.15/2023/1</w:t>
      </w:r>
      <w:r>
        <w:rPr>
          <w:i/>
          <w:iCs/>
          <w:lang w:val="fr-FR"/>
        </w:rPr>
        <w:t>1</w:t>
      </w:r>
      <w:r w:rsidRPr="004A2EDD">
        <w:rPr>
          <w:i/>
          <w:iCs/>
          <w:lang w:val="fr-FR"/>
        </w:rPr>
        <w:t>, tel que modifié)</w:t>
      </w:r>
    </w:p>
    <w:p w14:paraId="2B2CA4FB" w14:textId="1CFE75AA" w:rsidR="00AB693C" w:rsidRPr="004A2EDD" w:rsidRDefault="00AB693C" w:rsidP="00AB693C">
      <w:pPr>
        <w:pStyle w:val="SingleTxtG"/>
        <w:ind w:left="2268" w:hanging="1134"/>
      </w:pPr>
      <w:r>
        <w:t>8.1.2.2</w:t>
      </w:r>
      <w:r>
        <w:tab/>
      </w:r>
      <w:r w:rsidR="007C4186">
        <w:tab/>
      </w:r>
      <w:r>
        <w:t>À la première phrase, avant « </w:t>
      </w:r>
      <w:r w:rsidRPr="00996593">
        <w:t>l'unité de transport</w:t>
      </w:r>
      <w:r>
        <w:t> », ajouter « la cabine de conduite de ».</w:t>
      </w:r>
    </w:p>
    <w:p w14:paraId="6AC1F4C4" w14:textId="77777777" w:rsidR="00AB693C" w:rsidRPr="004A2EDD" w:rsidRDefault="00AB693C" w:rsidP="00AB693C">
      <w:pPr>
        <w:pStyle w:val="SingleTxtG"/>
        <w:rPr>
          <w:i/>
          <w:iCs/>
          <w:lang w:val="fr-FR"/>
        </w:rPr>
      </w:pPr>
      <w:r w:rsidRPr="004A2EDD">
        <w:rPr>
          <w:i/>
          <w:iCs/>
          <w:lang w:val="fr-FR"/>
        </w:rPr>
        <w:t>(Document de référence : ECE/TRANS/WP.15/2023/1</w:t>
      </w:r>
      <w:r>
        <w:rPr>
          <w:i/>
          <w:iCs/>
          <w:lang w:val="fr-FR"/>
        </w:rPr>
        <w:t>1</w:t>
      </w:r>
      <w:r w:rsidRPr="004A2EDD">
        <w:rPr>
          <w:i/>
          <w:iCs/>
          <w:lang w:val="fr-FR"/>
        </w:rPr>
        <w:t>, tel que modifié)</w:t>
      </w:r>
    </w:p>
    <w:p w14:paraId="2DD7FD43" w14:textId="77777777" w:rsidR="00AB693C" w:rsidRPr="00455A13" w:rsidRDefault="00AB693C" w:rsidP="00AB693C">
      <w:pPr>
        <w:pStyle w:val="H23G"/>
        <w:rPr>
          <w:lang w:val="fr-FR"/>
        </w:rPr>
      </w:pPr>
      <w:r w:rsidRPr="00455A13">
        <w:rPr>
          <w:lang w:val="fr-FR"/>
        </w:rPr>
        <w:tab/>
      </w:r>
      <w:r w:rsidRPr="00455A13">
        <w:rPr>
          <w:lang w:val="fr-FR"/>
        </w:rPr>
        <w:tab/>
        <w:t>Chapitre 9.7</w:t>
      </w:r>
    </w:p>
    <w:p w14:paraId="521BC90F" w14:textId="77777777" w:rsidR="00AB693C" w:rsidRPr="00455A13" w:rsidRDefault="00AB693C" w:rsidP="007A53C9">
      <w:pPr>
        <w:pStyle w:val="SingleTxtG"/>
        <w:tabs>
          <w:tab w:val="clear" w:pos="1701"/>
        </w:tabs>
        <w:ind w:left="2268" w:hanging="1134"/>
        <w:rPr>
          <w:lang w:val="fr-FR"/>
        </w:rPr>
      </w:pPr>
      <w:r w:rsidRPr="00455A13">
        <w:rPr>
          <w:lang w:val="fr-FR"/>
        </w:rPr>
        <w:t>9.7.8</w:t>
      </w:r>
      <w:r w:rsidRPr="00455A13">
        <w:rPr>
          <w:lang w:val="fr-FR"/>
        </w:rPr>
        <w:tab/>
        <w:t>À la fin du titre, ajouter « </w:t>
      </w:r>
      <w:r w:rsidRPr="00455A13">
        <w:rPr>
          <w:b/>
          <w:bCs/>
          <w:lang w:val="fr-FR"/>
        </w:rPr>
        <w:t>sur les véhicules FL</w:t>
      </w:r>
      <w:r w:rsidRPr="00455A13">
        <w:rPr>
          <w:lang w:val="fr-FR"/>
        </w:rPr>
        <w:t> ».</w:t>
      </w:r>
    </w:p>
    <w:p w14:paraId="0EFD1680" w14:textId="77777777" w:rsidR="00AB693C" w:rsidRPr="00455A13" w:rsidRDefault="00AB693C" w:rsidP="00AB693C">
      <w:pPr>
        <w:pStyle w:val="SingleTxtG"/>
        <w:rPr>
          <w:i/>
          <w:iCs/>
          <w:lang w:val="fr-FR"/>
        </w:rPr>
      </w:pPr>
      <w:r w:rsidRPr="00455A13">
        <w:rPr>
          <w:i/>
          <w:iCs/>
          <w:lang w:val="fr-FR"/>
        </w:rPr>
        <w:t>(Document de référence : ECE/TRANS/WP.15/2023/8)</w:t>
      </w:r>
    </w:p>
    <w:p w14:paraId="1E54DC02" w14:textId="24E1BEFA" w:rsidR="00AB693C" w:rsidRPr="00455A13" w:rsidRDefault="00AB693C" w:rsidP="007C4186">
      <w:pPr>
        <w:pStyle w:val="SingleTxtG"/>
        <w:ind w:left="2268" w:hanging="1134"/>
        <w:rPr>
          <w:lang w:val="fr-FR"/>
        </w:rPr>
      </w:pPr>
      <w:r w:rsidRPr="00455A13">
        <w:rPr>
          <w:lang w:val="fr-FR"/>
        </w:rPr>
        <w:t>9.7.8.3</w:t>
      </w:r>
      <w:r w:rsidRPr="00455A13">
        <w:rPr>
          <w:lang w:val="fr-FR"/>
        </w:rPr>
        <w:tab/>
      </w:r>
      <w:r w:rsidR="007C4186">
        <w:rPr>
          <w:lang w:val="fr-FR"/>
        </w:rPr>
        <w:tab/>
      </w:r>
      <w:r w:rsidRPr="00455A13">
        <w:rPr>
          <w:lang w:val="fr-FR"/>
        </w:rPr>
        <w:t>À la première phrase, après « permanence », ajouter « sur les véhicules FL ».</w:t>
      </w:r>
    </w:p>
    <w:p w14:paraId="3888F259" w14:textId="77777777" w:rsidR="00AB693C" w:rsidRPr="00455A13" w:rsidRDefault="00AB693C" w:rsidP="00AB693C">
      <w:pPr>
        <w:pStyle w:val="SingleTxtG"/>
        <w:rPr>
          <w:i/>
          <w:iCs/>
          <w:lang w:val="fr-FR"/>
        </w:rPr>
      </w:pPr>
      <w:r w:rsidRPr="00455A13">
        <w:rPr>
          <w:i/>
          <w:iCs/>
          <w:lang w:val="fr-FR"/>
        </w:rPr>
        <w:t>(Document de référence : ECE/TRANS/WP.15/2023/8)</w:t>
      </w:r>
    </w:p>
    <w:p w14:paraId="78C60DF4" w14:textId="77777777" w:rsidR="00AB693C" w:rsidRPr="00CE1821" w:rsidRDefault="00AB693C" w:rsidP="00AB693C">
      <w:pPr>
        <w:pStyle w:val="H23G"/>
        <w:rPr>
          <w:lang w:val="fr-FR"/>
        </w:rPr>
      </w:pPr>
      <w:r w:rsidRPr="00CE1821">
        <w:rPr>
          <w:lang w:val="fr-FR"/>
        </w:rPr>
        <w:lastRenderedPageBreak/>
        <w:tab/>
      </w:r>
      <w:r w:rsidRPr="00CE1821">
        <w:rPr>
          <w:lang w:val="fr-FR"/>
        </w:rPr>
        <w:tab/>
        <w:t>Chapitre 9.</w:t>
      </w:r>
      <w:r>
        <w:rPr>
          <w:lang w:val="fr-FR"/>
        </w:rPr>
        <w:t>8</w:t>
      </w:r>
    </w:p>
    <w:p w14:paraId="611250BC" w14:textId="77777777" w:rsidR="00AB693C" w:rsidRPr="00CE1821" w:rsidRDefault="00AB693C" w:rsidP="007A53C9">
      <w:pPr>
        <w:pStyle w:val="SingleTxtG"/>
        <w:tabs>
          <w:tab w:val="clear" w:pos="1701"/>
        </w:tabs>
        <w:ind w:left="2268" w:hanging="1134"/>
        <w:rPr>
          <w:lang w:val="fr-FR"/>
        </w:rPr>
      </w:pPr>
      <w:r w:rsidRPr="00CE1821">
        <w:rPr>
          <w:lang w:val="fr-FR"/>
        </w:rPr>
        <w:t>9.</w:t>
      </w:r>
      <w:r>
        <w:rPr>
          <w:lang w:val="fr-FR"/>
        </w:rPr>
        <w:t>8.4</w:t>
      </w:r>
      <w:r w:rsidRPr="00CE1821">
        <w:rPr>
          <w:lang w:val="fr-FR"/>
        </w:rPr>
        <w:tab/>
      </w:r>
      <w:r>
        <w:rPr>
          <w:lang w:val="fr-FR"/>
        </w:rPr>
        <w:t xml:space="preserve">Dans la première phrase, </w:t>
      </w:r>
      <w:r w:rsidRPr="004617C6">
        <w:rPr>
          <w:lang w:val="fr-FR"/>
        </w:rPr>
        <w:t xml:space="preserve">après </w:t>
      </w:r>
      <w:r>
        <w:rPr>
          <w:lang w:val="fr-FR"/>
        </w:rPr>
        <w:t>la phrase en parenthèses,</w:t>
      </w:r>
      <w:r w:rsidRPr="004617C6">
        <w:rPr>
          <w:lang w:val="fr-FR"/>
        </w:rPr>
        <w:t xml:space="preserve"> ajouter </w:t>
      </w:r>
      <w:r>
        <w:rPr>
          <w:lang w:val="fr-FR"/>
        </w:rPr>
        <w:t>« </w:t>
      </w:r>
      <w:r w:rsidRPr="004617C6">
        <w:rPr>
          <w:lang w:val="fr-FR"/>
        </w:rPr>
        <w:t>de l’essieu le plus large</w:t>
      </w:r>
      <w:r>
        <w:rPr>
          <w:lang w:val="fr-FR"/>
        </w:rPr>
        <w:t> ».</w:t>
      </w:r>
    </w:p>
    <w:p w14:paraId="16B02952" w14:textId="77777777" w:rsidR="00AB693C" w:rsidRPr="0042219C" w:rsidRDefault="00AB693C" w:rsidP="00AB693C">
      <w:pPr>
        <w:pStyle w:val="SingleTxtG"/>
        <w:rPr>
          <w:i/>
          <w:iCs/>
          <w:lang w:val="fr-FR"/>
        </w:rPr>
      </w:pPr>
      <w:r w:rsidRPr="00CE1821">
        <w:rPr>
          <w:i/>
          <w:iCs/>
          <w:lang w:val="fr-FR"/>
        </w:rPr>
        <w:t xml:space="preserve">(Document de référence : </w:t>
      </w:r>
      <w:r>
        <w:rPr>
          <w:i/>
          <w:iCs/>
          <w:lang w:val="fr-FR"/>
        </w:rPr>
        <w:t>document informel INF.4</w:t>
      </w:r>
      <w:r w:rsidRPr="00CE1821">
        <w:rPr>
          <w:i/>
          <w:iCs/>
          <w:lang w:val="fr-FR"/>
        </w:rPr>
        <w:t>)</w:t>
      </w:r>
    </w:p>
    <w:p w14:paraId="7F2DED47" w14:textId="77777777" w:rsidR="00AB693C" w:rsidRPr="004A2EDD" w:rsidRDefault="00AB693C" w:rsidP="00AB693C">
      <w:pPr>
        <w:pStyle w:val="SingleTxtG"/>
        <w:rPr>
          <w:b/>
          <w:bCs/>
          <w:lang w:val="fr-FR"/>
        </w:rPr>
      </w:pPr>
      <w:r w:rsidRPr="004A2EDD">
        <w:rPr>
          <w:b/>
          <w:bCs/>
          <w:lang w:val="fr-FR"/>
        </w:rPr>
        <w:t>Document informel INF.5/Rev.1, partie I, adopté avec les modifications suivantes :</w:t>
      </w:r>
    </w:p>
    <w:p w14:paraId="1FF4A95E" w14:textId="77777777" w:rsidR="00AB693C" w:rsidRPr="004A2EDD" w:rsidRDefault="00AB693C" w:rsidP="00AB693C">
      <w:pPr>
        <w:pStyle w:val="SingleTxtG"/>
        <w:ind w:left="2268" w:hanging="1134"/>
      </w:pPr>
      <w:r w:rsidRPr="004A2EDD">
        <w:t>Supprimer tous les crochets et les textes barrés.</w:t>
      </w:r>
    </w:p>
    <w:p w14:paraId="08123645" w14:textId="13515C14" w:rsidR="00AB693C" w:rsidRPr="004A2EDD" w:rsidRDefault="00AB693C" w:rsidP="00AB693C">
      <w:pPr>
        <w:pStyle w:val="SingleTxtG"/>
        <w:ind w:left="2268" w:hanging="1134"/>
      </w:pPr>
      <w:r w:rsidRPr="004A2EDD">
        <w:t>1.1.</w:t>
      </w:r>
      <w:r>
        <w:t>3</w:t>
      </w:r>
      <w:r w:rsidRPr="004A2EDD">
        <w:t xml:space="preserve">.1 </w:t>
      </w:r>
      <w:r w:rsidRPr="004A2EDD">
        <w:tab/>
        <w:t>La modification ne s’applique pas au texte français.</w:t>
      </w:r>
    </w:p>
    <w:p w14:paraId="3DB8B49B" w14:textId="77777777" w:rsidR="00AB693C" w:rsidRPr="004A2EDD" w:rsidRDefault="00AB693C" w:rsidP="00AB693C">
      <w:pPr>
        <w:pStyle w:val="SingleTxtG"/>
        <w:ind w:left="2268" w:hanging="1134"/>
      </w:pPr>
      <w:r w:rsidRPr="004A2EDD">
        <w:t xml:space="preserve">1.6.1.55 </w:t>
      </w:r>
      <w:r w:rsidRPr="004A2EDD">
        <w:tab/>
        <w:t>La modification ne s’applique pas au texte français.</w:t>
      </w:r>
    </w:p>
    <w:p w14:paraId="71F57958" w14:textId="77777777" w:rsidR="00AB693C" w:rsidRPr="004A2EDD" w:rsidRDefault="00AB693C" w:rsidP="00AB693C">
      <w:pPr>
        <w:pStyle w:val="SingleTxtG"/>
        <w:ind w:left="2268" w:hanging="1134"/>
      </w:pPr>
      <w:r w:rsidRPr="004A2EDD">
        <w:t xml:space="preserve">1.6.1.56 </w:t>
      </w:r>
      <w:r w:rsidRPr="004A2EDD">
        <w:tab/>
        <w:t>La modification ne s’applique pas au texte français.</w:t>
      </w:r>
    </w:p>
    <w:p w14:paraId="713D1968" w14:textId="77777777" w:rsidR="00AB693C" w:rsidRPr="004A2EDD" w:rsidRDefault="00AB693C" w:rsidP="00AB693C">
      <w:pPr>
        <w:pStyle w:val="SingleTxtG"/>
        <w:ind w:left="2268" w:hanging="1134"/>
      </w:pPr>
      <w:r w:rsidRPr="004A2EDD">
        <w:t xml:space="preserve">1.6.3.61 </w:t>
      </w:r>
      <w:r w:rsidRPr="004A2EDD">
        <w:tab/>
        <w:t>La modification ne s’applique pas au texte français.</w:t>
      </w:r>
    </w:p>
    <w:p w14:paraId="50048F1C" w14:textId="77777777" w:rsidR="00AB693C" w:rsidRPr="004A2EDD" w:rsidRDefault="00AB693C" w:rsidP="00AB693C">
      <w:pPr>
        <w:pStyle w:val="SingleTxtG"/>
        <w:ind w:left="2268" w:hanging="1134"/>
      </w:pPr>
      <w:r w:rsidRPr="004A2EDD">
        <w:t>1.6.4.59</w:t>
      </w:r>
      <w:r w:rsidRPr="004A2EDD">
        <w:tab/>
        <w:t>La modification ne s’applique pas au texte français.</w:t>
      </w:r>
    </w:p>
    <w:p w14:paraId="59F30767" w14:textId="77777777" w:rsidR="00AB693C" w:rsidRPr="004A2EDD" w:rsidRDefault="00AB693C" w:rsidP="00AB693C">
      <w:pPr>
        <w:pStyle w:val="SingleTxtG"/>
        <w:ind w:left="2268" w:hanging="1134"/>
      </w:pPr>
      <w:r w:rsidRPr="004A2EDD">
        <w:t xml:space="preserve">1.6.4.65 </w:t>
      </w:r>
      <w:r w:rsidRPr="004A2EDD">
        <w:tab/>
        <w:t>La modification ne s’applique pas au texte français.</w:t>
      </w:r>
    </w:p>
    <w:p w14:paraId="5B6FD947" w14:textId="77777777" w:rsidR="00AB693C" w:rsidRPr="004A2EDD" w:rsidRDefault="00AB693C" w:rsidP="00AB693C">
      <w:pPr>
        <w:pStyle w:val="SingleTxtG"/>
        <w:ind w:left="2268" w:hanging="1134"/>
      </w:pPr>
      <w:r w:rsidRPr="004A2EDD">
        <w:t>1.8.3.11</w:t>
      </w:r>
      <w:r w:rsidRPr="004A2EDD">
        <w:tab/>
        <w:t>Dans l’amendement au 1.8.3.11, ajouter le texte suivant : « À l’alinéa b), au deuxième tiret, supprimer « et les conteneurs-citernes ». ».</w:t>
      </w:r>
    </w:p>
    <w:p w14:paraId="6CEF50FB" w14:textId="77777777" w:rsidR="00AB693C" w:rsidRPr="004A2EDD" w:rsidRDefault="00AB693C" w:rsidP="00AB693C">
      <w:pPr>
        <w:pStyle w:val="SingleTxtG"/>
        <w:ind w:left="2268" w:hanging="1134"/>
        <w:rPr>
          <w:i/>
          <w:iCs/>
        </w:rPr>
      </w:pPr>
      <w:r w:rsidRPr="004A2EDD">
        <w:rPr>
          <w:i/>
          <w:iCs/>
        </w:rPr>
        <w:t>(Document de référence : document informel INF.19)</w:t>
      </w:r>
    </w:p>
    <w:p w14:paraId="3402A55F" w14:textId="33463752" w:rsidR="00AB693C" w:rsidRPr="004A2EDD" w:rsidRDefault="00AB693C" w:rsidP="00AB693C">
      <w:pPr>
        <w:pStyle w:val="SingleTxtG"/>
        <w:ind w:left="2268" w:hanging="1134"/>
        <w:rPr>
          <w:iCs/>
          <w:lang w:val="fr-FR"/>
        </w:rPr>
      </w:pPr>
      <w:r w:rsidRPr="004A2EDD">
        <w:t>2.2.1.4</w:t>
      </w:r>
      <w:r w:rsidRPr="004A2EDD">
        <w:tab/>
      </w:r>
      <w:r w:rsidR="00FB11F0">
        <w:tab/>
      </w:r>
      <w:r w:rsidR="00FB11F0" w:rsidRPr="004A2EDD">
        <w:t>Après</w:t>
      </w:r>
      <w:r w:rsidRPr="004A2EDD">
        <w:t xml:space="preserve"> « DISPERSION », ajouter « </w:t>
      </w:r>
      <w:r w:rsidRPr="004A2EDD">
        <w:rPr>
          <w:iCs/>
          <w:lang w:val="fr-FR"/>
        </w:rPr>
        <w:t>: No ONU 0514 ».</w:t>
      </w:r>
    </w:p>
    <w:p w14:paraId="648EEE79" w14:textId="27C50647" w:rsidR="00AB693C" w:rsidRPr="004A2EDD" w:rsidRDefault="00AB693C" w:rsidP="00AB693C">
      <w:pPr>
        <w:pStyle w:val="SingleTxtG"/>
        <w:ind w:left="2268" w:hanging="1134"/>
        <w:rPr>
          <w:iCs/>
          <w:lang w:val="fr-FR"/>
        </w:rPr>
      </w:pPr>
      <w:r w:rsidRPr="004A2EDD">
        <w:rPr>
          <w:iCs/>
          <w:lang w:val="fr-FR"/>
        </w:rPr>
        <w:t>3.3, DS 388</w:t>
      </w:r>
      <w:r w:rsidRPr="004A2EDD">
        <w:rPr>
          <w:iCs/>
          <w:lang w:val="fr-FR"/>
        </w:rPr>
        <w:tab/>
        <w:t>Dans le dernier amendement, dans le premier paragraphe tel que modifié, remplacer « au présent Règlement » par « </w:t>
      </w:r>
      <w:r>
        <w:rPr>
          <w:iCs/>
          <w:lang w:val="fr-FR"/>
        </w:rPr>
        <w:t>à</w:t>
      </w:r>
      <w:r w:rsidRPr="004A2EDD">
        <w:rPr>
          <w:iCs/>
          <w:lang w:val="fr-FR"/>
        </w:rPr>
        <w:t xml:space="preserve"> l’ADR ».</w:t>
      </w:r>
    </w:p>
    <w:p w14:paraId="5A5F844D" w14:textId="77777777" w:rsidR="00AB693C" w:rsidRPr="004A2EDD" w:rsidRDefault="00AB693C" w:rsidP="00AB693C">
      <w:pPr>
        <w:pStyle w:val="SingleTxtG"/>
        <w:ind w:left="2268" w:hanging="1134"/>
      </w:pPr>
      <w:r w:rsidRPr="004A2EDD">
        <w:t>4.1.4.1, P303</w:t>
      </w:r>
      <w:r w:rsidRPr="004A2EDD">
        <w:tab/>
        <w:t>A la troisième phrase, remplacer « tête » par « dessus ».</w:t>
      </w:r>
    </w:p>
    <w:p w14:paraId="1D6370D7" w14:textId="77777777" w:rsidR="00AB693C" w:rsidRPr="004A2EDD" w:rsidRDefault="00AB693C" w:rsidP="00AB693C">
      <w:pPr>
        <w:pStyle w:val="SingleTxtG"/>
        <w:ind w:left="2268" w:hanging="1134"/>
      </w:pPr>
      <w:r w:rsidRPr="004A2EDD">
        <w:t xml:space="preserve">4.3.4.1.2 </w:t>
      </w:r>
      <w:r w:rsidRPr="004A2EDD">
        <w:tab/>
        <w:t>La modification ne s’applique pas au texte français.</w:t>
      </w:r>
    </w:p>
    <w:p w14:paraId="0AECAD0B" w14:textId="77777777" w:rsidR="00AB693C" w:rsidRPr="004A2EDD" w:rsidRDefault="00AB693C" w:rsidP="00AB693C">
      <w:pPr>
        <w:pStyle w:val="SingleTxtG"/>
        <w:ind w:left="2268" w:hanging="1134"/>
      </w:pPr>
      <w:r w:rsidRPr="004A2EDD">
        <w:t>5.4.1.1.3.2</w:t>
      </w:r>
      <w:r w:rsidRPr="004A2EDD">
        <w:tab/>
        <w:t>Après « 3291 », supprimer la virgule.</w:t>
      </w:r>
    </w:p>
    <w:p w14:paraId="34B736AB" w14:textId="77777777" w:rsidR="00AB693C" w:rsidRPr="004A2EDD" w:rsidRDefault="00AB693C" w:rsidP="00AB693C">
      <w:pPr>
        <w:pStyle w:val="SingleTxtG"/>
        <w:ind w:left="2268" w:hanging="1134"/>
      </w:pPr>
      <w:r w:rsidRPr="004A2EDD">
        <w:t>6.2.1.5.4</w:t>
      </w:r>
      <w:r w:rsidRPr="004A2EDD">
        <w:tab/>
        <w:t>Supprimer l’amendement.</w:t>
      </w:r>
    </w:p>
    <w:p w14:paraId="73B91662" w14:textId="77777777" w:rsidR="00AB693C" w:rsidRPr="004A2EDD" w:rsidRDefault="00AB693C" w:rsidP="00AB693C">
      <w:pPr>
        <w:pStyle w:val="SingleTxtG"/>
        <w:ind w:left="2268" w:hanging="1134"/>
      </w:pPr>
      <w:r w:rsidRPr="004A2EDD">
        <w:t>7.3.3.2.7, AP11</w:t>
      </w:r>
      <w:r w:rsidRPr="004A2EDD">
        <w:tab/>
        <w:t>Les quatre premières modifications ne s’appliquent pas au texte français. Au point</w:t>
      </w:r>
      <w:r>
        <w:t xml:space="preserve"> </w:t>
      </w:r>
      <w:r w:rsidRPr="004A2EDD">
        <w:t>4.5, dernière phrase, remplacer « en respectant » par « suivant ».</w:t>
      </w:r>
    </w:p>
    <w:p w14:paraId="1E9CACC2" w14:textId="16F107D2" w:rsidR="00AB693C" w:rsidRDefault="00AB693C" w:rsidP="007A53C9">
      <w:pPr>
        <w:pStyle w:val="SingleTxtG"/>
        <w:tabs>
          <w:tab w:val="clear" w:pos="1701"/>
        </w:tabs>
        <w:ind w:left="2268" w:hanging="1134"/>
      </w:pPr>
      <w:r w:rsidRPr="004A2EDD">
        <w:t>7.5.11</w:t>
      </w:r>
      <w:r w:rsidRPr="004A2EDD">
        <w:tab/>
        <w:t xml:space="preserve">Après le nouveau CV29, ajouter le nouveau amendement suivant : « Remplacer « CV29 à CV32 </w:t>
      </w:r>
      <w:r w:rsidRPr="004A2EDD">
        <w:rPr>
          <w:i/>
          <w:iCs/>
        </w:rPr>
        <w:t>(Réservé)</w:t>
      </w:r>
      <w:r w:rsidRPr="004A2EDD">
        <w:t xml:space="preserve"> » par « CV30 à CV32 </w:t>
      </w:r>
      <w:r w:rsidRPr="004A2EDD">
        <w:rPr>
          <w:i/>
          <w:iCs/>
        </w:rPr>
        <w:t>(Réservé)</w:t>
      </w:r>
      <w:r w:rsidRPr="004A2EDD">
        <w:t xml:space="preserve"> ». ».</w:t>
      </w:r>
    </w:p>
    <w:p w14:paraId="7B9C4B64" w14:textId="77777777" w:rsidR="00AB693C" w:rsidRPr="004A2EDD" w:rsidRDefault="00AB693C" w:rsidP="007A53C9">
      <w:pPr>
        <w:pStyle w:val="SingleTxtG"/>
        <w:tabs>
          <w:tab w:val="clear" w:pos="1701"/>
        </w:tabs>
        <w:ind w:left="2268" w:hanging="1134"/>
      </w:pPr>
      <w:r>
        <w:t>9.2.2.8</w:t>
      </w:r>
      <w:r>
        <w:tab/>
        <w:t>Supprimer le nota sous le titre.</w:t>
      </w:r>
    </w:p>
    <w:p w14:paraId="36052F05" w14:textId="77777777" w:rsidR="00AB693C" w:rsidRPr="00CE1821" w:rsidRDefault="00AB693C" w:rsidP="00AB693C">
      <w:pPr>
        <w:pStyle w:val="SingleTxtG"/>
        <w:ind w:left="2268" w:hanging="1134"/>
        <w:rPr>
          <w:lang w:val="fr-FR"/>
        </w:rPr>
      </w:pPr>
      <w:r w:rsidRPr="00CE1821">
        <w:rPr>
          <w:lang w:val="fr-FR"/>
        </w:rPr>
        <w:t>9.2.2.8.3</w:t>
      </w:r>
      <w:r w:rsidRPr="00CE1821">
        <w:rPr>
          <w:lang w:val="fr-FR"/>
        </w:rPr>
        <w:tab/>
        <w:t xml:space="preserve">Au début, </w:t>
      </w:r>
      <w:r>
        <w:rPr>
          <w:lang w:val="fr-FR"/>
        </w:rPr>
        <w:t>ajouter la nouvelle phrase suivante : « </w:t>
      </w:r>
      <w:r w:rsidRPr="00315627">
        <w:rPr>
          <w:lang w:val="fr-FR"/>
        </w:rPr>
        <w:t>Les dispositifs permettant la mise hors tension des circuits électriques doivent être conçus de manière à être actionnables lorsque le véhicule est à l'arrêt.</w:t>
      </w:r>
      <w:r>
        <w:rPr>
          <w:lang w:val="fr-FR"/>
        </w:rPr>
        <w:t> ».</w:t>
      </w:r>
    </w:p>
    <w:p w14:paraId="7FE997AC" w14:textId="77777777" w:rsidR="00AB693C" w:rsidRPr="0042219C" w:rsidRDefault="00AB693C" w:rsidP="00AB693C">
      <w:pPr>
        <w:pStyle w:val="SingleTxtG"/>
        <w:rPr>
          <w:i/>
          <w:iCs/>
          <w:lang w:val="fr-FR"/>
        </w:rPr>
      </w:pPr>
      <w:r w:rsidRPr="00CE1821">
        <w:rPr>
          <w:i/>
          <w:iCs/>
          <w:lang w:val="fr-FR"/>
        </w:rPr>
        <w:t xml:space="preserve">(Document de référence : </w:t>
      </w:r>
      <w:r>
        <w:rPr>
          <w:i/>
          <w:iCs/>
          <w:lang w:val="fr-FR"/>
        </w:rPr>
        <w:t>document informel INF.25, tel que modifié</w:t>
      </w:r>
      <w:r w:rsidRPr="00CE1821">
        <w:rPr>
          <w:i/>
          <w:iCs/>
          <w:lang w:val="fr-FR"/>
        </w:rPr>
        <w:t>)</w:t>
      </w:r>
    </w:p>
    <w:p w14:paraId="3F6C9EEA" w14:textId="77777777" w:rsidR="00AB693C" w:rsidRPr="004A2EDD" w:rsidRDefault="00AB693C" w:rsidP="00AB693C">
      <w:pPr>
        <w:pStyle w:val="SingleTxtG"/>
        <w:rPr>
          <w:b/>
          <w:bCs/>
          <w:lang w:val="fr-FR"/>
        </w:rPr>
      </w:pPr>
      <w:r w:rsidRPr="004A2EDD">
        <w:rPr>
          <w:b/>
          <w:bCs/>
          <w:lang w:val="fr-FR"/>
        </w:rPr>
        <w:t>Document informel INF.5/Rev.1, partie II, adopté avec les modifications suivantes :</w:t>
      </w:r>
    </w:p>
    <w:p w14:paraId="4519538B" w14:textId="77777777" w:rsidR="00AB693C" w:rsidRPr="004A2EDD" w:rsidRDefault="00AB693C" w:rsidP="00AB693C">
      <w:pPr>
        <w:pStyle w:val="SingleTxtG"/>
        <w:ind w:left="2268" w:hanging="1134"/>
      </w:pPr>
      <w:r w:rsidRPr="004A2EDD">
        <w:t>Supprimer tous les crochets.</w:t>
      </w:r>
    </w:p>
    <w:p w14:paraId="77A6E1D8" w14:textId="77777777" w:rsidR="00AB693C" w:rsidRPr="004A2EDD" w:rsidRDefault="00AB693C" w:rsidP="00AB693C">
      <w:pPr>
        <w:pStyle w:val="SingleTxtG"/>
        <w:ind w:left="2268" w:hanging="1134"/>
      </w:pPr>
      <w:r w:rsidRPr="004A2EDD">
        <w:t>4.1.1.5.3</w:t>
      </w:r>
      <w:r w:rsidRPr="004A2EDD">
        <w:tab/>
        <w:t>À l’alinéa b), remplacer « [</w:t>
      </w:r>
      <w:proofErr w:type="spellStart"/>
      <w:r w:rsidRPr="004A2EDD">
        <w:t>xxxx</w:t>
      </w:r>
      <w:proofErr w:type="spellEnd"/>
      <w:r w:rsidRPr="004A2EDD">
        <w:t>] » par « 4.1.1.5, 4.1.1.5.1, 4.1.1.5.2, 4.1.1.21, 4.1.3.1 to 4.1.3.5, 4.1.3.7, 4.1.4, 6.1.5.2.1, 6.5.6.1.2 et 6.6.5.2.1 ». Les autres modifications ne s’appliquent pas au texte français.</w:t>
      </w:r>
    </w:p>
    <w:p w14:paraId="58332051" w14:textId="77777777" w:rsidR="00AB693C" w:rsidRPr="004A2EDD" w:rsidRDefault="00AB693C" w:rsidP="00AB693C">
      <w:pPr>
        <w:pStyle w:val="SingleTxtG"/>
        <w:ind w:left="2268" w:hanging="1134"/>
        <w:rPr>
          <w:i/>
          <w:iCs/>
        </w:rPr>
      </w:pPr>
      <w:r w:rsidRPr="004A2EDD">
        <w:rPr>
          <w:i/>
          <w:iCs/>
        </w:rPr>
        <w:t>(Document de référence : document informel INF.14)</w:t>
      </w:r>
    </w:p>
    <w:p w14:paraId="3C6B9F37" w14:textId="77777777" w:rsidR="00AB693C" w:rsidRPr="004A2EDD" w:rsidRDefault="00AB693C" w:rsidP="00AB693C">
      <w:pPr>
        <w:pStyle w:val="SingleTxtG"/>
        <w:ind w:left="2268" w:hanging="1134"/>
      </w:pPr>
      <w:r w:rsidRPr="004A2EDD">
        <w:t>5.4.1.1.3.3</w:t>
      </w:r>
      <w:r w:rsidRPr="004A2EDD">
        <w:tab/>
        <w:t>Après « 1993 », supprimer la virgule.</w:t>
      </w:r>
    </w:p>
    <w:p w14:paraId="07C7C804" w14:textId="3A03AC37" w:rsidR="00AB693C" w:rsidRPr="004A2EDD" w:rsidRDefault="00AB693C" w:rsidP="00AB693C">
      <w:pPr>
        <w:pStyle w:val="SingleTxtG"/>
        <w:ind w:left="2268" w:hanging="1134"/>
      </w:pPr>
      <w:r w:rsidRPr="004A2EDD">
        <w:t>5.4.1.1.4</w:t>
      </w:r>
      <w:r w:rsidRPr="004A2EDD">
        <w:tab/>
        <w:t>La première modification ne s’applique pas au texte français. Dans le deuxième paragraphe, remplacer « </w:t>
      </w:r>
      <w:r w:rsidRPr="00EB3320">
        <w:rPr>
          <w:lang w:val="fr-FR"/>
        </w:rPr>
        <w:t>aux alinéas b) i), ii), iii), iv) et v) de la disposition spéciale 678</w:t>
      </w:r>
      <w:r w:rsidRPr="004A2EDD">
        <w:t xml:space="preserve"> » par « à </w:t>
      </w:r>
      <w:r>
        <w:t>la disposition spéciale 678</w:t>
      </w:r>
      <w:r w:rsidRPr="004A2EDD">
        <w:t xml:space="preserve"> b) ». Dans le deuxième paragraphe, remplacer « j)/k) » par « k) ».</w:t>
      </w:r>
    </w:p>
    <w:p w14:paraId="1650FC6D" w14:textId="77777777" w:rsidR="00AB693C" w:rsidRPr="004A2EDD" w:rsidRDefault="00AB693C" w:rsidP="00AB693C">
      <w:pPr>
        <w:pStyle w:val="SingleTxtG"/>
        <w:ind w:left="2268" w:hanging="1134"/>
      </w:pPr>
      <w:r w:rsidRPr="004A2EDD">
        <w:lastRenderedPageBreak/>
        <w:t>7.3.3.2.7, AP12</w:t>
      </w:r>
      <w:r w:rsidRPr="004A2EDD">
        <w:tab/>
        <w:t>Au cinquième paragraphe, remplacer « benne » par « compartiment de chargement ».</w:t>
      </w:r>
      <w:r w:rsidRPr="00C104E6">
        <w:t xml:space="preserve"> </w:t>
      </w:r>
      <w:r>
        <w:t>Les autres</w:t>
      </w:r>
      <w:r w:rsidRPr="004A2EDD">
        <w:t xml:space="preserve"> </w:t>
      </w:r>
      <w:r>
        <w:t>modifications</w:t>
      </w:r>
      <w:r w:rsidRPr="004A2EDD">
        <w:t xml:space="preserve"> ne s’applique</w:t>
      </w:r>
      <w:r>
        <w:t>nt</w:t>
      </w:r>
      <w:r w:rsidRPr="004A2EDD">
        <w:t xml:space="preserve"> pas au texte français.</w:t>
      </w:r>
    </w:p>
    <w:p w14:paraId="3BF09333" w14:textId="77777777" w:rsidR="00AB693C" w:rsidRPr="004A2EDD" w:rsidRDefault="00AB693C" w:rsidP="00AB693C">
      <w:pPr>
        <w:pStyle w:val="SingleTxtG"/>
        <w:ind w:left="2268" w:hanging="1134"/>
        <w:rPr>
          <w:i/>
          <w:iCs/>
        </w:rPr>
      </w:pPr>
      <w:r w:rsidRPr="004A2EDD">
        <w:rPr>
          <w:i/>
          <w:iCs/>
        </w:rPr>
        <w:t>(Document de référence : document informel INF.7)</w:t>
      </w:r>
    </w:p>
    <w:p w14:paraId="174BEECF" w14:textId="39F29B76" w:rsidR="00AB693C" w:rsidRPr="004A2EDD" w:rsidRDefault="00AB693C" w:rsidP="00AB693C">
      <w:pPr>
        <w:pStyle w:val="SingleTxtG"/>
        <w:ind w:left="2268" w:hanging="1134"/>
      </w:pPr>
      <w:r w:rsidRPr="004A2EDD">
        <w:t>7.5.11, CV38</w:t>
      </w:r>
      <w:r>
        <w:tab/>
      </w:r>
      <w:r w:rsidRPr="004A2EDD">
        <w:t>Au premier paragraphe, dans la première phrase, remplacer « bennes » par « compartiments de chargement ». Dans la deuxième phrase, remplacer « Les bennes doivent être contrôlées » par « Ils doivent être contrôlés ». Dans le deuxième paragraphe, dans la première phrase, remplacer « bennes » par « compartiments de chargement ». Dans la deuxième phrase, remplacer « de la benne » par « du compartiment de chargement ». Dans le troisième paragraphe, dans la première phrase, remplacer « </w:t>
      </w:r>
      <w:r w:rsidRPr="004A2EDD">
        <w:rPr>
          <w:lang w:val="fr-FR"/>
        </w:rPr>
        <w:t>d'une benne à une autre</w:t>
      </w:r>
      <w:r w:rsidRPr="004A2EDD">
        <w:t> » par « d’un compartiment de chargement à un autre ». Dans la deuxième phrase, remplacer « la même benne » par « le même compartiment ». Dans l’avant-dernier paragraphe, remplacer « bennes » par « compartiments de chargement » et remplacer « la benne posée » par « ces derniers posés ». Dans le dernier paragraphe, dans la première phrase, remplacer « de la benne » par « du compartiment de chargement ».</w:t>
      </w:r>
    </w:p>
    <w:p w14:paraId="57154886" w14:textId="77777777" w:rsidR="00AB693C" w:rsidRPr="004A2EDD" w:rsidRDefault="00AB693C" w:rsidP="00AB693C">
      <w:pPr>
        <w:pStyle w:val="SingleTxtG"/>
        <w:ind w:left="2268" w:hanging="1134"/>
        <w:rPr>
          <w:i/>
          <w:iCs/>
        </w:rPr>
      </w:pPr>
      <w:r w:rsidRPr="004A2EDD">
        <w:rPr>
          <w:i/>
          <w:iCs/>
        </w:rPr>
        <w:t>(Document de référence : document informel INF.7)</w:t>
      </w:r>
    </w:p>
    <w:p w14:paraId="4F0461C1" w14:textId="77777777" w:rsidR="005B29A5" w:rsidRDefault="005B29A5">
      <w:pPr>
        <w:rPr>
          <w:b/>
          <w:sz w:val="28"/>
          <w:lang w:val="fr-FR"/>
        </w:rPr>
      </w:pPr>
      <w:r>
        <w:rPr>
          <w:lang w:val="fr-FR"/>
        </w:rPr>
        <w:br w:type="page"/>
      </w:r>
    </w:p>
    <w:p w14:paraId="0F7523CA" w14:textId="0D42996B" w:rsidR="00E677A4" w:rsidRDefault="000D10E8" w:rsidP="00AB693C">
      <w:pPr>
        <w:pStyle w:val="HChG"/>
        <w:rPr>
          <w:lang w:val="fr-FR"/>
        </w:rPr>
      </w:pPr>
      <w:r>
        <w:rPr>
          <w:lang w:val="fr-FR"/>
        </w:rPr>
        <w:lastRenderedPageBreak/>
        <w:t>Annexe </w:t>
      </w:r>
      <w:r w:rsidR="00AB693C" w:rsidRPr="004A2EDD">
        <w:rPr>
          <w:lang w:val="fr-FR"/>
        </w:rPr>
        <w:t>II</w:t>
      </w:r>
      <w:r w:rsidR="00E677A4">
        <w:rPr>
          <w:lang w:val="fr-FR"/>
        </w:rPr>
        <w:t>I</w:t>
      </w:r>
    </w:p>
    <w:p w14:paraId="1C7D62F0" w14:textId="6634D155" w:rsidR="00AB693C" w:rsidRPr="004A2EDD" w:rsidRDefault="00E677A4" w:rsidP="00AB693C">
      <w:pPr>
        <w:pStyle w:val="HChG"/>
        <w:rPr>
          <w:lang w:val="fr-FR"/>
        </w:rPr>
      </w:pPr>
      <w:r>
        <w:rPr>
          <w:lang w:val="fr-FR"/>
        </w:rPr>
        <w:tab/>
      </w:r>
      <w:r w:rsidR="00AB693C" w:rsidRPr="004A2EDD">
        <w:rPr>
          <w:lang w:val="fr-FR"/>
        </w:rPr>
        <w:tab/>
        <w:t>Projet d’amendements aux annexes A et B de l’ADR pour entrée en vigueur le 1er janvier 2025 à confirmer lors de la prochaine session</w:t>
      </w:r>
    </w:p>
    <w:p w14:paraId="1149433E" w14:textId="77777777" w:rsidR="00AB693C" w:rsidRPr="00CE1821" w:rsidRDefault="00AB693C" w:rsidP="00AB693C">
      <w:pPr>
        <w:pStyle w:val="H23G"/>
        <w:rPr>
          <w:lang w:val="fr-FR"/>
        </w:rPr>
      </w:pPr>
      <w:r w:rsidRPr="00CE1821">
        <w:rPr>
          <w:lang w:val="fr-FR"/>
        </w:rPr>
        <w:tab/>
      </w:r>
      <w:r w:rsidRPr="00CE1821">
        <w:rPr>
          <w:lang w:val="fr-FR"/>
        </w:rPr>
        <w:tab/>
        <w:t xml:space="preserve">Chapitre </w:t>
      </w:r>
      <w:r>
        <w:rPr>
          <w:lang w:val="fr-FR"/>
        </w:rPr>
        <w:t>1.6</w:t>
      </w:r>
    </w:p>
    <w:p w14:paraId="42A561E3" w14:textId="77777777" w:rsidR="00AB693C" w:rsidRDefault="00AB693C" w:rsidP="007A53C9">
      <w:pPr>
        <w:pStyle w:val="SingleTxtG"/>
        <w:tabs>
          <w:tab w:val="clear" w:pos="1701"/>
        </w:tabs>
        <w:ind w:left="2268" w:hanging="1134"/>
        <w:rPr>
          <w:lang w:val="fr-FR"/>
        </w:rPr>
      </w:pPr>
      <w:r>
        <w:rPr>
          <w:lang w:val="fr-FR"/>
        </w:rPr>
        <w:t>1.6.5</w:t>
      </w:r>
      <w:r>
        <w:rPr>
          <w:lang w:val="fr-FR"/>
        </w:rPr>
        <w:tab/>
        <w:t>Ajouter les dispositions transitoires suivantes :</w:t>
      </w:r>
    </w:p>
    <w:p w14:paraId="5DA91C6D" w14:textId="336B244F" w:rsidR="00AB693C" w:rsidRPr="00E67E95" w:rsidRDefault="00AB693C" w:rsidP="00AB693C">
      <w:pPr>
        <w:pStyle w:val="SingleTxtG"/>
        <w:ind w:left="2268" w:hanging="1134"/>
        <w:rPr>
          <w:lang w:val="fr-FR"/>
        </w:rPr>
      </w:pPr>
      <w:r w:rsidRPr="00E67E95">
        <w:rPr>
          <w:lang w:val="fr-FR"/>
        </w:rPr>
        <w:t>« 1.6.5.2</w:t>
      </w:r>
      <w:r>
        <w:rPr>
          <w:lang w:val="fr-FR"/>
        </w:rPr>
        <w:t>6</w:t>
      </w:r>
      <w:r w:rsidRPr="00E67E95">
        <w:rPr>
          <w:lang w:val="fr-FR"/>
        </w:rPr>
        <w:tab/>
        <w:t>Les véhicules immatriculés pour la première fois (ou mis en circulation, si l’immatriculation n’est pas obligatoire) avant le [1</w:t>
      </w:r>
      <w:r w:rsidRPr="00DC1658">
        <w:rPr>
          <w:vertAlign w:val="superscript"/>
          <w:lang w:val="fr-FR"/>
        </w:rPr>
        <w:t>er</w:t>
      </w:r>
      <w:r w:rsidRPr="00E67E95">
        <w:rPr>
          <w:lang w:val="fr-FR"/>
        </w:rPr>
        <w:t xml:space="preserve"> avril 2026], agréés en tant que véhicules AT, qui ne sont pas conformes aux dispositions du 9.2.4.2 en ce qui concerne les réservoirs de carburant, peuvent encore être utilisés. ».</w:t>
      </w:r>
    </w:p>
    <w:p w14:paraId="3BB46F12" w14:textId="5051F278" w:rsidR="00AB693C" w:rsidRPr="00E67E95" w:rsidRDefault="00AB693C" w:rsidP="00AB693C">
      <w:pPr>
        <w:pStyle w:val="SingleTxtG"/>
        <w:ind w:left="2268" w:hanging="1134"/>
        <w:rPr>
          <w:lang w:val="fr-FR"/>
        </w:rPr>
      </w:pPr>
      <w:r w:rsidRPr="00E67E95">
        <w:rPr>
          <w:lang w:val="fr-FR"/>
        </w:rPr>
        <w:t>« 1.6.5.2</w:t>
      </w:r>
      <w:r>
        <w:rPr>
          <w:lang w:val="fr-FR"/>
        </w:rPr>
        <w:t>7</w:t>
      </w:r>
      <w:r w:rsidRPr="00E67E95">
        <w:rPr>
          <w:lang w:val="fr-FR"/>
        </w:rPr>
        <w:tab/>
        <w:t>Les véhicules immatriculés pour la première fois (ou mis en circulation, si l’immatriculation n’est pas obligatoire) avant le [1</w:t>
      </w:r>
      <w:r w:rsidRPr="00DC1658">
        <w:rPr>
          <w:vertAlign w:val="superscript"/>
          <w:lang w:val="fr-FR"/>
        </w:rPr>
        <w:t>er</w:t>
      </w:r>
      <w:r w:rsidRPr="00E67E95">
        <w:rPr>
          <w:lang w:val="fr-FR"/>
        </w:rPr>
        <w:t xml:space="preserve"> avril 2026], agréés en tant que véhicules AT, qui ne sont pas conformes aux dispositions du 9.2.4.4.2 en ce qui concerne l’évaluation du SRSEE, peuvent encore être utilisés. ».</w:t>
      </w:r>
    </w:p>
    <w:p w14:paraId="1415C77B" w14:textId="77777777" w:rsidR="00AB693C" w:rsidRPr="00CE1821" w:rsidRDefault="00AB693C" w:rsidP="00AB693C">
      <w:pPr>
        <w:pStyle w:val="SingleTxtG"/>
        <w:rPr>
          <w:i/>
          <w:iCs/>
          <w:lang w:val="fr-FR"/>
        </w:rPr>
      </w:pPr>
      <w:r w:rsidRPr="00CE1821">
        <w:rPr>
          <w:i/>
          <w:iCs/>
          <w:lang w:val="fr-FR"/>
        </w:rPr>
        <w:t xml:space="preserve">(Document de référence : ECE/TRANS/WP.15/2023/14, proposition </w:t>
      </w:r>
      <w:r>
        <w:rPr>
          <w:i/>
          <w:iCs/>
          <w:lang w:val="fr-FR"/>
        </w:rPr>
        <w:t>22, telle que modifiée</w:t>
      </w:r>
      <w:r w:rsidRPr="00CE1821">
        <w:rPr>
          <w:i/>
          <w:iCs/>
          <w:lang w:val="fr-FR"/>
        </w:rPr>
        <w:t>)</w:t>
      </w:r>
    </w:p>
    <w:p w14:paraId="2292672B" w14:textId="77777777" w:rsidR="00AB693C" w:rsidRPr="00B93575" w:rsidRDefault="00AB693C" w:rsidP="00AB693C">
      <w:pPr>
        <w:pStyle w:val="H23G"/>
        <w:rPr>
          <w:lang w:val="fr-FR"/>
        </w:rPr>
      </w:pPr>
      <w:r w:rsidRPr="00B93575">
        <w:rPr>
          <w:lang w:val="fr-FR"/>
        </w:rPr>
        <w:tab/>
      </w:r>
      <w:r w:rsidRPr="00B93575">
        <w:rPr>
          <w:lang w:val="fr-FR"/>
        </w:rPr>
        <w:tab/>
        <w:t>Chapitre 1.8</w:t>
      </w:r>
    </w:p>
    <w:p w14:paraId="658C99E9" w14:textId="77777777" w:rsidR="00AB693C" w:rsidRPr="00B93575" w:rsidRDefault="00AB693C" w:rsidP="00AB693C">
      <w:pPr>
        <w:pStyle w:val="SingleTxtG"/>
        <w:spacing w:before="120"/>
        <w:ind w:left="2268" w:hanging="1134"/>
        <w:rPr>
          <w:lang w:val="fr-FR"/>
        </w:rPr>
      </w:pPr>
      <w:r w:rsidRPr="00B93575">
        <w:rPr>
          <w:lang w:val="fr-FR"/>
        </w:rPr>
        <w:t>[1.8.6.2.1</w:t>
      </w:r>
      <w:r w:rsidRPr="00B93575">
        <w:rPr>
          <w:lang w:val="fr-FR"/>
        </w:rPr>
        <w:tab/>
        <w:t>Dans la dernière phrase, après « n’agrée », ajouter « , ne reconnaît ou ne désigne ».]</w:t>
      </w:r>
    </w:p>
    <w:p w14:paraId="5DF96FD0" w14:textId="77777777" w:rsidR="00AB693C" w:rsidRPr="00B93575" w:rsidRDefault="00AB693C" w:rsidP="00102C88">
      <w:pPr>
        <w:pStyle w:val="SingleTxtG"/>
        <w:tabs>
          <w:tab w:val="clear" w:pos="1701"/>
          <w:tab w:val="clear" w:pos="2268"/>
        </w:tabs>
        <w:spacing w:before="120"/>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ECE/TRANS/WP.15/AC.1/170, annexe II) (en attente de confirmation par la Réunion commune à sa session de printemps 2024)</w:t>
      </w:r>
    </w:p>
    <w:p w14:paraId="4543552E" w14:textId="77777777" w:rsidR="00AB693C" w:rsidRPr="00B93575" w:rsidRDefault="00AB693C" w:rsidP="005C6FF1">
      <w:pPr>
        <w:pStyle w:val="SingleTxtG"/>
        <w:tabs>
          <w:tab w:val="clear" w:pos="1701"/>
        </w:tabs>
        <w:spacing w:before="120"/>
        <w:ind w:left="2268" w:hanging="1134"/>
        <w:rPr>
          <w:lang w:val="fr-FR"/>
        </w:rPr>
      </w:pPr>
      <w:r w:rsidRPr="00B93575">
        <w:rPr>
          <w:lang w:val="fr-FR"/>
        </w:rPr>
        <w:t>[1.8.6.3.1</w:t>
      </w:r>
      <w:r w:rsidRPr="00B93575">
        <w:rPr>
          <w:lang w:val="fr-FR"/>
        </w:rPr>
        <w:tab/>
        <w:t xml:space="preserve">Modifier la dernière phrase pour lire : « Les exigences ci-dessus sont réputées satisfaites en cas d’accréditation </w:t>
      </w:r>
      <w:r w:rsidRPr="00B93575">
        <w:rPr>
          <w:rFonts w:ascii="TimesNewRomanPSMT" w:hAnsi="TimesNewRomanPSMT" w:cs="TimesNewRomanPSMT"/>
          <w:lang w:val="fr-FR"/>
        </w:rPr>
        <w:t xml:space="preserve">conformément à la norme </w:t>
      </w:r>
      <w:r w:rsidRPr="00B93575">
        <w:rPr>
          <w:lang w:val="fr-FR"/>
        </w:rPr>
        <w:t>EN ISO/IEC 17020:2012 (sauf article 8.1.3). »]</w:t>
      </w:r>
    </w:p>
    <w:p w14:paraId="43279EA7" w14:textId="77777777" w:rsidR="00AB693C" w:rsidRPr="00B93575" w:rsidRDefault="00AB693C" w:rsidP="00102C88">
      <w:pPr>
        <w:pStyle w:val="SingleTxtG"/>
        <w:tabs>
          <w:tab w:val="clear" w:pos="1701"/>
          <w:tab w:val="clear" w:pos="2268"/>
        </w:tabs>
        <w:spacing w:before="120"/>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ECE/TRANS/WP.15/AC.1/170, annexe II) (en attente de confirmation par la Réunion commune à sa session de printemps 2024)</w:t>
      </w:r>
    </w:p>
    <w:p w14:paraId="61FE3772" w14:textId="77777777" w:rsidR="00AB693C" w:rsidRPr="00B93575" w:rsidRDefault="00AB693C" w:rsidP="00AB693C">
      <w:pPr>
        <w:pStyle w:val="H23G"/>
        <w:rPr>
          <w:lang w:val="fr-FR"/>
        </w:rPr>
      </w:pPr>
      <w:r w:rsidRPr="00B93575">
        <w:rPr>
          <w:lang w:val="fr-FR"/>
        </w:rPr>
        <w:tab/>
      </w:r>
      <w:r w:rsidRPr="00B93575">
        <w:rPr>
          <w:lang w:val="fr-FR"/>
        </w:rPr>
        <w:tab/>
        <w:t>Chapitre 6.2</w:t>
      </w:r>
    </w:p>
    <w:p w14:paraId="70A1F4E4" w14:textId="77777777" w:rsidR="00AB693C" w:rsidRPr="00B93575" w:rsidRDefault="00AB693C" w:rsidP="00AB693C">
      <w:pPr>
        <w:pStyle w:val="SingleTxtG"/>
        <w:spacing w:before="120"/>
        <w:rPr>
          <w:bCs/>
          <w:lang w:val="fr-FR"/>
        </w:rPr>
      </w:pPr>
      <w:r w:rsidRPr="00B93575">
        <w:rPr>
          <w:bCs/>
          <w:lang w:val="fr-FR"/>
        </w:rPr>
        <w:t>6.2.4.1</w:t>
      </w:r>
      <w:r w:rsidRPr="00B93575">
        <w:rPr>
          <w:bCs/>
          <w:lang w:val="fr-FR"/>
        </w:rPr>
        <w:tab/>
      </w:r>
      <w:r w:rsidRPr="00B93575">
        <w:rPr>
          <w:bCs/>
          <w:lang w:val="fr-FR"/>
        </w:rPr>
        <w:tab/>
        <w:t>Dans le tableau, sous « </w:t>
      </w:r>
      <w:r w:rsidRPr="005C6FF1">
        <w:rPr>
          <w:bCs/>
          <w:i/>
          <w:iCs/>
          <w:lang w:val="fr-FR"/>
        </w:rPr>
        <w:t>Pour la conception et la fabrication des fermetures</w:t>
      </w:r>
      <w:r w:rsidRPr="00B93575">
        <w:rPr>
          <w:bCs/>
          <w:lang w:val="fr-FR"/>
        </w:rPr>
        <w:t> » :</w:t>
      </w:r>
    </w:p>
    <w:p w14:paraId="12A5AD36" w14:textId="7D4823E6" w:rsidR="005C5B5D" w:rsidRPr="00CF033B" w:rsidRDefault="00AB693C" w:rsidP="00CF033B">
      <w:pPr>
        <w:pStyle w:val="SingleTxtG"/>
        <w:ind w:left="2268" w:right="1133"/>
        <w:rPr>
          <w:rFonts w:eastAsiaTheme="minorHAnsi"/>
          <w:lang w:val="fr-FR"/>
        </w:rPr>
      </w:pPr>
      <w:r w:rsidRPr="00B93575">
        <w:rPr>
          <w:bCs/>
          <w:lang w:val="fr-FR"/>
        </w:rPr>
        <w:t>Pour la ligne relative à la</w:t>
      </w:r>
      <w:r w:rsidRPr="00B93575">
        <w:rPr>
          <w:lang w:val="fr-FR"/>
        </w:rPr>
        <w:t xml:space="preserve"> norme EN 1626:2008 (sauf les robinets de catégorie B), dans la colonne (4), remplacer « Jusqu’à nouvel ordre » par « Entre le 1</w:t>
      </w:r>
      <w:r w:rsidRPr="00B93575">
        <w:rPr>
          <w:vertAlign w:val="superscript"/>
          <w:lang w:val="fr-FR"/>
        </w:rPr>
        <w:t>er</w:t>
      </w:r>
      <w:r w:rsidRPr="00B93575">
        <w:rPr>
          <w:lang w:val="fr-FR"/>
        </w:rPr>
        <w:t xml:space="preserve"> janvier 2015 et le 31 décembre 2028 ». </w:t>
      </w:r>
      <w:r w:rsidRPr="00B93575">
        <w:rPr>
          <w:rFonts w:eastAsiaTheme="minorHAnsi"/>
          <w:lang w:val="fr-FR"/>
        </w:rPr>
        <w:t>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3093"/>
        <w:gridCol w:w="1391"/>
        <w:gridCol w:w="1237"/>
        <w:gridCol w:w="619"/>
      </w:tblGrid>
      <w:tr w:rsidR="00A26BEF" w:rsidRPr="00B93575" w14:paraId="7F422E65" w14:textId="0849DCFC" w:rsidTr="005C6FF1">
        <w:tc>
          <w:tcPr>
            <w:tcW w:w="2165" w:type="dxa"/>
            <w:vAlign w:val="center"/>
          </w:tcPr>
          <w:p w14:paraId="05753363" w14:textId="77777777" w:rsidR="00A26BEF" w:rsidRPr="00B93575" w:rsidRDefault="00A26BEF" w:rsidP="00972C6A">
            <w:pPr>
              <w:tabs>
                <w:tab w:val="left" w:pos="1418"/>
              </w:tabs>
              <w:rPr>
                <w:szCs w:val="22"/>
                <w:lang w:val="fr-FR"/>
              </w:rPr>
            </w:pPr>
            <w:r w:rsidRPr="00B93575">
              <w:rPr>
                <w:lang w:val="fr-FR"/>
              </w:rPr>
              <w:t>EN ISO 21011:[2023]</w:t>
            </w:r>
          </w:p>
        </w:tc>
        <w:tc>
          <w:tcPr>
            <w:tcW w:w="3093" w:type="dxa"/>
            <w:vAlign w:val="center"/>
          </w:tcPr>
          <w:p w14:paraId="7C4113A9" w14:textId="77777777" w:rsidR="00A26BEF" w:rsidRPr="00B93575" w:rsidRDefault="00A26BEF" w:rsidP="00972C6A">
            <w:pPr>
              <w:widowControl w:val="0"/>
              <w:tabs>
                <w:tab w:val="left" w:pos="780"/>
              </w:tabs>
              <w:ind w:right="282"/>
              <w:rPr>
                <w:iCs/>
                <w:lang w:val="fr-FR"/>
              </w:rPr>
            </w:pPr>
            <w:r w:rsidRPr="00B93575">
              <w:rPr>
                <w:iCs/>
                <w:lang w:val="fr-FR"/>
              </w:rPr>
              <w:t>Récipients cryogéniques - Robinets pour usage cryogénique</w:t>
            </w:r>
          </w:p>
        </w:tc>
        <w:tc>
          <w:tcPr>
            <w:tcW w:w="1391" w:type="dxa"/>
          </w:tcPr>
          <w:p w14:paraId="679C2B29" w14:textId="77777777" w:rsidR="00A26BEF" w:rsidRPr="00B93575" w:rsidRDefault="00A26BEF" w:rsidP="00972C6A">
            <w:pPr>
              <w:tabs>
                <w:tab w:val="left" w:pos="1418"/>
              </w:tabs>
              <w:rPr>
                <w:lang w:val="fr-FR"/>
              </w:rPr>
            </w:pPr>
            <w:r w:rsidRPr="00B93575">
              <w:rPr>
                <w:lang w:val="fr-FR"/>
              </w:rPr>
              <w:t>6.2.3.1, 6.2.3.3 et 6.2.3.4</w:t>
            </w:r>
          </w:p>
        </w:tc>
        <w:tc>
          <w:tcPr>
            <w:tcW w:w="1237" w:type="dxa"/>
            <w:vAlign w:val="center"/>
          </w:tcPr>
          <w:p w14:paraId="6D30ABF8" w14:textId="77777777" w:rsidR="00A26BEF" w:rsidRPr="00B93575" w:rsidRDefault="00A26BEF" w:rsidP="00972C6A">
            <w:pPr>
              <w:tabs>
                <w:tab w:val="left" w:pos="1418"/>
              </w:tabs>
              <w:rPr>
                <w:szCs w:val="22"/>
                <w:lang w:val="fr-FR"/>
              </w:rPr>
            </w:pPr>
            <w:r w:rsidRPr="00B93575">
              <w:rPr>
                <w:lang w:val="fr-FR"/>
              </w:rPr>
              <w:t>Jusqu’à nouvel ordre</w:t>
            </w:r>
          </w:p>
        </w:tc>
        <w:tc>
          <w:tcPr>
            <w:tcW w:w="619" w:type="dxa"/>
          </w:tcPr>
          <w:p w14:paraId="14AF5457" w14:textId="77777777" w:rsidR="00A26BEF" w:rsidRPr="00B93575" w:rsidRDefault="00A26BEF" w:rsidP="00972C6A">
            <w:pPr>
              <w:tabs>
                <w:tab w:val="left" w:pos="1418"/>
              </w:tabs>
              <w:rPr>
                <w:lang w:val="fr-FR"/>
              </w:rPr>
            </w:pPr>
          </w:p>
        </w:tc>
      </w:tr>
    </w:tbl>
    <w:p w14:paraId="28FAC8B6" w14:textId="77777777" w:rsidR="00AB693C" w:rsidRPr="00B93575" w:rsidRDefault="00AB693C" w:rsidP="00AB693C">
      <w:pPr>
        <w:spacing w:after="120"/>
        <w:ind w:left="1134" w:right="1134"/>
        <w:jc w:val="both"/>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ECE/TRANS/WP.15/AC.1/170, annexe II) (en attente de la publication de la norme)</w:t>
      </w:r>
    </w:p>
    <w:p w14:paraId="37F2B6E0" w14:textId="77777777" w:rsidR="00AB693C" w:rsidRPr="00B93575" w:rsidRDefault="00AB693C" w:rsidP="00AB693C">
      <w:pPr>
        <w:spacing w:after="120"/>
        <w:ind w:left="2268" w:right="1134" w:hanging="1134"/>
        <w:jc w:val="both"/>
        <w:rPr>
          <w:lang w:val="fr-FR"/>
        </w:rPr>
      </w:pPr>
      <w:r w:rsidRPr="00B93575">
        <w:rPr>
          <w:rFonts w:cs="Arial"/>
          <w:szCs w:val="22"/>
          <w:lang w:val="fr-FR"/>
        </w:rPr>
        <w:tab/>
      </w:r>
      <w:r w:rsidRPr="00B93575">
        <w:rPr>
          <w:lang w:val="fr-FR"/>
        </w:rPr>
        <w:t>Pour la ligne relative à la norme EN 14129:2014, dans la colonne (4), remplacer « Jusqu’à nouvel ordre » par « Entre le 1</w:t>
      </w:r>
      <w:r w:rsidRPr="00B93575">
        <w:rPr>
          <w:vertAlign w:val="superscript"/>
          <w:lang w:val="fr-FR"/>
        </w:rPr>
        <w:t>er</w:t>
      </w:r>
      <w:r w:rsidRPr="00B93575">
        <w:rPr>
          <w:lang w:val="fr-FR"/>
        </w:rPr>
        <w:t xml:space="preserve"> janvier 2021 et le 31 décembre 2026 ». </w:t>
      </w:r>
      <w:r w:rsidRPr="00B93575">
        <w:rPr>
          <w:rFonts w:eastAsiaTheme="minorHAnsi"/>
          <w:lang w:val="fr-FR"/>
        </w:rPr>
        <w:t>Après cette ligne, ajouter la nouvelle ligne suivante :</w:t>
      </w:r>
    </w:p>
    <w:tbl>
      <w:tblPr>
        <w:tblW w:w="840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6"/>
        <w:gridCol w:w="2919"/>
        <w:gridCol w:w="1187"/>
        <w:gridCol w:w="1121"/>
        <w:gridCol w:w="850"/>
      </w:tblGrid>
      <w:tr w:rsidR="00AB693C" w:rsidRPr="00B93575" w14:paraId="213CC21E" w14:textId="77777777" w:rsidTr="005C6FF1">
        <w:tc>
          <w:tcPr>
            <w:tcW w:w="23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BA0468" w14:textId="77777777" w:rsidR="00AB693C" w:rsidRPr="00B93575" w:rsidRDefault="00AB693C" w:rsidP="00972C6A">
            <w:pPr>
              <w:widowControl w:val="0"/>
              <w:ind w:right="282"/>
              <w:rPr>
                <w:rFonts w:cs="Arial"/>
                <w:lang w:val="fr-FR"/>
              </w:rPr>
            </w:pPr>
            <w:r w:rsidRPr="00B93575">
              <w:rPr>
                <w:szCs w:val="22"/>
                <w:lang w:val="fr-FR"/>
              </w:rPr>
              <w:t>EN 14129:</w:t>
            </w:r>
            <w:r w:rsidRPr="00B93575">
              <w:rPr>
                <w:bCs/>
                <w:szCs w:val="22"/>
                <w:lang w:val="fr-FR"/>
              </w:rPr>
              <w:t>[</w:t>
            </w:r>
            <w:r w:rsidRPr="00B93575">
              <w:rPr>
                <w:szCs w:val="22"/>
                <w:lang w:val="fr-FR"/>
              </w:rPr>
              <w:t>2023</w:t>
            </w:r>
            <w:r w:rsidRPr="00B93575">
              <w:rPr>
                <w:bCs/>
                <w:szCs w:val="22"/>
                <w:lang w:val="fr-FR"/>
              </w:rPr>
              <w:t>]</w:t>
            </w:r>
          </w:p>
        </w:tc>
        <w:tc>
          <w:tcPr>
            <w:tcW w:w="29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47D682" w14:textId="77777777" w:rsidR="00AB693C" w:rsidRPr="00B93575" w:rsidRDefault="00AB693C" w:rsidP="00972C6A">
            <w:pPr>
              <w:widowControl w:val="0"/>
              <w:ind w:right="282"/>
              <w:rPr>
                <w:rFonts w:cs="Arial"/>
                <w:bCs/>
                <w:lang w:val="fr-FR"/>
              </w:rPr>
            </w:pPr>
            <w:r w:rsidRPr="00B93575">
              <w:rPr>
                <w:rFonts w:cs="Arial"/>
                <w:bCs/>
                <w:lang w:val="fr-FR"/>
              </w:rPr>
              <w:t>Équipements pour GPL et leurs accessoires – Soupapes de sécurité pour réservoirs de GPL sous pression</w:t>
            </w:r>
          </w:p>
          <w:p w14:paraId="4DFD1311" w14:textId="77777777" w:rsidR="00AB693C" w:rsidRPr="00B93575" w:rsidRDefault="00AB693C" w:rsidP="00972C6A">
            <w:pPr>
              <w:widowControl w:val="0"/>
              <w:ind w:left="6" w:right="282" w:hanging="6"/>
              <w:rPr>
                <w:rFonts w:cs="Arial"/>
                <w:i/>
                <w:lang w:val="fr-FR"/>
              </w:rPr>
            </w:pPr>
            <w:r w:rsidRPr="00B93575">
              <w:rPr>
                <w:rFonts w:cs="Arial"/>
                <w:b/>
                <w:bCs/>
                <w:i/>
                <w:lang w:val="fr-FR"/>
              </w:rPr>
              <w:t>NOTA :</w:t>
            </w:r>
            <w:r w:rsidRPr="00B93575">
              <w:rPr>
                <w:rFonts w:cs="Arial"/>
                <w:bCs/>
                <w:i/>
                <w:lang w:val="fr-FR"/>
              </w:rPr>
              <w:t xml:space="preserve"> Cette norme est applicable aux fûts à pression.</w:t>
            </w:r>
          </w:p>
        </w:tc>
        <w:tc>
          <w:tcPr>
            <w:tcW w:w="11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D144DA" w14:textId="77777777" w:rsidR="00AB693C" w:rsidRPr="00B93575" w:rsidRDefault="00AB693C" w:rsidP="00972C6A">
            <w:pPr>
              <w:widowControl w:val="0"/>
              <w:ind w:right="282"/>
              <w:rPr>
                <w:rFonts w:cs="Arial"/>
                <w:lang w:val="fr-FR"/>
              </w:rPr>
            </w:pPr>
            <w:r w:rsidRPr="00B93575">
              <w:rPr>
                <w:lang w:val="fr-FR"/>
              </w:rPr>
              <w:t>6.2.3.1, 6.2.3.3 et 6.2.3.4</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4B1238" w14:textId="77777777" w:rsidR="00AB693C" w:rsidRPr="00B93575" w:rsidRDefault="00AB693C" w:rsidP="00972C6A">
            <w:pPr>
              <w:widowControl w:val="0"/>
              <w:ind w:right="282"/>
              <w:jc w:val="center"/>
              <w:rPr>
                <w:rFonts w:cs="Arial"/>
                <w:lang w:val="fr-FR"/>
              </w:rPr>
            </w:pPr>
            <w:r w:rsidRPr="00B93575">
              <w:rPr>
                <w:rFonts w:cs="Arial"/>
                <w:lang w:val="fr-FR"/>
              </w:rPr>
              <w:t>Jusqu’à nouvel ordre</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06E2F0" w14:textId="77777777" w:rsidR="00AB693C" w:rsidRPr="00B93575" w:rsidRDefault="00AB693C" w:rsidP="00972C6A">
            <w:pPr>
              <w:widowControl w:val="0"/>
              <w:ind w:right="282"/>
              <w:rPr>
                <w:rFonts w:cs="Arial"/>
                <w:lang w:val="fr-FR"/>
              </w:rPr>
            </w:pPr>
          </w:p>
        </w:tc>
      </w:tr>
    </w:tbl>
    <w:p w14:paraId="32EFC3D4" w14:textId="24A4BE25" w:rsidR="00AB693C" w:rsidRPr="00B93575" w:rsidRDefault="00AB693C" w:rsidP="00AB693C">
      <w:pPr>
        <w:spacing w:after="120"/>
        <w:ind w:left="1134" w:right="1134"/>
        <w:jc w:val="both"/>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ECE/TRANS/WP.15/262, annexe) (en attente de la publication de la norme)</w:t>
      </w:r>
    </w:p>
    <w:p w14:paraId="33386812" w14:textId="77777777" w:rsidR="00AB693C" w:rsidRPr="00B93575" w:rsidRDefault="00AB693C" w:rsidP="00AB693C">
      <w:pPr>
        <w:pStyle w:val="H23G"/>
        <w:rPr>
          <w:lang w:val="fr-FR"/>
        </w:rPr>
      </w:pPr>
      <w:r w:rsidRPr="00B93575">
        <w:rPr>
          <w:lang w:val="fr-FR"/>
        </w:rPr>
        <w:lastRenderedPageBreak/>
        <w:tab/>
      </w:r>
      <w:r w:rsidRPr="00B93575">
        <w:rPr>
          <w:lang w:val="fr-FR"/>
        </w:rPr>
        <w:tab/>
        <w:t>Chapitre 6.8</w:t>
      </w:r>
    </w:p>
    <w:p w14:paraId="15FD3C07" w14:textId="77777777" w:rsidR="00AB693C" w:rsidRPr="00B93575" w:rsidRDefault="00AB693C" w:rsidP="00AB693C">
      <w:pPr>
        <w:spacing w:after="120"/>
        <w:ind w:left="2268" w:right="1134" w:hanging="1134"/>
        <w:jc w:val="both"/>
        <w:rPr>
          <w:lang w:val="fr-FR"/>
        </w:rPr>
      </w:pPr>
      <w:r>
        <w:rPr>
          <w:lang w:val="fr-FR"/>
        </w:rPr>
        <w:t>6.8.2.6.1</w:t>
      </w:r>
      <w:r w:rsidRPr="00B93575">
        <w:rPr>
          <w:lang w:val="fr-FR"/>
        </w:rPr>
        <w:tab/>
        <w:t>Dans le tableau, sous « </w:t>
      </w:r>
      <w:r w:rsidRPr="005C6FF1">
        <w:rPr>
          <w:i/>
          <w:iCs/>
          <w:lang w:val="fr-FR"/>
        </w:rPr>
        <w:t>Pour les équipements</w:t>
      </w:r>
      <w:r w:rsidRPr="00B93575">
        <w:rPr>
          <w:lang w:val="fr-FR"/>
        </w:rPr>
        <w:t> » :</w:t>
      </w:r>
    </w:p>
    <w:p w14:paraId="2EF4A8F1" w14:textId="72CFBEAE" w:rsidR="00AB693C" w:rsidRPr="00B93575" w:rsidRDefault="00AB693C" w:rsidP="00AB693C">
      <w:pPr>
        <w:spacing w:after="120"/>
        <w:ind w:left="2268" w:right="1134" w:hanging="1134"/>
        <w:jc w:val="both"/>
        <w:rPr>
          <w:lang w:val="fr-FR"/>
        </w:rPr>
      </w:pPr>
      <w:r w:rsidRPr="00B93575">
        <w:rPr>
          <w:bCs/>
          <w:lang w:val="fr-FR"/>
        </w:rPr>
        <w:tab/>
        <w:t>Pour la ligne relative à la</w:t>
      </w:r>
      <w:r w:rsidRPr="00B93575">
        <w:rPr>
          <w:lang w:val="fr-FR"/>
        </w:rPr>
        <w:t xml:space="preserve"> norme EN 1626:2008 (sauf les robinets de catégorie B), dans la colonne (4), remplacer « Jusqu’à nouvel ordre » par « Entre le 1</w:t>
      </w:r>
      <w:r w:rsidRPr="00B93575">
        <w:rPr>
          <w:vertAlign w:val="superscript"/>
          <w:lang w:val="fr-FR"/>
        </w:rPr>
        <w:t>er</w:t>
      </w:r>
      <w:r w:rsidRPr="00B93575">
        <w:rPr>
          <w:lang w:val="fr-FR"/>
        </w:rPr>
        <w:t xml:space="preserve"> janvier 2015 et le 31 décembre 2028 ». </w:t>
      </w:r>
      <w:r w:rsidRPr="00B93575">
        <w:rPr>
          <w:rFonts w:eastAsiaTheme="minorHAnsi"/>
          <w:lang w:val="fr-FR"/>
        </w:rPr>
        <w:t>Après cette ligne, ajouter la nouvelle ligne suivante :</w:t>
      </w:r>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3"/>
        <w:gridCol w:w="1134"/>
        <w:gridCol w:w="1560"/>
        <w:gridCol w:w="567"/>
      </w:tblGrid>
      <w:tr w:rsidR="00AB693C" w:rsidRPr="00B93575" w14:paraId="46AD904C" w14:textId="77777777" w:rsidTr="00972C6A">
        <w:trPr>
          <w:trHeight w:val="20"/>
        </w:trPr>
        <w:tc>
          <w:tcPr>
            <w:tcW w:w="1418" w:type="dxa"/>
            <w:vAlign w:val="center"/>
          </w:tcPr>
          <w:p w14:paraId="7B01FB91" w14:textId="77777777" w:rsidR="00AB693C" w:rsidRPr="00B93575" w:rsidRDefault="00AB693C" w:rsidP="00972C6A">
            <w:pPr>
              <w:tabs>
                <w:tab w:val="left" w:pos="1418"/>
              </w:tabs>
              <w:rPr>
                <w:szCs w:val="22"/>
                <w:lang w:val="fr-FR"/>
              </w:rPr>
            </w:pPr>
            <w:r w:rsidRPr="00B93575">
              <w:rPr>
                <w:lang w:val="fr-FR"/>
              </w:rPr>
              <w:t>EN ISO 21011:[2023]</w:t>
            </w:r>
          </w:p>
        </w:tc>
        <w:tc>
          <w:tcPr>
            <w:tcW w:w="3543" w:type="dxa"/>
            <w:vAlign w:val="center"/>
          </w:tcPr>
          <w:p w14:paraId="161CD799" w14:textId="77777777" w:rsidR="00AB693C" w:rsidRPr="00B93575" w:rsidRDefault="00AB693C" w:rsidP="00972C6A">
            <w:pPr>
              <w:widowControl w:val="0"/>
              <w:tabs>
                <w:tab w:val="left" w:pos="780"/>
              </w:tabs>
              <w:ind w:right="282"/>
              <w:rPr>
                <w:iCs/>
                <w:lang w:val="fr-FR"/>
              </w:rPr>
            </w:pPr>
            <w:r w:rsidRPr="00B93575">
              <w:rPr>
                <w:iCs/>
                <w:lang w:val="fr-FR"/>
              </w:rPr>
              <w:t>Récipients cryogéniques - Robinets pour usage cryogénique</w:t>
            </w:r>
          </w:p>
        </w:tc>
        <w:tc>
          <w:tcPr>
            <w:tcW w:w="1134" w:type="dxa"/>
          </w:tcPr>
          <w:p w14:paraId="6B87CE0A" w14:textId="77777777" w:rsidR="00AB693C" w:rsidRPr="00B93575" w:rsidRDefault="00AB693C" w:rsidP="00972C6A">
            <w:pPr>
              <w:tabs>
                <w:tab w:val="left" w:pos="1418"/>
              </w:tabs>
              <w:rPr>
                <w:lang w:val="fr-FR"/>
              </w:rPr>
            </w:pPr>
            <w:r w:rsidRPr="00B93575">
              <w:t>6.8.2.2.1, 6.8.2.4 et 6.8.3.4</w:t>
            </w:r>
          </w:p>
        </w:tc>
        <w:tc>
          <w:tcPr>
            <w:tcW w:w="1560" w:type="dxa"/>
            <w:vAlign w:val="center"/>
          </w:tcPr>
          <w:p w14:paraId="53F83E15" w14:textId="77777777" w:rsidR="00AB693C" w:rsidRPr="00B93575" w:rsidRDefault="00AB693C" w:rsidP="00972C6A">
            <w:pPr>
              <w:tabs>
                <w:tab w:val="left" w:pos="1418"/>
              </w:tabs>
              <w:rPr>
                <w:szCs w:val="22"/>
                <w:lang w:val="fr-FR"/>
              </w:rPr>
            </w:pPr>
            <w:r w:rsidRPr="00B93575">
              <w:rPr>
                <w:lang w:val="fr-FR"/>
              </w:rPr>
              <w:t>Jusqu’à nouvel ordre</w:t>
            </w:r>
          </w:p>
        </w:tc>
        <w:tc>
          <w:tcPr>
            <w:tcW w:w="567" w:type="dxa"/>
          </w:tcPr>
          <w:p w14:paraId="75728D8F" w14:textId="77777777" w:rsidR="00AB693C" w:rsidRPr="00B93575" w:rsidRDefault="00AB693C" w:rsidP="00972C6A">
            <w:pPr>
              <w:rPr>
                <w:lang w:val="fr-FR"/>
              </w:rPr>
            </w:pPr>
          </w:p>
        </w:tc>
      </w:tr>
    </w:tbl>
    <w:p w14:paraId="0B859C70" w14:textId="5FDC9900" w:rsidR="00AB693C" w:rsidRPr="00B93575" w:rsidRDefault="00AB693C" w:rsidP="00AB693C">
      <w:pPr>
        <w:spacing w:after="120"/>
        <w:ind w:left="1134" w:right="1134"/>
        <w:jc w:val="both"/>
        <w:rPr>
          <w:rFonts w:eastAsia="SimSun"/>
          <w:i/>
          <w:iCs/>
          <w:lang w:val="fr-FR"/>
        </w:rPr>
      </w:pPr>
      <w:r w:rsidRPr="00B93575">
        <w:rPr>
          <w:rFonts w:eastAsia="SimSun"/>
          <w:i/>
          <w:iCs/>
          <w:lang w:val="fr-FR"/>
        </w:rPr>
        <w:t>(</w:t>
      </w:r>
      <w:r w:rsidRPr="00B93575">
        <w:rPr>
          <w:i/>
          <w:iCs/>
          <w:lang w:val="fr-FR"/>
        </w:rPr>
        <w:t xml:space="preserve">Document de référence : </w:t>
      </w:r>
      <w:r w:rsidR="00D43008" w:rsidRPr="00200D9B">
        <w:rPr>
          <w:i/>
          <w:iCs/>
        </w:rPr>
        <w:t>ECE/TRANS/WP.15/AC.1/170</w:t>
      </w:r>
      <w:r w:rsidRPr="00B93575">
        <w:rPr>
          <w:rFonts w:eastAsia="SimSun"/>
          <w:i/>
          <w:iCs/>
          <w:lang w:val="fr-FR"/>
        </w:rPr>
        <w:t>, annexe</w:t>
      </w:r>
      <w:r w:rsidR="00D43008">
        <w:rPr>
          <w:rFonts w:eastAsia="SimSun"/>
          <w:i/>
          <w:iCs/>
          <w:lang w:val="fr-FR"/>
        </w:rPr>
        <w:t xml:space="preserve"> II</w:t>
      </w:r>
      <w:r w:rsidRPr="00B93575">
        <w:rPr>
          <w:rFonts w:eastAsia="SimSun"/>
          <w:i/>
          <w:iCs/>
          <w:lang w:val="fr-FR"/>
        </w:rPr>
        <w:t>) (en attente de la publication de la norme)</w:t>
      </w:r>
    </w:p>
    <w:p w14:paraId="1FCF2C96" w14:textId="1C730807" w:rsidR="00AB693C" w:rsidRPr="00B93575" w:rsidRDefault="00AB693C" w:rsidP="00AB693C">
      <w:pPr>
        <w:keepNext/>
        <w:spacing w:after="120"/>
        <w:ind w:left="2268" w:right="1134" w:hanging="1134"/>
        <w:jc w:val="both"/>
        <w:rPr>
          <w:lang w:val="fr-FR"/>
        </w:rPr>
      </w:pPr>
      <w:r w:rsidRPr="00B93575">
        <w:rPr>
          <w:bCs/>
          <w:lang w:val="fr-FR"/>
        </w:rPr>
        <w:tab/>
        <w:t>Pour la ligne relative à la</w:t>
      </w:r>
      <w:r w:rsidRPr="00B93575">
        <w:rPr>
          <w:lang w:val="fr-FR"/>
        </w:rPr>
        <w:t xml:space="preserve"> norme EN </w:t>
      </w:r>
      <w:r w:rsidRPr="00B93575">
        <w:rPr>
          <w:bCs/>
          <w:lang w:val="fr-FR"/>
        </w:rPr>
        <w:t>14129:2014</w:t>
      </w:r>
      <w:r w:rsidRPr="00B93575">
        <w:rPr>
          <w:lang w:val="fr-FR"/>
        </w:rPr>
        <w:t>, dans la colonne (4), remplacer « Jusqu’à nouvel ordre » par « Entre le 1</w:t>
      </w:r>
      <w:r w:rsidRPr="00B93575">
        <w:rPr>
          <w:vertAlign w:val="superscript"/>
          <w:lang w:val="fr-FR"/>
        </w:rPr>
        <w:t>er</w:t>
      </w:r>
      <w:r w:rsidRPr="00B93575">
        <w:rPr>
          <w:lang w:val="fr-FR"/>
        </w:rPr>
        <w:t xml:space="preserve"> janvier 2015 et le 31 décembre 2026 ». </w:t>
      </w:r>
      <w:r w:rsidRPr="00B93575">
        <w:rPr>
          <w:rFonts w:eastAsiaTheme="minorHAnsi"/>
          <w:lang w:val="fr-FR"/>
        </w:rPr>
        <w:t>Après cette ligne, ajouter la nouvelle ligne suivante :</w:t>
      </w:r>
    </w:p>
    <w:tbl>
      <w:tblPr>
        <w:tblW w:w="820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544"/>
        <w:gridCol w:w="994"/>
        <w:gridCol w:w="974"/>
        <w:gridCol w:w="707"/>
      </w:tblGrid>
      <w:tr w:rsidR="00AB693C" w:rsidRPr="00B93575" w14:paraId="3990C75B" w14:textId="77777777" w:rsidTr="00972C6A">
        <w:tc>
          <w:tcPr>
            <w:tcW w:w="1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EE3D4C" w14:textId="77777777" w:rsidR="00AB693C" w:rsidRPr="00B93575" w:rsidRDefault="00AB693C" w:rsidP="00972C6A">
            <w:pPr>
              <w:keepNext/>
              <w:widowControl w:val="0"/>
              <w:ind w:right="284"/>
              <w:jc w:val="center"/>
              <w:rPr>
                <w:rFonts w:cs="Arial"/>
                <w:lang w:val="fr-FR"/>
              </w:rPr>
            </w:pPr>
            <w:r w:rsidRPr="00B93575">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B27F66" w14:textId="77777777" w:rsidR="00AB693C" w:rsidRPr="00B93575" w:rsidRDefault="00AB693C" w:rsidP="00972C6A">
            <w:pPr>
              <w:keepNext/>
              <w:widowControl w:val="0"/>
              <w:ind w:right="284"/>
              <w:jc w:val="center"/>
              <w:rPr>
                <w:rFonts w:cs="Arial"/>
                <w:lang w:val="fr-FR"/>
              </w:rPr>
            </w:pPr>
            <w:r w:rsidRPr="00B93575">
              <w:rPr>
                <w:rFonts w:cs="Arial"/>
                <w:lang w:val="fr-FR"/>
              </w:rPr>
              <w:t>(2)</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CE5063" w14:textId="77777777" w:rsidR="00AB693C" w:rsidRPr="00B93575" w:rsidRDefault="00AB693C" w:rsidP="00972C6A">
            <w:pPr>
              <w:keepNext/>
              <w:widowControl w:val="0"/>
              <w:ind w:right="284"/>
              <w:jc w:val="center"/>
              <w:rPr>
                <w:rFonts w:cs="Arial"/>
                <w:lang w:val="fr-FR"/>
              </w:rPr>
            </w:pPr>
            <w:r w:rsidRPr="00B93575">
              <w:rPr>
                <w:rFonts w:cs="Arial"/>
                <w:lang w:val="fr-FR"/>
              </w:rPr>
              <w:t>(3)</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EEA1D6" w14:textId="77777777" w:rsidR="00AB693C" w:rsidRPr="00B93575" w:rsidRDefault="00AB693C" w:rsidP="00972C6A">
            <w:pPr>
              <w:keepNext/>
              <w:widowControl w:val="0"/>
              <w:ind w:right="284"/>
              <w:jc w:val="center"/>
              <w:rPr>
                <w:rFonts w:cs="Arial"/>
                <w:lang w:val="fr-FR"/>
              </w:rPr>
            </w:pPr>
            <w:r w:rsidRPr="00B93575">
              <w:rPr>
                <w:rFonts w:cs="Arial"/>
                <w:lang w:val="fr-FR"/>
              </w:rPr>
              <w:t>(4)</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C3473E" w14:textId="77777777" w:rsidR="00AB693C" w:rsidRPr="00B93575" w:rsidRDefault="00AB693C" w:rsidP="00972C6A">
            <w:pPr>
              <w:keepNext/>
              <w:widowControl w:val="0"/>
              <w:ind w:right="284"/>
              <w:jc w:val="center"/>
              <w:rPr>
                <w:rFonts w:cs="Arial"/>
                <w:lang w:val="fr-FR"/>
              </w:rPr>
            </w:pPr>
            <w:r w:rsidRPr="00B93575">
              <w:rPr>
                <w:rFonts w:cs="Arial"/>
                <w:lang w:val="fr-FR"/>
              </w:rPr>
              <w:t>(5)</w:t>
            </w:r>
          </w:p>
        </w:tc>
      </w:tr>
      <w:tr w:rsidR="00AB693C" w:rsidRPr="00B93575" w14:paraId="58915E8F" w14:textId="77777777" w:rsidTr="00972C6A">
        <w:tc>
          <w:tcPr>
            <w:tcW w:w="1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3CB086" w14:textId="77777777" w:rsidR="00AB693C" w:rsidRPr="00B93575" w:rsidRDefault="00AB693C" w:rsidP="00972C6A">
            <w:pPr>
              <w:widowControl w:val="0"/>
              <w:rPr>
                <w:rFonts w:cs="Arial"/>
                <w:lang w:val="fr-FR"/>
              </w:rPr>
            </w:pPr>
            <w:r w:rsidRPr="00B93575">
              <w:rPr>
                <w:szCs w:val="22"/>
                <w:lang w:val="fr-FR"/>
              </w:rPr>
              <w:t>EN 14129:</w:t>
            </w:r>
            <w:r w:rsidRPr="00B93575">
              <w:rPr>
                <w:b/>
                <w:szCs w:val="22"/>
                <w:lang w:val="fr-FR"/>
              </w:rPr>
              <w:t>[</w:t>
            </w:r>
            <w:r w:rsidRPr="00B93575">
              <w:rPr>
                <w:szCs w:val="22"/>
                <w:lang w:val="fr-FR"/>
              </w:rPr>
              <w:t>2023</w:t>
            </w:r>
            <w:r w:rsidRPr="00B93575">
              <w:rPr>
                <w:b/>
                <w:szCs w:val="22"/>
                <w:lang w:val="fr-FR"/>
              </w:rPr>
              <w:t>]</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4CBC93" w14:textId="77777777" w:rsidR="00AB693C" w:rsidRPr="00B93575" w:rsidRDefault="00AB693C" w:rsidP="00972C6A">
            <w:pPr>
              <w:widowControl w:val="0"/>
              <w:ind w:right="-69"/>
              <w:rPr>
                <w:rFonts w:cs="Arial"/>
                <w:i/>
                <w:lang w:val="fr-FR"/>
              </w:rPr>
            </w:pPr>
            <w:r w:rsidRPr="00B93575">
              <w:rPr>
                <w:rFonts w:cs="Arial"/>
                <w:bCs/>
                <w:lang w:val="fr-FR"/>
              </w:rPr>
              <w:t>Équipements pour GPL et leurs accessoires – Soupapes de sécurité pour réservoirs de GPL sous pression</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EB4094" w14:textId="77777777" w:rsidR="00AB693C" w:rsidRPr="00B93575" w:rsidRDefault="00AB693C" w:rsidP="00972C6A">
            <w:pPr>
              <w:widowControl w:val="0"/>
              <w:ind w:right="136"/>
              <w:rPr>
                <w:rFonts w:cs="Arial"/>
                <w:lang w:val="fr-FR"/>
              </w:rPr>
            </w:pPr>
            <w:r w:rsidRPr="00B93575">
              <w:rPr>
                <w:rFonts w:cs="Arial"/>
                <w:lang w:val="fr-FR"/>
              </w:rPr>
              <w:t>6.8.2.1.1 et 6.8.3.2.9</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192AD5" w14:textId="77777777" w:rsidR="00AB693C" w:rsidRPr="00B93575" w:rsidRDefault="00AB693C" w:rsidP="00972C6A">
            <w:pPr>
              <w:widowControl w:val="0"/>
              <w:ind w:right="282"/>
              <w:jc w:val="center"/>
              <w:rPr>
                <w:rFonts w:cs="Arial"/>
                <w:lang w:val="fr-FR"/>
              </w:rPr>
            </w:pPr>
            <w:r w:rsidRPr="00B93575">
              <w:rPr>
                <w:rFonts w:cs="Arial"/>
                <w:lang w:val="fr-FR"/>
              </w:rPr>
              <w:t>Jusqu’à nouvel ordre</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8D08A4" w14:textId="77777777" w:rsidR="00AB693C" w:rsidRPr="00B93575" w:rsidRDefault="00AB693C" w:rsidP="00972C6A">
            <w:pPr>
              <w:widowControl w:val="0"/>
              <w:ind w:right="282"/>
              <w:rPr>
                <w:rFonts w:cs="Arial"/>
                <w:lang w:val="fr-FR"/>
              </w:rPr>
            </w:pPr>
          </w:p>
        </w:tc>
      </w:tr>
    </w:tbl>
    <w:p w14:paraId="5BE56BC4" w14:textId="37C9AF91" w:rsidR="00AB693C" w:rsidRPr="00B93575" w:rsidRDefault="00AB693C" w:rsidP="00AB693C">
      <w:pPr>
        <w:spacing w:after="120"/>
        <w:ind w:left="1134" w:right="1134"/>
        <w:jc w:val="both"/>
        <w:rPr>
          <w:rFonts w:eastAsia="SimSun"/>
          <w:i/>
          <w:iCs/>
          <w:lang w:val="fr-FR"/>
        </w:rPr>
      </w:pPr>
      <w:r w:rsidRPr="00B93575">
        <w:rPr>
          <w:rFonts w:eastAsia="SimSun"/>
          <w:i/>
          <w:iCs/>
          <w:lang w:val="fr-FR"/>
        </w:rPr>
        <w:t>(</w:t>
      </w:r>
      <w:r w:rsidRPr="00B93575">
        <w:rPr>
          <w:i/>
          <w:iCs/>
          <w:lang w:val="fr-FR"/>
        </w:rPr>
        <w:t xml:space="preserve">Document de référence : </w:t>
      </w:r>
      <w:r w:rsidRPr="00B93575">
        <w:rPr>
          <w:rFonts w:eastAsia="SimSun"/>
          <w:i/>
          <w:iCs/>
          <w:lang w:val="fr-FR"/>
        </w:rPr>
        <w:t>ECE/TRANS/WP.15/262, annexe) (en attente de la publication de la norme)</w:t>
      </w:r>
    </w:p>
    <w:p w14:paraId="0B64138D" w14:textId="77777777" w:rsidR="00AB693C" w:rsidRPr="00455A13" w:rsidRDefault="00AB693C" w:rsidP="00AB693C">
      <w:pPr>
        <w:pStyle w:val="H23G"/>
        <w:rPr>
          <w:lang w:val="fr-FR"/>
        </w:rPr>
      </w:pPr>
      <w:r w:rsidRPr="00455A13">
        <w:rPr>
          <w:lang w:val="fr-FR"/>
        </w:rPr>
        <w:tab/>
      </w:r>
      <w:r w:rsidRPr="00455A13">
        <w:rPr>
          <w:lang w:val="fr-FR"/>
        </w:rPr>
        <w:tab/>
        <w:t>Chapitre 9.2</w:t>
      </w:r>
    </w:p>
    <w:p w14:paraId="194EB76E" w14:textId="77777777" w:rsidR="00AB693C" w:rsidRPr="00455A13" w:rsidRDefault="00AB693C" w:rsidP="00951D9B">
      <w:pPr>
        <w:pStyle w:val="SingleTxtG"/>
        <w:tabs>
          <w:tab w:val="clear" w:pos="1701"/>
        </w:tabs>
        <w:ind w:left="2268" w:hanging="1134"/>
        <w:rPr>
          <w:lang w:val="fr-FR"/>
        </w:rPr>
      </w:pPr>
      <w:r w:rsidRPr="00455A13">
        <w:rPr>
          <w:lang w:val="fr-FR"/>
        </w:rPr>
        <w:t>9.2.1.1</w:t>
      </w:r>
      <w:r w:rsidRPr="00455A13">
        <w:rPr>
          <w:lang w:val="fr-FR"/>
        </w:rPr>
        <w:tab/>
        <w:t>Modifier les lignes suivantes du tableau :</w:t>
      </w:r>
    </w:p>
    <w:p w14:paraId="7BDFBB11" w14:textId="7DA15DA5" w:rsidR="00AB693C" w:rsidRPr="00455A13" w:rsidRDefault="00AB693C" w:rsidP="00680FFE">
      <w:pPr>
        <w:pStyle w:val="Bullet1G"/>
        <w:rPr>
          <w:lang w:val="fr-FR"/>
        </w:rPr>
      </w:pPr>
      <w:r w:rsidRPr="00455A13">
        <w:rPr>
          <w:lang w:val="fr-FR"/>
        </w:rPr>
        <w:tab/>
        <w:t xml:space="preserve">Pour 9.2.4, remplacer « </w:t>
      </w:r>
      <w:r w:rsidRPr="00406B0E">
        <w:rPr>
          <w:lang w:val="fr-FR"/>
        </w:rPr>
        <w:t>PRÉVENTION DES RISQUES D’INCENDIE</w:t>
      </w:r>
      <w:r w:rsidRPr="00455A13">
        <w:rPr>
          <w:lang w:val="fr-FR"/>
        </w:rPr>
        <w:t xml:space="preserve"> » par « </w:t>
      </w:r>
      <w:r w:rsidRPr="00406B0E">
        <w:rPr>
          <w:lang w:val="fr-FR"/>
        </w:rPr>
        <w:t>SYSTÈME DE PROPULSION DU VÉHICULE</w:t>
      </w:r>
      <w:r w:rsidRPr="00455A13">
        <w:rPr>
          <w:lang w:val="fr-FR"/>
        </w:rPr>
        <w:t xml:space="preserve"> »</w:t>
      </w:r>
    </w:p>
    <w:p w14:paraId="51187FA6" w14:textId="3781890C" w:rsidR="00AB693C" w:rsidRPr="008501F7" w:rsidRDefault="00AB693C" w:rsidP="00680FFE">
      <w:pPr>
        <w:pStyle w:val="Bullet1G"/>
        <w:rPr>
          <w:lang w:val="fr-FR"/>
        </w:rPr>
      </w:pPr>
      <w:r w:rsidRPr="00455A13">
        <w:rPr>
          <w:lang w:val="fr-FR"/>
        </w:rPr>
        <w:tab/>
        <w:t xml:space="preserve">Pour 9.2.4.3, renuméroter </w:t>
      </w:r>
      <w:r>
        <w:rPr>
          <w:lang w:val="fr-FR"/>
        </w:rPr>
        <w:t>en tant que</w:t>
      </w:r>
      <w:r w:rsidRPr="00455A13">
        <w:rPr>
          <w:lang w:val="fr-FR"/>
        </w:rPr>
        <w:t xml:space="preserve"> </w:t>
      </w:r>
      <w:r>
        <w:rPr>
          <w:lang w:val="fr-FR"/>
        </w:rPr>
        <w:t>9.2.4.2, dans la colonne pour « AT », ajouter « </w:t>
      </w:r>
      <w:proofErr w:type="spellStart"/>
      <w:r>
        <w:rPr>
          <w:lang w:val="fr-FR"/>
        </w:rPr>
        <w:t>X</w:t>
      </w:r>
      <w:r>
        <w:rPr>
          <w:vertAlign w:val="superscript"/>
          <w:lang w:val="fr-FR"/>
        </w:rPr>
        <w:t>k</w:t>
      </w:r>
      <w:proofErr w:type="spellEnd"/>
      <w:r>
        <w:rPr>
          <w:lang w:val="fr-FR"/>
        </w:rPr>
        <w:t> » et dans la colonne pour « REMARQUES », ajouter « </w:t>
      </w:r>
      <w:r w:rsidRPr="007A69A7">
        <w:rPr>
          <w:vertAlign w:val="superscript"/>
          <w:lang w:val="fr-FR"/>
        </w:rPr>
        <w:t>k</w:t>
      </w:r>
      <w:r w:rsidRPr="007A69A7">
        <w:rPr>
          <w:lang w:val="fr-FR"/>
        </w:rPr>
        <w:t xml:space="preserve"> Applicable aux véhicules à moteur immatriculés pour la première fois [après le 31 mars 2026].</w:t>
      </w:r>
      <w:r>
        <w:rPr>
          <w:lang w:val="fr-FR"/>
        </w:rPr>
        <w:t> ».</w:t>
      </w:r>
    </w:p>
    <w:p w14:paraId="33E5E28A" w14:textId="55752211" w:rsidR="00AB693C" w:rsidRPr="00455A13" w:rsidRDefault="00AB693C" w:rsidP="00680FFE">
      <w:pPr>
        <w:pStyle w:val="Bullet1G"/>
        <w:rPr>
          <w:lang w:val="fr-FR"/>
        </w:rPr>
      </w:pPr>
      <w:r w:rsidRPr="00455A13">
        <w:rPr>
          <w:lang w:val="fr-FR"/>
        </w:rPr>
        <w:tab/>
        <w:t>Pour 9.2.4.4,</w:t>
      </w:r>
      <w:r>
        <w:rPr>
          <w:lang w:val="fr-FR"/>
        </w:rPr>
        <w:t xml:space="preserve"> renuméroter en tant que 9.2.4.3 et remplacer « Moteur » par « </w:t>
      </w:r>
      <w:r w:rsidRPr="00960987">
        <w:rPr>
          <w:lang w:val="fr-FR"/>
        </w:rPr>
        <w:t>Moteur à combustion interne</w:t>
      </w:r>
      <w:r>
        <w:rPr>
          <w:lang w:val="fr-FR"/>
        </w:rPr>
        <w:t> ».</w:t>
      </w:r>
    </w:p>
    <w:p w14:paraId="15309CCE" w14:textId="50FE9369" w:rsidR="00AB693C" w:rsidRPr="00455A13" w:rsidRDefault="00AB693C" w:rsidP="00680FFE">
      <w:pPr>
        <w:pStyle w:val="Bullet1G"/>
        <w:rPr>
          <w:lang w:val="fr-FR"/>
        </w:rPr>
      </w:pPr>
      <w:r w:rsidRPr="00455A13">
        <w:rPr>
          <w:lang w:val="fr-FR"/>
        </w:rPr>
        <w:tab/>
        <w:t>Supprimer la ligne pour 9.2.4.5.</w:t>
      </w:r>
    </w:p>
    <w:p w14:paraId="04FC480E" w14:textId="52B65996" w:rsidR="00AB693C" w:rsidRDefault="00AB693C" w:rsidP="00680FFE">
      <w:pPr>
        <w:pStyle w:val="Bullet1G"/>
        <w:rPr>
          <w:lang w:val="fr-FR"/>
        </w:rPr>
      </w:pPr>
      <w:r w:rsidRPr="00455A13">
        <w:rPr>
          <w:lang w:val="fr-FR"/>
        </w:rPr>
        <w:tab/>
        <w:t xml:space="preserve">Renuméroter 9.2.4.6 </w:t>
      </w:r>
      <w:r>
        <w:rPr>
          <w:lang w:val="fr-FR"/>
        </w:rPr>
        <w:t>en tant que</w:t>
      </w:r>
      <w:r w:rsidRPr="00455A13">
        <w:rPr>
          <w:lang w:val="fr-FR"/>
        </w:rPr>
        <w:t xml:space="preserve"> 9.2.4.4.</w:t>
      </w:r>
    </w:p>
    <w:p w14:paraId="5D6503EC" w14:textId="107F23F9" w:rsidR="00AB693C" w:rsidRDefault="00AB693C" w:rsidP="00680FFE">
      <w:pPr>
        <w:pStyle w:val="Bullet1G"/>
        <w:rPr>
          <w:lang w:val="fr-FR"/>
        </w:rPr>
      </w:pPr>
      <w:r>
        <w:rPr>
          <w:lang w:val="fr-FR"/>
        </w:rPr>
        <w:tab/>
        <w:t xml:space="preserve">Ajouter des nouvelles lignes pour </w:t>
      </w:r>
      <w:r w:rsidRPr="00FE5815">
        <w:rPr>
          <w:lang w:val="fr-FR"/>
        </w:rPr>
        <w:t xml:space="preserve">9.2.4.4.1, 9.2.4.4.2 </w:t>
      </w:r>
      <w:r>
        <w:rPr>
          <w:lang w:val="fr-FR"/>
        </w:rPr>
        <w:t>et</w:t>
      </w:r>
      <w:r w:rsidRPr="00FE5815">
        <w:rPr>
          <w:lang w:val="fr-FR"/>
        </w:rPr>
        <w:t xml:space="preserve"> 9.2.4.4.3</w:t>
      </w:r>
      <w:r>
        <w:rPr>
          <w:lang w:val="fr-FR"/>
        </w:rPr>
        <w:t xml:space="preserve"> comme suit :</w:t>
      </w:r>
    </w:p>
    <w:tbl>
      <w:tblPr>
        <w:tblStyle w:val="Grilledutableau"/>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AB693C" w14:paraId="5156178A" w14:textId="77777777" w:rsidTr="00972C6A">
        <w:tc>
          <w:tcPr>
            <w:tcW w:w="993" w:type="dxa"/>
          </w:tcPr>
          <w:p w14:paraId="07544F7A" w14:textId="77777777" w:rsidR="00AB693C" w:rsidRDefault="00AB693C" w:rsidP="00972C6A">
            <w:r>
              <w:t>9.2.4.4.1</w:t>
            </w:r>
          </w:p>
        </w:tc>
        <w:tc>
          <w:tcPr>
            <w:tcW w:w="2551" w:type="dxa"/>
          </w:tcPr>
          <w:p w14:paraId="4879AD86" w14:textId="77777777" w:rsidR="00AB693C" w:rsidRDefault="00AB693C" w:rsidP="00972C6A">
            <w:r w:rsidRPr="00E957FF">
              <w:t>Dispositions générales</w:t>
            </w:r>
          </w:p>
        </w:tc>
        <w:tc>
          <w:tcPr>
            <w:tcW w:w="436" w:type="dxa"/>
            <w:vAlign w:val="center"/>
          </w:tcPr>
          <w:p w14:paraId="7F02BBFA" w14:textId="77777777" w:rsidR="00AB693C" w:rsidRDefault="00AB693C" w:rsidP="00972C6A">
            <w:pPr>
              <w:jc w:val="center"/>
            </w:pPr>
          </w:p>
        </w:tc>
        <w:tc>
          <w:tcPr>
            <w:tcW w:w="437" w:type="dxa"/>
            <w:vAlign w:val="center"/>
          </w:tcPr>
          <w:p w14:paraId="26F25EE8" w14:textId="77777777" w:rsidR="00AB693C" w:rsidRDefault="00AB693C" w:rsidP="00972C6A">
            <w:pPr>
              <w:jc w:val="center"/>
            </w:pPr>
          </w:p>
        </w:tc>
        <w:tc>
          <w:tcPr>
            <w:tcW w:w="437" w:type="dxa"/>
            <w:vAlign w:val="center"/>
          </w:tcPr>
          <w:p w14:paraId="3B2FB223" w14:textId="77777777" w:rsidR="00AB693C" w:rsidRDefault="00AB693C" w:rsidP="00972C6A">
            <w:pPr>
              <w:jc w:val="center"/>
            </w:pPr>
            <w:r>
              <w:t>X</w:t>
            </w:r>
          </w:p>
        </w:tc>
        <w:tc>
          <w:tcPr>
            <w:tcW w:w="437" w:type="dxa"/>
            <w:vAlign w:val="center"/>
          </w:tcPr>
          <w:p w14:paraId="2FD1C9F9" w14:textId="77777777" w:rsidR="00AB693C" w:rsidRDefault="00AB693C" w:rsidP="00972C6A">
            <w:pPr>
              <w:jc w:val="center"/>
            </w:pPr>
            <w:r>
              <w:t>X</w:t>
            </w:r>
          </w:p>
        </w:tc>
        <w:tc>
          <w:tcPr>
            <w:tcW w:w="2126" w:type="dxa"/>
          </w:tcPr>
          <w:p w14:paraId="1E3E2675" w14:textId="77777777" w:rsidR="00AB693C" w:rsidRDefault="00AB693C" w:rsidP="00972C6A"/>
        </w:tc>
      </w:tr>
      <w:tr w:rsidR="00AB693C" w14:paraId="5BE972E7" w14:textId="77777777" w:rsidTr="00972C6A">
        <w:tc>
          <w:tcPr>
            <w:tcW w:w="993" w:type="dxa"/>
          </w:tcPr>
          <w:p w14:paraId="6ED1FC72" w14:textId="77777777" w:rsidR="00AB693C" w:rsidRDefault="00AB693C" w:rsidP="00972C6A">
            <w:r>
              <w:t>9.2.4.4.2</w:t>
            </w:r>
          </w:p>
        </w:tc>
        <w:tc>
          <w:tcPr>
            <w:tcW w:w="2551" w:type="dxa"/>
          </w:tcPr>
          <w:p w14:paraId="08CE9029" w14:textId="77777777" w:rsidR="00AB693C" w:rsidRDefault="00AB693C" w:rsidP="00972C6A">
            <w:r w:rsidRPr="00946132">
              <w:t>Système rechargeable de stockage de l’énergie électrique</w:t>
            </w:r>
          </w:p>
        </w:tc>
        <w:tc>
          <w:tcPr>
            <w:tcW w:w="436" w:type="dxa"/>
            <w:vAlign w:val="center"/>
          </w:tcPr>
          <w:p w14:paraId="777D3A5A" w14:textId="77777777" w:rsidR="00AB693C" w:rsidRDefault="00AB693C" w:rsidP="00972C6A">
            <w:pPr>
              <w:jc w:val="center"/>
            </w:pPr>
          </w:p>
        </w:tc>
        <w:tc>
          <w:tcPr>
            <w:tcW w:w="437" w:type="dxa"/>
            <w:vAlign w:val="center"/>
          </w:tcPr>
          <w:p w14:paraId="1A347726" w14:textId="77777777" w:rsidR="00AB693C" w:rsidRDefault="00AB693C" w:rsidP="00972C6A">
            <w:pPr>
              <w:jc w:val="center"/>
            </w:pPr>
          </w:p>
        </w:tc>
        <w:tc>
          <w:tcPr>
            <w:tcW w:w="437" w:type="dxa"/>
            <w:vAlign w:val="center"/>
          </w:tcPr>
          <w:p w14:paraId="69CBA85F" w14:textId="77777777" w:rsidR="00AB693C" w:rsidRPr="00FB6A8D" w:rsidRDefault="00AB693C" w:rsidP="00972C6A">
            <w:pPr>
              <w:jc w:val="center"/>
              <w:rPr>
                <w:vertAlign w:val="superscript"/>
              </w:rPr>
            </w:pPr>
            <w:proofErr w:type="spellStart"/>
            <w:r>
              <w:t>X</w:t>
            </w:r>
            <w:r>
              <w:rPr>
                <w:vertAlign w:val="superscript"/>
              </w:rPr>
              <w:t>k</w:t>
            </w:r>
            <w:proofErr w:type="spellEnd"/>
          </w:p>
        </w:tc>
        <w:tc>
          <w:tcPr>
            <w:tcW w:w="437" w:type="dxa"/>
            <w:vAlign w:val="center"/>
          </w:tcPr>
          <w:p w14:paraId="45072DDC" w14:textId="77777777" w:rsidR="00AB693C" w:rsidRDefault="00AB693C" w:rsidP="00972C6A">
            <w:pPr>
              <w:jc w:val="center"/>
            </w:pPr>
            <w:r>
              <w:t>X</w:t>
            </w:r>
          </w:p>
        </w:tc>
        <w:tc>
          <w:tcPr>
            <w:tcW w:w="2126" w:type="dxa"/>
          </w:tcPr>
          <w:p w14:paraId="3F773999" w14:textId="77777777" w:rsidR="00AB693C" w:rsidRDefault="00AB693C" w:rsidP="00972C6A">
            <w:r w:rsidRPr="007A69A7">
              <w:rPr>
                <w:vertAlign w:val="superscript"/>
                <w:lang w:val="fr-FR"/>
              </w:rPr>
              <w:t>k</w:t>
            </w:r>
            <w:r w:rsidRPr="007A69A7">
              <w:rPr>
                <w:lang w:val="fr-FR"/>
              </w:rPr>
              <w:t xml:space="preserve"> Applicable aux véhicules à moteur immatriculés pour la première fois [après le 31 mars 2026].</w:t>
            </w:r>
          </w:p>
        </w:tc>
      </w:tr>
      <w:tr w:rsidR="00AB693C" w14:paraId="7C58E3D6" w14:textId="77777777" w:rsidTr="00972C6A">
        <w:tc>
          <w:tcPr>
            <w:tcW w:w="993" w:type="dxa"/>
          </w:tcPr>
          <w:p w14:paraId="25E9FD55" w14:textId="77777777" w:rsidR="00AB693C" w:rsidRDefault="00AB693C" w:rsidP="00972C6A">
            <w:r>
              <w:t>9.2.4.4.3</w:t>
            </w:r>
          </w:p>
        </w:tc>
        <w:tc>
          <w:tcPr>
            <w:tcW w:w="2551" w:type="dxa"/>
          </w:tcPr>
          <w:p w14:paraId="1CA8718F" w14:textId="77777777" w:rsidR="00AB693C" w:rsidRDefault="00AB693C" w:rsidP="00972C6A">
            <w:r w:rsidRPr="00837A5B">
              <w:t>Mesures de lutte contre la propagation thermique</w:t>
            </w:r>
          </w:p>
        </w:tc>
        <w:tc>
          <w:tcPr>
            <w:tcW w:w="436" w:type="dxa"/>
            <w:vAlign w:val="center"/>
          </w:tcPr>
          <w:p w14:paraId="05193FF6" w14:textId="77777777" w:rsidR="00AB693C" w:rsidRDefault="00AB693C" w:rsidP="00972C6A">
            <w:pPr>
              <w:jc w:val="center"/>
            </w:pPr>
          </w:p>
        </w:tc>
        <w:tc>
          <w:tcPr>
            <w:tcW w:w="437" w:type="dxa"/>
            <w:vAlign w:val="center"/>
          </w:tcPr>
          <w:p w14:paraId="34B77F02" w14:textId="77777777" w:rsidR="00AB693C" w:rsidRDefault="00AB693C" w:rsidP="00972C6A">
            <w:pPr>
              <w:jc w:val="center"/>
            </w:pPr>
          </w:p>
        </w:tc>
        <w:tc>
          <w:tcPr>
            <w:tcW w:w="437" w:type="dxa"/>
            <w:vAlign w:val="center"/>
          </w:tcPr>
          <w:p w14:paraId="7E9043DE" w14:textId="77777777" w:rsidR="00AB693C" w:rsidRDefault="00AB693C" w:rsidP="00972C6A">
            <w:pPr>
              <w:jc w:val="center"/>
            </w:pPr>
          </w:p>
        </w:tc>
        <w:tc>
          <w:tcPr>
            <w:tcW w:w="437" w:type="dxa"/>
            <w:vAlign w:val="center"/>
          </w:tcPr>
          <w:p w14:paraId="7F889B2C" w14:textId="77777777" w:rsidR="00AB693C" w:rsidRDefault="00AB693C" w:rsidP="00972C6A">
            <w:pPr>
              <w:jc w:val="center"/>
            </w:pPr>
            <w:r>
              <w:t>X</w:t>
            </w:r>
          </w:p>
        </w:tc>
        <w:tc>
          <w:tcPr>
            <w:tcW w:w="2126" w:type="dxa"/>
          </w:tcPr>
          <w:p w14:paraId="36B5ED2F" w14:textId="77777777" w:rsidR="00AB693C" w:rsidRDefault="00AB693C" w:rsidP="00972C6A"/>
        </w:tc>
      </w:tr>
    </w:tbl>
    <w:p w14:paraId="792978AF" w14:textId="64D92B60" w:rsidR="00AB693C" w:rsidRPr="00455A13" w:rsidRDefault="00AB693C" w:rsidP="00680FFE">
      <w:pPr>
        <w:pStyle w:val="Bullet1G"/>
        <w:spacing w:before="120"/>
        <w:rPr>
          <w:lang w:val="fr-FR"/>
        </w:rPr>
      </w:pPr>
      <w:r w:rsidRPr="00455A13">
        <w:rPr>
          <w:lang w:val="fr-FR"/>
        </w:rPr>
        <w:tab/>
        <w:t>Supprimer la ligne pour 9.2.4.</w:t>
      </w:r>
      <w:r>
        <w:rPr>
          <w:lang w:val="fr-FR"/>
        </w:rPr>
        <w:t>7</w:t>
      </w:r>
      <w:r w:rsidRPr="00455A13">
        <w:rPr>
          <w:lang w:val="fr-FR"/>
        </w:rPr>
        <w:t>.</w:t>
      </w:r>
    </w:p>
    <w:p w14:paraId="4707B9CD" w14:textId="3138F8EA" w:rsidR="00AB693C" w:rsidRDefault="00AB693C" w:rsidP="00680FFE">
      <w:pPr>
        <w:pStyle w:val="Bullet1G"/>
        <w:rPr>
          <w:lang w:val="fr-FR"/>
        </w:rPr>
      </w:pPr>
      <w:r>
        <w:rPr>
          <w:lang w:val="fr-FR"/>
        </w:rPr>
        <w:tab/>
        <w:t xml:space="preserve">Ajouter une nouvelle ligne pour </w:t>
      </w:r>
      <w:r w:rsidRPr="00FE5815">
        <w:rPr>
          <w:lang w:val="fr-FR"/>
        </w:rPr>
        <w:t>9.2.4.</w:t>
      </w:r>
      <w:r>
        <w:rPr>
          <w:lang w:val="fr-FR"/>
        </w:rPr>
        <w:t>5 comme suit :</w:t>
      </w:r>
    </w:p>
    <w:tbl>
      <w:tblPr>
        <w:tblStyle w:val="Grilledutableau"/>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AB693C" w14:paraId="17B5EB08" w14:textId="77777777" w:rsidTr="00972C6A">
        <w:tc>
          <w:tcPr>
            <w:tcW w:w="993" w:type="dxa"/>
          </w:tcPr>
          <w:p w14:paraId="0E6FBA6D" w14:textId="77777777" w:rsidR="00AB693C" w:rsidRDefault="00AB693C" w:rsidP="00972C6A">
            <w:r>
              <w:t>9.2.4.5</w:t>
            </w:r>
          </w:p>
        </w:tc>
        <w:tc>
          <w:tcPr>
            <w:tcW w:w="2551" w:type="dxa"/>
          </w:tcPr>
          <w:p w14:paraId="6F4FAFFA" w14:textId="77777777" w:rsidR="00AB693C" w:rsidRDefault="00AB693C" w:rsidP="00972C6A">
            <w:r w:rsidRPr="003107F2">
              <w:t>Pile à combustible à hydrogène</w:t>
            </w:r>
          </w:p>
        </w:tc>
        <w:tc>
          <w:tcPr>
            <w:tcW w:w="436" w:type="dxa"/>
            <w:vAlign w:val="center"/>
          </w:tcPr>
          <w:p w14:paraId="5F1EF57E" w14:textId="77777777" w:rsidR="00AB693C" w:rsidRDefault="00AB693C" w:rsidP="00972C6A">
            <w:pPr>
              <w:jc w:val="center"/>
            </w:pPr>
          </w:p>
        </w:tc>
        <w:tc>
          <w:tcPr>
            <w:tcW w:w="437" w:type="dxa"/>
            <w:vAlign w:val="center"/>
          </w:tcPr>
          <w:p w14:paraId="41BCBD5D" w14:textId="77777777" w:rsidR="00AB693C" w:rsidRDefault="00AB693C" w:rsidP="00972C6A">
            <w:pPr>
              <w:jc w:val="center"/>
            </w:pPr>
          </w:p>
        </w:tc>
        <w:tc>
          <w:tcPr>
            <w:tcW w:w="437" w:type="dxa"/>
            <w:vAlign w:val="center"/>
          </w:tcPr>
          <w:p w14:paraId="00B9636B" w14:textId="77777777" w:rsidR="00AB693C" w:rsidRDefault="00AB693C" w:rsidP="00972C6A">
            <w:pPr>
              <w:jc w:val="center"/>
            </w:pPr>
            <w:r>
              <w:t>X</w:t>
            </w:r>
          </w:p>
        </w:tc>
        <w:tc>
          <w:tcPr>
            <w:tcW w:w="437" w:type="dxa"/>
            <w:vAlign w:val="center"/>
          </w:tcPr>
          <w:p w14:paraId="6327B00C" w14:textId="77777777" w:rsidR="00AB693C" w:rsidRDefault="00AB693C" w:rsidP="00972C6A">
            <w:pPr>
              <w:jc w:val="center"/>
            </w:pPr>
            <w:r>
              <w:t>X</w:t>
            </w:r>
          </w:p>
        </w:tc>
        <w:tc>
          <w:tcPr>
            <w:tcW w:w="2126" w:type="dxa"/>
          </w:tcPr>
          <w:p w14:paraId="0499B4B3" w14:textId="77777777" w:rsidR="00AB693C" w:rsidRDefault="00AB693C" w:rsidP="00972C6A"/>
        </w:tc>
      </w:tr>
    </w:tbl>
    <w:p w14:paraId="390647A1" w14:textId="50EBE137" w:rsidR="00AB693C" w:rsidRDefault="00AB693C" w:rsidP="00680FFE">
      <w:pPr>
        <w:pStyle w:val="Bullet1G"/>
        <w:spacing w:before="120"/>
        <w:rPr>
          <w:lang w:val="fr-FR"/>
        </w:rPr>
      </w:pPr>
      <w:r w:rsidRPr="00455A13">
        <w:rPr>
          <w:lang w:val="fr-FR"/>
        </w:rPr>
        <w:tab/>
        <w:t>Renuméroter 9.2.4.</w:t>
      </w:r>
      <w:r>
        <w:rPr>
          <w:lang w:val="fr-FR"/>
        </w:rPr>
        <w:t>8 à 9.2.4.8.6</w:t>
      </w:r>
      <w:r w:rsidRPr="00455A13">
        <w:rPr>
          <w:lang w:val="fr-FR"/>
        </w:rPr>
        <w:t xml:space="preserve"> </w:t>
      </w:r>
      <w:r>
        <w:rPr>
          <w:lang w:val="fr-FR"/>
        </w:rPr>
        <w:t>en tant que</w:t>
      </w:r>
      <w:r w:rsidRPr="00455A13">
        <w:rPr>
          <w:lang w:val="fr-FR"/>
        </w:rPr>
        <w:t xml:space="preserve"> 9.2.</w:t>
      </w:r>
      <w:r>
        <w:rPr>
          <w:lang w:val="fr-FR"/>
        </w:rPr>
        <w:t>5 à 9.2.5.6</w:t>
      </w:r>
      <w:r w:rsidRPr="00455A13">
        <w:rPr>
          <w:lang w:val="fr-FR"/>
        </w:rPr>
        <w:t>.</w:t>
      </w:r>
    </w:p>
    <w:p w14:paraId="40F6CE65" w14:textId="2A4D1F36" w:rsidR="00AB693C" w:rsidRDefault="00AB693C" w:rsidP="00680FFE">
      <w:pPr>
        <w:pStyle w:val="Bullet1G"/>
        <w:rPr>
          <w:lang w:val="fr-FR"/>
        </w:rPr>
      </w:pPr>
      <w:r w:rsidRPr="00455A13">
        <w:rPr>
          <w:lang w:val="fr-FR"/>
        </w:rPr>
        <w:tab/>
        <w:t>Renuméroter 9.2.</w:t>
      </w:r>
      <w:r>
        <w:rPr>
          <w:lang w:val="fr-FR"/>
        </w:rPr>
        <w:t>5 à 9.2.7</w:t>
      </w:r>
      <w:r w:rsidRPr="00455A13">
        <w:rPr>
          <w:lang w:val="fr-FR"/>
        </w:rPr>
        <w:t xml:space="preserve"> </w:t>
      </w:r>
      <w:r>
        <w:rPr>
          <w:lang w:val="fr-FR"/>
        </w:rPr>
        <w:t>en tant que</w:t>
      </w:r>
      <w:r w:rsidRPr="00455A13">
        <w:rPr>
          <w:lang w:val="fr-FR"/>
        </w:rPr>
        <w:t xml:space="preserve"> 9.2.</w:t>
      </w:r>
      <w:r>
        <w:rPr>
          <w:lang w:val="fr-FR"/>
        </w:rPr>
        <w:t>6 à 9.2.8</w:t>
      </w:r>
      <w:r w:rsidRPr="00455A13">
        <w:rPr>
          <w:lang w:val="fr-FR"/>
        </w:rPr>
        <w:t>.</w:t>
      </w:r>
    </w:p>
    <w:p w14:paraId="5758C98A" w14:textId="77777777" w:rsidR="00AB693C" w:rsidRPr="00455A13" w:rsidRDefault="00AB693C" w:rsidP="00AB693C">
      <w:pPr>
        <w:pStyle w:val="SingleTxtG"/>
        <w:rPr>
          <w:i/>
          <w:iCs/>
          <w:lang w:val="fr-FR"/>
        </w:rPr>
      </w:pPr>
      <w:r w:rsidRPr="00455A13">
        <w:rPr>
          <w:i/>
          <w:iCs/>
          <w:lang w:val="fr-FR"/>
        </w:rPr>
        <w:t>(Document de référence : ECE/TRANS/WP.15/2023/14, proposition 1</w:t>
      </w:r>
      <w:r>
        <w:rPr>
          <w:i/>
          <w:iCs/>
          <w:lang w:val="fr-FR"/>
        </w:rPr>
        <w:t>, telle que modifié</w:t>
      </w:r>
      <w:r w:rsidRPr="00455A13">
        <w:rPr>
          <w:i/>
          <w:iCs/>
          <w:lang w:val="fr-FR"/>
        </w:rPr>
        <w:t>)</w:t>
      </w:r>
    </w:p>
    <w:p w14:paraId="04388C9A" w14:textId="72EACA77" w:rsidR="00AB693C" w:rsidRDefault="00AB693C" w:rsidP="00BC1192">
      <w:pPr>
        <w:pStyle w:val="SingleTxtG"/>
        <w:tabs>
          <w:tab w:val="clear" w:pos="1701"/>
        </w:tabs>
        <w:ind w:left="2268" w:hanging="1134"/>
        <w:rPr>
          <w:lang w:val="fr-FR"/>
        </w:rPr>
      </w:pPr>
      <w:r w:rsidRPr="00455A13">
        <w:rPr>
          <w:lang w:val="fr-FR"/>
        </w:rPr>
        <w:lastRenderedPageBreak/>
        <w:t>9.2.</w:t>
      </w:r>
      <w:r>
        <w:rPr>
          <w:lang w:val="fr-FR"/>
        </w:rPr>
        <w:t>2</w:t>
      </w:r>
      <w:r w:rsidRPr="00455A13">
        <w:rPr>
          <w:lang w:val="fr-FR"/>
        </w:rPr>
        <w:t>.1</w:t>
      </w:r>
      <w:r w:rsidRPr="00455A13">
        <w:rPr>
          <w:lang w:val="fr-FR"/>
        </w:rPr>
        <w:tab/>
      </w:r>
      <w:r>
        <w:rPr>
          <w:lang w:val="fr-FR"/>
        </w:rPr>
        <w:t>[Dans le première paragraphe, après «</w:t>
      </w:r>
      <w:r w:rsidR="00BC1192">
        <w:rPr>
          <w:lang w:val="fr-FR"/>
        </w:rPr>
        <w:t> </w:t>
      </w:r>
      <w:r>
        <w:rPr>
          <w:lang w:val="fr-FR"/>
        </w:rPr>
        <w:t>inflammation</w:t>
      </w:r>
      <w:r w:rsidR="00BC1192">
        <w:rPr>
          <w:lang w:val="fr-FR"/>
        </w:rPr>
        <w:t> </w:t>
      </w:r>
      <w:r>
        <w:rPr>
          <w:lang w:val="fr-FR"/>
        </w:rPr>
        <w:t>», ajouter «</w:t>
      </w:r>
      <w:r w:rsidR="00BC1192">
        <w:rPr>
          <w:lang w:val="fr-FR"/>
        </w:rPr>
        <w:t> </w:t>
      </w:r>
      <w:r>
        <w:rPr>
          <w:lang w:val="fr-FR"/>
        </w:rPr>
        <w:t>, ni incendie</w:t>
      </w:r>
      <w:r w:rsidR="00BC1192">
        <w:rPr>
          <w:lang w:val="fr-FR"/>
        </w:rPr>
        <w:t> </w:t>
      </w:r>
      <w:r>
        <w:rPr>
          <w:lang w:val="fr-FR"/>
        </w:rPr>
        <w:t>».]</w:t>
      </w:r>
    </w:p>
    <w:p w14:paraId="08769EC7" w14:textId="77777777" w:rsidR="00AB693C" w:rsidRDefault="00AB693C" w:rsidP="00BC1192">
      <w:pPr>
        <w:pStyle w:val="SingleTxtG"/>
        <w:tabs>
          <w:tab w:val="clear" w:pos="1701"/>
        </w:tabs>
        <w:ind w:left="2268" w:hanging="1134"/>
        <w:rPr>
          <w:lang w:val="fr-FR"/>
        </w:rPr>
      </w:pPr>
      <w:r>
        <w:rPr>
          <w:lang w:val="fr-FR"/>
        </w:rPr>
        <w:tab/>
        <w:t xml:space="preserve">Dans le deuxième paragraphe, supprimer « </w:t>
      </w:r>
      <w:r w:rsidRPr="00BD181F">
        <w:rPr>
          <w:lang w:val="fr-FR"/>
        </w:rPr>
        <w:t>, à l’exception de la chaîne de traction électrique conforme aux prescriptions techniques du Règlement ONU No 100</w:t>
      </w:r>
      <w:r>
        <w:rPr>
          <w:vertAlign w:val="superscript"/>
          <w:lang w:val="fr-FR"/>
        </w:rPr>
        <w:t>1</w:t>
      </w:r>
      <w:r w:rsidRPr="00BD181F">
        <w:rPr>
          <w:lang w:val="fr-FR"/>
        </w:rPr>
        <w:t>, tel que modifié au minimum par la série 03 d’amendements,</w:t>
      </w:r>
      <w:r>
        <w:rPr>
          <w:lang w:val="fr-FR"/>
        </w:rPr>
        <w:t xml:space="preserve"> ».</w:t>
      </w:r>
    </w:p>
    <w:p w14:paraId="49B5FFED" w14:textId="0407BCED" w:rsidR="00AB693C" w:rsidRPr="00455A13" w:rsidRDefault="00AB693C" w:rsidP="00BC1192">
      <w:pPr>
        <w:pStyle w:val="SingleTxtG"/>
        <w:tabs>
          <w:tab w:val="clear" w:pos="1701"/>
        </w:tabs>
        <w:ind w:left="2268" w:hanging="1134"/>
        <w:rPr>
          <w:lang w:val="fr-FR"/>
        </w:rPr>
      </w:pPr>
      <w:r>
        <w:rPr>
          <w:lang w:val="fr-FR"/>
        </w:rPr>
        <w:tab/>
        <w:t xml:space="preserve">Ajouter un nouveau troisième paragraphe pour lire : « </w:t>
      </w:r>
      <w:r w:rsidRPr="004720CA">
        <w:rPr>
          <w:lang w:val="fr-FR"/>
        </w:rPr>
        <w:t xml:space="preserve">Il n’est pas nécessaire que les </w:t>
      </w:r>
      <w:r w:rsidRPr="004720CA">
        <w:t xml:space="preserve">chaînes de traction électrique et les </w:t>
      </w:r>
      <w:r>
        <w:t>composants</w:t>
      </w:r>
      <w:r w:rsidRPr="004720CA">
        <w:t xml:space="preserve"> à haute tension qui y sont galvaniquement reliées, conformes aux prescriptions techniques du Règlement ONU No 100</w:t>
      </w:r>
      <w:r>
        <w:rPr>
          <w:vertAlign w:val="superscript"/>
        </w:rPr>
        <w:t>1</w:t>
      </w:r>
      <w:r w:rsidRPr="004720CA">
        <w:t>, tel que modifié au minimum par la série 03 d’amendements, satisfassent en plus aux dispositions des 9.2.2.2 à 9.2.2.7. </w:t>
      </w:r>
      <w:r>
        <w:t>».</w:t>
      </w:r>
    </w:p>
    <w:p w14:paraId="6627F373"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2, telle que modifié</w:t>
      </w:r>
      <w:r w:rsidRPr="00455A13">
        <w:rPr>
          <w:i/>
          <w:iCs/>
          <w:lang w:val="fr-FR"/>
        </w:rPr>
        <w:t>)</w:t>
      </w:r>
    </w:p>
    <w:p w14:paraId="25B36024" w14:textId="77777777" w:rsidR="00AB693C" w:rsidRDefault="00AB693C" w:rsidP="00AB693C">
      <w:pPr>
        <w:pStyle w:val="SingleTxtG"/>
        <w:ind w:left="2268" w:hanging="1134"/>
        <w:rPr>
          <w:lang w:val="fr-FR"/>
        </w:rPr>
      </w:pPr>
      <w:r w:rsidRPr="00455A13">
        <w:rPr>
          <w:lang w:val="fr-FR"/>
        </w:rPr>
        <w:t>9.2.</w:t>
      </w:r>
      <w:r>
        <w:rPr>
          <w:lang w:val="fr-FR"/>
        </w:rPr>
        <w:t>3.1</w:t>
      </w:r>
      <w:r w:rsidRPr="00455A13">
        <w:rPr>
          <w:lang w:val="fr-FR"/>
        </w:rPr>
        <w:t>.1</w:t>
      </w:r>
      <w:r w:rsidRPr="00455A13">
        <w:rPr>
          <w:lang w:val="fr-FR"/>
        </w:rPr>
        <w:tab/>
      </w:r>
      <w:r>
        <w:rPr>
          <w:lang w:val="fr-FR"/>
        </w:rPr>
        <w:t xml:space="preserve">Ajouter un nouveau deuxième paragraphe pour lire : « </w:t>
      </w:r>
      <w:bookmarkStart w:id="7" w:name="_Hlk144484245"/>
      <w:r w:rsidRPr="00A2792A">
        <w:rPr>
          <w:lang w:val="fr-FR"/>
        </w:rPr>
        <w:t>Les remorques équipées d’un système de freinage à récupération ou d’une chaîne de traction électrique ne sont pas autorisées</w:t>
      </w:r>
      <w:r w:rsidRPr="007C1617">
        <w:rPr>
          <w:lang w:val="fr-FR"/>
        </w:rPr>
        <w:t>. »</w:t>
      </w:r>
      <w:bookmarkEnd w:id="7"/>
      <w:r w:rsidRPr="007C1617">
        <w:rPr>
          <w:lang w:val="fr-FR"/>
        </w:rPr>
        <w:t>.</w:t>
      </w:r>
    </w:p>
    <w:p w14:paraId="6D7C04FD"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3, telle que modifié</w:t>
      </w:r>
      <w:r w:rsidRPr="00455A13">
        <w:rPr>
          <w:i/>
          <w:iCs/>
          <w:lang w:val="fr-FR"/>
        </w:rPr>
        <w:t>)</w:t>
      </w:r>
    </w:p>
    <w:p w14:paraId="49D85BCA" w14:textId="77777777" w:rsidR="00AB693C" w:rsidRDefault="00AB693C" w:rsidP="00315FA6">
      <w:pPr>
        <w:pStyle w:val="SingleTxtG"/>
        <w:tabs>
          <w:tab w:val="clear" w:pos="1701"/>
        </w:tabs>
        <w:ind w:left="2268" w:hanging="1134"/>
        <w:rPr>
          <w:lang w:val="fr-FR"/>
        </w:rPr>
      </w:pPr>
      <w:r w:rsidRPr="00455A13">
        <w:rPr>
          <w:lang w:val="fr-FR"/>
        </w:rPr>
        <w:t>9.2.</w:t>
      </w:r>
      <w:r>
        <w:rPr>
          <w:lang w:val="fr-FR"/>
        </w:rPr>
        <w:t>3</w:t>
      </w:r>
      <w:r w:rsidRPr="00455A13">
        <w:rPr>
          <w:lang w:val="fr-FR"/>
        </w:rPr>
        <w:tab/>
      </w:r>
      <w:r>
        <w:rPr>
          <w:lang w:val="fr-FR"/>
        </w:rPr>
        <w:t>Ajouter un nouveau 9.2.3.3 avec le texte du 9.2.4.7 existant.</w:t>
      </w:r>
    </w:p>
    <w:p w14:paraId="0C463438"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4</w:t>
      </w:r>
      <w:r w:rsidRPr="00455A13">
        <w:rPr>
          <w:i/>
          <w:iCs/>
          <w:lang w:val="fr-FR"/>
        </w:rPr>
        <w:t>)</w:t>
      </w:r>
    </w:p>
    <w:p w14:paraId="7C4E0808" w14:textId="77777777" w:rsidR="00AB693C" w:rsidRDefault="00AB693C" w:rsidP="00315FA6">
      <w:pPr>
        <w:pStyle w:val="SingleTxtG"/>
        <w:tabs>
          <w:tab w:val="clear" w:pos="1701"/>
        </w:tabs>
        <w:ind w:left="2268" w:hanging="1134"/>
        <w:rPr>
          <w:lang w:val="fr-FR"/>
        </w:rPr>
      </w:pPr>
      <w:r w:rsidRPr="00455A13">
        <w:rPr>
          <w:lang w:val="fr-FR"/>
        </w:rPr>
        <w:t>9.2.</w:t>
      </w:r>
      <w:r>
        <w:rPr>
          <w:lang w:val="fr-FR"/>
        </w:rPr>
        <w:t>4</w:t>
      </w:r>
      <w:r w:rsidRPr="00455A13">
        <w:rPr>
          <w:lang w:val="fr-FR"/>
        </w:rPr>
        <w:tab/>
      </w:r>
      <w:r>
        <w:rPr>
          <w:lang w:val="fr-FR"/>
        </w:rPr>
        <w:t xml:space="preserve">Modifier le titre pour lire « </w:t>
      </w:r>
      <w:r w:rsidRPr="002E23BF">
        <w:rPr>
          <w:b/>
          <w:bCs/>
          <w:lang w:val="fr-FR"/>
        </w:rPr>
        <w:t>Système de propulsion du véhicule</w:t>
      </w:r>
      <w:r>
        <w:rPr>
          <w:lang w:val="fr-FR"/>
        </w:rPr>
        <w:t xml:space="preserve"> ».</w:t>
      </w:r>
    </w:p>
    <w:p w14:paraId="589703E1"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5</w:t>
      </w:r>
      <w:r w:rsidRPr="00455A13">
        <w:rPr>
          <w:i/>
          <w:iCs/>
          <w:lang w:val="fr-FR"/>
        </w:rPr>
        <w:t>)</w:t>
      </w:r>
    </w:p>
    <w:p w14:paraId="347CBB03" w14:textId="77777777" w:rsidR="00AB693C" w:rsidRDefault="00AB693C" w:rsidP="00315FA6">
      <w:pPr>
        <w:pStyle w:val="SingleTxtG"/>
        <w:tabs>
          <w:tab w:val="clear" w:pos="1701"/>
        </w:tabs>
        <w:ind w:left="2268" w:hanging="1134"/>
        <w:rPr>
          <w:lang w:val="fr-FR"/>
        </w:rPr>
      </w:pPr>
      <w:r w:rsidRPr="00455A13">
        <w:rPr>
          <w:lang w:val="fr-FR"/>
        </w:rPr>
        <w:t>9.2.</w:t>
      </w:r>
      <w:r>
        <w:rPr>
          <w:lang w:val="fr-FR"/>
        </w:rPr>
        <w:t>4</w:t>
      </w:r>
      <w:r w:rsidRPr="00455A13">
        <w:rPr>
          <w:lang w:val="fr-FR"/>
        </w:rPr>
        <w:t>.1</w:t>
      </w:r>
      <w:r w:rsidRPr="00455A13">
        <w:rPr>
          <w:lang w:val="fr-FR"/>
        </w:rPr>
        <w:tab/>
      </w:r>
      <w:r>
        <w:rPr>
          <w:lang w:val="fr-FR"/>
        </w:rPr>
        <w:t xml:space="preserve">Ajouter un nouveau deuxième paragraphe pour lire : « </w:t>
      </w:r>
      <w:r w:rsidRPr="00076D0A">
        <w:rPr>
          <w:lang w:val="fr-FR"/>
        </w:rPr>
        <w:t>Les véhicules hybrid</w:t>
      </w:r>
      <w:r>
        <w:rPr>
          <w:lang w:val="fr-FR"/>
        </w:rPr>
        <w:t>e</w:t>
      </w:r>
      <w:r w:rsidRPr="00076D0A">
        <w:rPr>
          <w:lang w:val="fr-FR"/>
        </w:rPr>
        <w:t xml:space="preserve">s </w:t>
      </w:r>
      <w:r>
        <w:rPr>
          <w:lang w:val="fr-FR"/>
        </w:rPr>
        <w:t>équipés</w:t>
      </w:r>
      <w:r w:rsidRPr="00076D0A">
        <w:rPr>
          <w:lang w:val="fr-FR"/>
        </w:rPr>
        <w:t xml:space="preserve"> d’un moteur à combustion interne et d’une chaîne de traction électriqu</w:t>
      </w:r>
      <w:r>
        <w:rPr>
          <w:lang w:val="fr-FR"/>
        </w:rPr>
        <w:t>e doivent satisfaire aux dispositions applicables des 9.2.4.2 à 9.2.4.5</w:t>
      </w:r>
      <w:r w:rsidRPr="007C1617">
        <w:rPr>
          <w:lang w:val="fr-FR"/>
        </w:rPr>
        <w:t>. ».</w:t>
      </w:r>
    </w:p>
    <w:p w14:paraId="301F27A0"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6, telle que modifié</w:t>
      </w:r>
      <w:r w:rsidRPr="00455A13">
        <w:rPr>
          <w:i/>
          <w:iCs/>
          <w:lang w:val="fr-FR"/>
        </w:rPr>
        <w:t>)</w:t>
      </w:r>
    </w:p>
    <w:p w14:paraId="363FEE2E" w14:textId="77777777" w:rsidR="00AB693C" w:rsidRDefault="00AB693C" w:rsidP="00A31B1E">
      <w:pPr>
        <w:pStyle w:val="SingleTxtG"/>
        <w:tabs>
          <w:tab w:val="clear" w:pos="1701"/>
        </w:tabs>
        <w:ind w:left="2268" w:hanging="1134"/>
        <w:rPr>
          <w:lang w:val="fr-FR"/>
        </w:rPr>
      </w:pPr>
      <w:r w:rsidRPr="00455A13">
        <w:rPr>
          <w:lang w:val="fr-FR"/>
        </w:rPr>
        <w:t>9.2.</w:t>
      </w:r>
      <w:r>
        <w:rPr>
          <w:lang w:val="fr-FR"/>
        </w:rPr>
        <w:t>4.2</w:t>
      </w:r>
      <w:r w:rsidRPr="00455A13">
        <w:rPr>
          <w:lang w:val="fr-FR"/>
        </w:rPr>
        <w:tab/>
      </w:r>
      <w:r>
        <w:rPr>
          <w:lang w:val="fr-FR"/>
        </w:rPr>
        <w:t>Supprimer.</w:t>
      </w:r>
    </w:p>
    <w:p w14:paraId="4DA1385F"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7</w:t>
      </w:r>
      <w:r w:rsidRPr="00455A13">
        <w:rPr>
          <w:i/>
          <w:iCs/>
          <w:lang w:val="fr-FR"/>
        </w:rPr>
        <w:t>)</w:t>
      </w:r>
    </w:p>
    <w:p w14:paraId="3CFC704D" w14:textId="77777777" w:rsidR="00AB693C" w:rsidRDefault="00AB693C" w:rsidP="00A31B1E">
      <w:pPr>
        <w:pStyle w:val="SingleTxtG"/>
        <w:tabs>
          <w:tab w:val="clear" w:pos="1701"/>
        </w:tabs>
        <w:ind w:left="2268" w:hanging="1134"/>
        <w:rPr>
          <w:lang w:val="fr-FR"/>
        </w:rPr>
      </w:pPr>
      <w:r w:rsidRPr="00455A13">
        <w:rPr>
          <w:lang w:val="fr-FR"/>
        </w:rPr>
        <w:t>9.2.</w:t>
      </w:r>
      <w:r>
        <w:rPr>
          <w:lang w:val="fr-FR"/>
        </w:rPr>
        <w:t>4.3</w:t>
      </w:r>
      <w:r w:rsidRPr="00455A13">
        <w:rPr>
          <w:lang w:val="fr-FR"/>
        </w:rPr>
        <w:tab/>
      </w:r>
      <w:r>
        <w:rPr>
          <w:lang w:val="fr-FR"/>
        </w:rPr>
        <w:t>Renuméroter en tant que 9.2.4.2 et modifier comme suit :</w:t>
      </w:r>
    </w:p>
    <w:p w14:paraId="3B6D0101" w14:textId="708D69B2" w:rsidR="00AB693C" w:rsidRDefault="00AB693C" w:rsidP="00A31B1E">
      <w:pPr>
        <w:pStyle w:val="Bullet1G"/>
        <w:rPr>
          <w:lang w:val="fr-FR"/>
        </w:rPr>
      </w:pPr>
      <w:r>
        <w:rPr>
          <w:lang w:val="fr-FR"/>
        </w:rPr>
        <w:tab/>
        <w:t>Supprimer la note.</w:t>
      </w:r>
    </w:p>
    <w:p w14:paraId="5FCC64B2" w14:textId="21192854" w:rsidR="00AB693C" w:rsidRDefault="00AB693C" w:rsidP="00A31B1E">
      <w:pPr>
        <w:pStyle w:val="Bullet1G"/>
        <w:rPr>
          <w:lang w:val="fr-FR"/>
        </w:rPr>
      </w:pPr>
      <w:r>
        <w:rPr>
          <w:lang w:val="fr-FR"/>
        </w:rPr>
        <w:tab/>
        <w:t>Dans le premier paragraphe, après «</w:t>
      </w:r>
      <w:r w:rsidR="00A31B1E">
        <w:rPr>
          <w:lang w:val="fr-FR"/>
        </w:rPr>
        <w:t> </w:t>
      </w:r>
      <w:r>
        <w:rPr>
          <w:lang w:val="fr-FR"/>
        </w:rPr>
        <w:t>moteur</w:t>
      </w:r>
      <w:r w:rsidR="005B0636">
        <w:rPr>
          <w:b/>
          <w:lang w:val="fr-FR"/>
        </w:rPr>
        <w:t> </w:t>
      </w:r>
      <w:r>
        <w:rPr>
          <w:lang w:val="fr-FR"/>
        </w:rPr>
        <w:t>», ajouter «</w:t>
      </w:r>
      <w:r w:rsidR="00A31B1E">
        <w:rPr>
          <w:lang w:val="fr-FR"/>
        </w:rPr>
        <w:t> </w:t>
      </w:r>
      <w:r w:rsidRPr="00C1444A">
        <w:rPr>
          <w:lang w:val="fr-FR"/>
        </w:rPr>
        <w:t>ou les piles à combustible</w:t>
      </w:r>
      <w:r w:rsidR="00A31B1E">
        <w:rPr>
          <w:lang w:val="fr-FR"/>
        </w:rPr>
        <w:t> </w:t>
      </w:r>
      <w:r>
        <w:rPr>
          <w:lang w:val="fr-FR"/>
        </w:rPr>
        <w:t>».</w:t>
      </w:r>
    </w:p>
    <w:p w14:paraId="3F3FD8A1" w14:textId="5F38606B" w:rsidR="00AB693C" w:rsidRDefault="00AB693C" w:rsidP="00A31B1E">
      <w:pPr>
        <w:pStyle w:val="Bullet1G"/>
        <w:rPr>
          <w:lang w:val="fr-FR"/>
        </w:rPr>
      </w:pPr>
      <w:r>
        <w:rPr>
          <w:lang w:val="fr-FR"/>
        </w:rPr>
        <w:tab/>
        <w:t>À l’alinéa b), supprimer la dernière phrase.</w:t>
      </w:r>
    </w:p>
    <w:p w14:paraId="0F667BC6" w14:textId="73A5B48C" w:rsidR="00AB693C" w:rsidRDefault="00AB693C" w:rsidP="00A31B1E">
      <w:pPr>
        <w:pStyle w:val="Bullet1G"/>
        <w:rPr>
          <w:lang w:val="fr-FR"/>
        </w:rPr>
      </w:pPr>
      <w:r>
        <w:rPr>
          <w:lang w:val="fr-FR"/>
        </w:rPr>
        <w:tab/>
        <w:t>Après l’alinéa b), ajouter les nouveaux alinéas suivants :</w:t>
      </w:r>
    </w:p>
    <w:p w14:paraId="69A701E4" w14:textId="69A07F2E" w:rsidR="00AB693C" w:rsidRPr="002E5EDB" w:rsidRDefault="00AB693C" w:rsidP="00F6095B">
      <w:pPr>
        <w:pStyle w:val="SingleTxtG"/>
        <w:tabs>
          <w:tab w:val="clear" w:pos="1701"/>
        </w:tabs>
        <w:ind w:left="2268" w:hanging="567"/>
        <w:rPr>
          <w:lang w:val="fr-FR"/>
        </w:rPr>
      </w:pPr>
      <w:r>
        <w:rPr>
          <w:lang w:val="fr-FR"/>
        </w:rPr>
        <w:t>«</w:t>
      </w:r>
      <w:r w:rsidR="005B0636">
        <w:rPr>
          <w:lang w:val="fr-FR"/>
        </w:rPr>
        <w:t> </w:t>
      </w:r>
      <w:r w:rsidRPr="002E5EDB">
        <w:rPr>
          <w:lang w:val="fr-FR"/>
        </w:rPr>
        <w:t>c)</w:t>
      </w:r>
      <w:r w:rsidRPr="002E5EDB">
        <w:rPr>
          <w:lang w:val="fr-FR"/>
        </w:rPr>
        <w:tab/>
        <w:t>Les réservoirs de GPL et les bouteilles de GNC doivent satisfaire aux prescriptions pertinentes du Règlement ONU No 110</w:t>
      </w:r>
      <w:r>
        <w:rPr>
          <w:vertAlign w:val="superscript"/>
          <w:lang w:val="fr-FR"/>
        </w:rPr>
        <w:t>7</w:t>
      </w:r>
      <w:r w:rsidRPr="002E5EDB">
        <w:rPr>
          <w:lang w:val="fr-FR"/>
        </w:rPr>
        <w:t> ;</w:t>
      </w:r>
    </w:p>
    <w:p w14:paraId="4700730D" w14:textId="77777777" w:rsidR="00AB693C" w:rsidRPr="002E5EDB" w:rsidRDefault="00AB693C" w:rsidP="00F6095B">
      <w:pPr>
        <w:pStyle w:val="SingleTxtG"/>
        <w:tabs>
          <w:tab w:val="clear" w:pos="1701"/>
        </w:tabs>
        <w:ind w:left="2268" w:hanging="567"/>
        <w:rPr>
          <w:lang w:val="fr-FR"/>
        </w:rPr>
      </w:pPr>
      <w:r w:rsidRPr="002E5EDB">
        <w:rPr>
          <w:lang w:val="fr-FR"/>
        </w:rPr>
        <w:t>d)</w:t>
      </w:r>
      <w:r w:rsidRPr="002E5EDB">
        <w:rPr>
          <w:lang w:val="fr-FR"/>
        </w:rPr>
        <w:tab/>
        <w:t>Les réservoirs de GPL doivent satisfaire aux prescriptions pertinentes du Règlement ONU No 67</w:t>
      </w:r>
      <w:r>
        <w:rPr>
          <w:vertAlign w:val="superscript"/>
          <w:lang w:val="fr-FR"/>
        </w:rPr>
        <w:t>8</w:t>
      </w:r>
      <w:r w:rsidRPr="002E5EDB">
        <w:rPr>
          <w:lang w:val="fr-FR"/>
        </w:rPr>
        <w:t> ;</w:t>
      </w:r>
    </w:p>
    <w:p w14:paraId="774A90C9" w14:textId="77777777" w:rsidR="00AB693C" w:rsidRPr="002E5EDB" w:rsidRDefault="00AB693C" w:rsidP="00F6095B">
      <w:pPr>
        <w:pStyle w:val="SingleTxtG"/>
        <w:tabs>
          <w:tab w:val="clear" w:pos="1701"/>
        </w:tabs>
        <w:ind w:left="2268" w:hanging="567"/>
        <w:rPr>
          <w:lang w:val="fr-FR"/>
        </w:rPr>
      </w:pPr>
      <w:r w:rsidRPr="002E5EDB">
        <w:rPr>
          <w:lang w:val="fr-FR"/>
        </w:rPr>
        <w:t>e)</w:t>
      </w:r>
      <w:r w:rsidRPr="002E5EDB">
        <w:rPr>
          <w:lang w:val="fr-FR"/>
        </w:rPr>
        <w:tab/>
        <w:t>Les réservoirs et les bouteilles d’hydrogène doivent satisfaire aux prescriptions pertinentes du Règlement ONU No 134</w:t>
      </w:r>
      <w:r>
        <w:rPr>
          <w:vertAlign w:val="superscript"/>
          <w:lang w:val="fr-FR"/>
        </w:rPr>
        <w:t>9</w:t>
      </w:r>
      <w:r w:rsidRPr="002E5EDB">
        <w:rPr>
          <w:lang w:val="fr-FR"/>
        </w:rPr>
        <w:t xml:space="preserve">, tel que modifié </w:t>
      </w:r>
      <w:r w:rsidRPr="002E5EDB">
        <w:t xml:space="preserve">au minimum par la série 02 d’amendements ; les réservoirs d’hydrogène liquide doivent satisfaire [aux prescriptions techniques de la partie 7 de la phase 2 du </w:t>
      </w:r>
      <w:r w:rsidRPr="002E5EDB">
        <w:rPr>
          <w:lang w:val="fr-FR"/>
        </w:rPr>
        <w:t>Règlement technique mondial n° 13</w:t>
      </w:r>
      <w:r>
        <w:rPr>
          <w:vertAlign w:val="superscript"/>
          <w:lang w:val="fr-FR"/>
        </w:rPr>
        <w:t>10</w:t>
      </w:r>
      <w:r w:rsidRPr="002E5EDB" w:rsidDel="00C532D7">
        <w:t xml:space="preserve"> </w:t>
      </w:r>
      <w:r w:rsidRPr="002E5EDB">
        <w:t>] ;</w:t>
      </w:r>
      <w:r>
        <w:t xml:space="preserve"> »</w:t>
      </w:r>
    </w:p>
    <w:p w14:paraId="02A171C6" w14:textId="366BD16C" w:rsidR="00AB693C" w:rsidRDefault="00AB693C" w:rsidP="00A802F3">
      <w:pPr>
        <w:pStyle w:val="Bullet1G"/>
        <w:rPr>
          <w:lang w:val="fr-FR"/>
        </w:rPr>
      </w:pPr>
      <w:r>
        <w:rPr>
          <w:lang w:val="fr-FR"/>
        </w:rPr>
        <w:tab/>
        <w:t xml:space="preserve">Ajouter une nouvelle note de bas de page </w:t>
      </w:r>
      <w:r w:rsidRPr="005F5C64">
        <w:rPr>
          <w:vertAlign w:val="superscript"/>
          <w:lang w:val="fr-FR"/>
        </w:rPr>
        <w:t>9</w:t>
      </w:r>
      <w:r>
        <w:rPr>
          <w:lang w:val="fr-FR"/>
        </w:rPr>
        <w:t xml:space="preserve"> pour lire : « </w:t>
      </w:r>
      <w:r w:rsidRPr="005F5C64">
        <w:rPr>
          <w:vertAlign w:val="superscript"/>
          <w:lang w:val="fr-FR"/>
        </w:rPr>
        <w:t>9</w:t>
      </w:r>
      <w:r>
        <w:rPr>
          <w:lang w:val="fr-FR"/>
        </w:rPr>
        <w:t xml:space="preserve"> </w:t>
      </w:r>
      <w:r w:rsidRPr="005F5C64">
        <w:rPr>
          <w:i/>
          <w:iCs/>
          <w:lang w:val="fr-FR"/>
        </w:rPr>
        <w:t>Règlement ONU No 134 (Prescriptions uniformes relatives à l’homologation des véhicules automobiles et de leurs composants en ce qui concerne les prescriptions de sécurité des véhicules fonctionnant à l’hydrogène)</w:t>
      </w:r>
      <w:r>
        <w:rPr>
          <w:lang w:val="fr-FR"/>
        </w:rPr>
        <w:t> ».</w:t>
      </w:r>
    </w:p>
    <w:p w14:paraId="06966B10" w14:textId="159AD27B" w:rsidR="00AB693C" w:rsidRDefault="00AB693C" w:rsidP="00A802F3">
      <w:pPr>
        <w:pStyle w:val="Bullet1G"/>
        <w:rPr>
          <w:lang w:val="fr-FR"/>
        </w:rPr>
      </w:pPr>
      <w:r>
        <w:rPr>
          <w:lang w:val="fr-FR"/>
        </w:rPr>
        <w:tab/>
        <w:t xml:space="preserve">Ajouter une nouvelle note de bas de page </w:t>
      </w:r>
      <w:r>
        <w:rPr>
          <w:vertAlign w:val="superscript"/>
          <w:lang w:val="fr-FR"/>
        </w:rPr>
        <w:t>10</w:t>
      </w:r>
      <w:r>
        <w:rPr>
          <w:lang w:val="fr-FR"/>
        </w:rPr>
        <w:t xml:space="preserve"> pour lire : « </w:t>
      </w:r>
      <w:r>
        <w:rPr>
          <w:vertAlign w:val="superscript"/>
          <w:lang w:val="fr-FR"/>
        </w:rPr>
        <w:t>10</w:t>
      </w:r>
      <w:r>
        <w:rPr>
          <w:lang w:val="fr-FR"/>
        </w:rPr>
        <w:t> </w:t>
      </w:r>
      <w:r w:rsidRPr="00037538">
        <w:rPr>
          <w:i/>
          <w:iCs/>
          <w:lang w:val="fr-FR"/>
        </w:rPr>
        <w:t>Règlement technique mondial n° 13 sur les véhicules à hydrogène à pile à combustible</w:t>
      </w:r>
      <w:r>
        <w:rPr>
          <w:lang w:val="fr-FR"/>
        </w:rPr>
        <w:t xml:space="preserve"> ».</w:t>
      </w:r>
    </w:p>
    <w:p w14:paraId="5395E5C8" w14:textId="38FED202" w:rsidR="00AB693C" w:rsidRDefault="00AB693C" w:rsidP="00A802F3">
      <w:pPr>
        <w:pStyle w:val="Bullet1G"/>
        <w:rPr>
          <w:lang w:val="fr-FR"/>
        </w:rPr>
      </w:pPr>
      <w:r>
        <w:rPr>
          <w:lang w:val="fr-FR"/>
        </w:rPr>
        <w:lastRenderedPageBreak/>
        <w:tab/>
        <w:t xml:space="preserve">Renuméroter c) en tant que f) et, dans la première phrase, après « </w:t>
      </w:r>
      <w:r w:rsidRPr="00525F27">
        <w:rPr>
          <w:lang w:val="fr-FR"/>
        </w:rPr>
        <w:t>l’admission du moteur</w:t>
      </w:r>
      <w:r>
        <w:rPr>
          <w:lang w:val="fr-FR"/>
        </w:rPr>
        <w:t xml:space="preserve">, », ajouter « </w:t>
      </w:r>
      <w:r w:rsidRPr="004D6FA3">
        <w:rPr>
          <w:lang w:val="fr-FR"/>
        </w:rPr>
        <w:t>systèmes de stockage électrique ou</w:t>
      </w:r>
      <w:r>
        <w:rPr>
          <w:lang w:val="fr-FR"/>
        </w:rPr>
        <w:t xml:space="preserve"> ».</w:t>
      </w:r>
    </w:p>
    <w:p w14:paraId="389D177E"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8, telle que modifié</w:t>
      </w:r>
      <w:r w:rsidRPr="00455A13">
        <w:rPr>
          <w:i/>
          <w:iCs/>
          <w:lang w:val="fr-FR"/>
        </w:rPr>
        <w:t>)</w:t>
      </w:r>
    </w:p>
    <w:p w14:paraId="7D9B1243" w14:textId="77777777" w:rsidR="00AB693C" w:rsidRDefault="00AB693C" w:rsidP="00DB7E1B">
      <w:pPr>
        <w:pStyle w:val="SingleTxtG"/>
        <w:tabs>
          <w:tab w:val="clear" w:pos="1701"/>
        </w:tabs>
        <w:ind w:left="2268" w:hanging="1134"/>
        <w:rPr>
          <w:lang w:val="fr-FR"/>
        </w:rPr>
      </w:pPr>
      <w:r w:rsidRPr="00455A13">
        <w:rPr>
          <w:lang w:val="fr-FR"/>
        </w:rPr>
        <w:t>9.2.</w:t>
      </w:r>
      <w:r>
        <w:rPr>
          <w:lang w:val="fr-FR"/>
        </w:rPr>
        <w:t>4.4</w:t>
      </w:r>
      <w:r w:rsidRPr="00455A13">
        <w:rPr>
          <w:lang w:val="fr-FR"/>
        </w:rPr>
        <w:tab/>
      </w:r>
      <w:r>
        <w:rPr>
          <w:lang w:val="fr-FR"/>
        </w:rPr>
        <w:t>Renuméroter en tant que 9.2.4.3 et modifier pour lire comme suit :</w:t>
      </w:r>
    </w:p>
    <w:p w14:paraId="41189E35" w14:textId="77777777" w:rsidR="00AB693C" w:rsidRPr="00BD6993" w:rsidRDefault="00AB693C" w:rsidP="00AB693C">
      <w:pPr>
        <w:pStyle w:val="SingleTxtG"/>
        <w:ind w:left="2268" w:hanging="1134"/>
        <w:rPr>
          <w:b/>
          <w:bCs/>
          <w:i/>
          <w:iCs/>
          <w:lang w:val="fr-FR"/>
        </w:rPr>
      </w:pPr>
      <w:r>
        <w:rPr>
          <w:lang w:val="fr-FR"/>
        </w:rPr>
        <w:t xml:space="preserve">« </w:t>
      </w:r>
      <w:r w:rsidRPr="00102C88">
        <w:rPr>
          <w:b/>
          <w:bCs/>
          <w:lang w:val="fr-FR"/>
        </w:rPr>
        <w:t>9.2.4.3</w:t>
      </w:r>
      <w:r w:rsidRPr="00102C88">
        <w:rPr>
          <w:b/>
          <w:bCs/>
          <w:lang w:val="fr-FR"/>
        </w:rPr>
        <w:tab/>
      </w:r>
      <w:r w:rsidRPr="00BD6993">
        <w:rPr>
          <w:b/>
          <w:bCs/>
          <w:i/>
          <w:iCs/>
          <w:lang w:val="fr-FR"/>
        </w:rPr>
        <w:t>Moteur à combustion interne</w:t>
      </w:r>
    </w:p>
    <w:p w14:paraId="687A397C" w14:textId="77777777" w:rsidR="00AB693C" w:rsidRPr="00CE27B3" w:rsidRDefault="00AB693C" w:rsidP="00AB693C">
      <w:pPr>
        <w:pStyle w:val="SingleTxtG"/>
        <w:ind w:left="2268" w:hanging="1134"/>
        <w:rPr>
          <w:lang w:val="fr-FR"/>
        </w:rPr>
      </w:pPr>
      <w:r w:rsidRPr="00C56EBC">
        <w:rPr>
          <w:lang w:val="fr-FR"/>
        </w:rPr>
        <w:t>9.2.4.3.1</w:t>
      </w:r>
      <w:r w:rsidRPr="00C56EBC">
        <w:rPr>
          <w:lang w:val="fr-FR"/>
        </w:rPr>
        <w:tab/>
        <w:t>Les moteurs entraînant les véhicules doivent être équipés et placés de façon à éviter tout danger pour le chargement à la suite d’un échauffement ou d’une inflammation.</w:t>
      </w:r>
      <w:r>
        <w:rPr>
          <w:lang w:val="fr-FR"/>
        </w:rPr>
        <w:t xml:space="preserve"> </w:t>
      </w:r>
      <w:r w:rsidRPr="00CE27B3">
        <w:rPr>
          <w:lang w:val="fr-FR"/>
        </w:rPr>
        <w:t>L’utilisation d’un carburant ne doit être admise que si les organes sont homologués et si l’installation satisfait aux prescriptions du 9.2.2 et aux prescriptions techniques :</w:t>
      </w:r>
    </w:p>
    <w:p w14:paraId="33FC28E8" w14:textId="77777777" w:rsidR="00AB693C" w:rsidRPr="00CE27B3" w:rsidRDefault="00AB693C" w:rsidP="00DB7E1B">
      <w:pPr>
        <w:pStyle w:val="SingleTxtG"/>
        <w:tabs>
          <w:tab w:val="clear" w:pos="1701"/>
        </w:tabs>
        <w:ind w:left="2268" w:hanging="1134"/>
        <w:rPr>
          <w:lang w:val="fr-FR"/>
        </w:rPr>
      </w:pPr>
      <w:r>
        <w:rPr>
          <w:lang w:val="fr-FR"/>
        </w:rPr>
        <w:tab/>
      </w:r>
      <w:r w:rsidRPr="00CE27B3">
        <w:rPr>
          <w:lang w:val="fr-FR"/>
        </w:rPr>
        <w:t>a)</w:t>
      </w:r>
      <w:r w:rsidRPr="00CE27B3">
        <w:rPr>
          <w:lang w:val="fr-FR"/>
        </w:rPr>
        <w:tab/>
        <w:t>Du Règlement ONU No 110</w:t>
      </w:r>
      <w:r>
        <w:rPr>
          <w:vertAlign w:val="superscript"/>
          <w:lang w:val="fr-FR"/>
        </w:rPr>
        <w:t>7</w:t>
      </w:r>
      <w:r w:rsidRPr="00CE27B3">
        <w:rPr>
          <w:lang w:val="fr-FR"/>
        </w:rPr>
        <w:t xml:space="preserve"> pour le GNC ou le GNL ;</w:t>
      </w:r>
    </w:p>
    <w:p w14:paraId="6BBA2478" w14:textId="77777777" w:rsidR="00AB693C" w:rsidRPr="00CE27B3" w:rsidRDefault="00AB693C" w:rsidP="00DB7E1B">
      <w:pPr>
        <w:pStyle w:val="SingleTxtG"/>
        <w:tabs>
          <w:tab w:val="clear" w:pos="1701"/>
        </w:tabs>
        <w:ind w:left="2268" w:hanging="1134"/>
        <w:rPr>
          <w:lang w:val="fr-FR"/>
        </w:rPr>
      </w:pPr>
      <w:r>
        <w:rPr>
          <w:lang w:val="fr-FR"/>
        </w:rPr>
        <w:tab/>
      </w:r>
      <w:r w:rsidRPr="00CE27B3">
        <w:rPr>
          <w:lang w:val="fr-FR"/>
        </w:rPr>
        <w:t>b)</w:t>
      </w:r>
      <w:r w:rsidRPr="00CE27B3">
        <w:rPr>
          <w:lang w:val="fr-FR"/>
        </w:rPr>
        <w:tab/>
        <w:t>Du Règlement ONU No 67</w:t>
      </w:r>
      <w:r>
        <w:rPr>
          <w:vertAlign w:val="superscript"/>
          <w:lang w:val="fr-FR"/>
        </w:rPr>
        <w:t>8</w:t>
      </w:r>
      <w:r w:rsidRPr="00CE27B3">
        <w:rPr>
          <w:lang w:val="fr-FR"/>
        </w:rPr>
        <w:t xml:space="preserve"> pour le GPL ;</w:t>
      </w:r>
    </w:p>
    <w:p w14:paraId="5F1607C7" w14:textId="77777777" w:rsidR="00AB693C" w:rsidRPr="00CE27B3" w:rsidRDefault="00AB693C" w:rsidP="00DB7E1B">
      <w:pPr>
        <w:pStyle w:val="SingleTxtG"/>
        <w:tabs>
          <w:tab w:val="clear" w:pos="1701"/>
        </w:tabs>
        <w:ind w:left="2268" w:hanging="1134"/>
        <w:rPr>
          <w:lang w:val="fr-FR"/>
        </w:rPr>
      </w:pPr>
      <w:r>
        <w:rPr>
          <w:lang w:val="fr-FR"/>
        </w:rPr>
        <w:tab/>
      </w:r>
      <w:r w:rsidRPr="00CE27B3">
        <w:rPr>
          <w:lang w:val="fr-FR"/>
        </w:rPr>
        <w:t>c)</w:t>
      </w:r>
      <w:r w:rsidRPr="00CE27B3">
        <w:rPr>
          <w:lang w:val="fr-FR"/>
        </w:rPr>
        <w:tab/>
        <w:t>Du Règlement ONU No 134</w:t>
      </w:r>
      <w:r>
        <w:rPr>
          <w:vertAlign w:val="superscript"/>
          <w:lang w:val="fr-FR"/>
        </w:rPr>
        <w:t>9</w:t>
      </w:r>
      <w:r w:rsidRPr="00CE27B3">
        <w:rPr>
          <w:lang w:val="fr-FR"/>
        </w:rPr>
        <w:t xml:space="preserve"> pour l’hydrogène comprimé et, le cas échéant, [de la phase 2 du Règlement technique mondial n° 13</w:t>
      </w:r>
      <w:r>
        <w:rPr>
          <w:vertAlign w:val="superscript"/>
          <w:lang w:val="fr-FR"/>
        </w:rPr>
        <w:t>10</w:t>
      </w:r>
      <w:r w:rsidRPr="00CE27B3">
        <w:rPr>
          <w:lang w:val="fr-FR"/>
        </w:rPr>
        <w:t>] pour l’hydrogène liquide</w:t>
      </w:r>
      <w:r w:rsidRPr="00CE27B3">
        <w:t>.</w:t>
      </w:r>
    </w:p>
    <w:p w14:paraId="6B35449E" w14:textId="77777777" w:rsidR="00AB693C" w:rsidRDefault="00AB693C" w:rsidP="00DB7E1B">
      <w:pPr>
        <w:pStyle w:val="SingleTxtG"/>
        <w:tabs>
          <w:tab w:val="clear" w:pos="1701"/>
        </w:tabs>
        <w:ind w:left="2268" w:hanging="1134"/>
        <w:rPr>
          <w:lang w:val="fr-FR"/>
        </w:rPr>
      </w:pPr>
      <w:r>
        <w:rPr>
          <w:lang w:val="fr-FR"/>
        </w:rPr>
        <w:tab/>
      </w:r>
      <w:r w:rsidRPr="00B572E7">
        <w:rPr>
          <w:lang w:val="fr-FR"/>
        </w:rPr>
        <w:t>Dans le cas de véhicules EX/II et EX/III, le moteur doit être à allumage par compression et fonctionner uniquement avec des carburants liquides dont le point d’éclair est supérieur à 55 °C. Les gaz ne doivent pas être utilisés</w:t>
      </w:r>
      <w:r>
        <w:rPr>
          <w:lang w:val="fr-FR"/>
        </w:rPr>
        <w:t>. »</w:t>
      </w:r>
    </w:p>
    <w:p w14:paraId="75964DBE" w14:textId="77777777" w:rsidR="00AB693C" w:rsidRPr="00455A13" w:rsidRDefault="00AB693C" w:rsidP="00AB693C">
      <w:pPr>
        <w:pStyle w:val="SingleTxtG"/>
        <w:rPr>
          <w:i/>
          <w:iCs/>
          <w:lang w:val="fr-FR"/>
        </w:rPr>
      </w:pPr>
      <w:r w:rsidRPr="00455A13">
        <w:rPr>
          <w:i/>
          <w:iCs/>
          <w:lang w:val="fr-FR"/>
        </w:rPr>
        <w:t>(Document de référence : ECE/TRANS/WP.15/2023/14, proposition</w:t>
      </w:r>
      <w:r>
        <w:rPr>
          <w:i/>
          <w:iCs/>
          <w:lang w:val="fr-FR"/>
        </w:rPr>
        <w:t>s</w:t>
      </w:r>
      <w:r w:rsidRPr="00455A13">
        <w:rPr>
          <w:i/>
          <w:iCs/>
          <w:lang w:val="fr-FR"/>
        </w:rPr>
        <w:t xml:space="preserve"> </w:t>
      </w:r>
      <w:r>
        <w:rPr>
          <w:i/>
          <w:iCs/>
          <w:lang w:val="fr-FR"/>
        </w:rPr>
        <w:t>9 et 10, telles que modifiés</w:t>
      </w:r>
      <w:r w:rsidRPr="00455A13">
        <w:rPr>
          <w:i/>
          <w:iCs/>
          <w:lang w:val="fr-FR"/>
        </w:rPr>
        <w:t>)</w:t>
      </w:r>
    </w:p>
    <w:p w14:paraId="2231650A" w14:textId="77777777" w:rsidR="00AB693C" w:rsidRDefault="00AB693C" w:rsidP="00B42B82">
      <w:pPr>
        <w:pStyle w:val="SingleTxtG"/>
        <w:tabs>
          <w:tab w:val="clear" w:pos="1701"/>
        </w:tabs>
        <w:ind w:left="2268" w:hanging="1134"/>
        <w:rPr>
          <w:lang w:val="fr-FR"/>
        </w:rPr>
      </w:pPr>
      <w:r w:rsidRPr="00455A13">
        <w:rPr>
          <w:lang w:val="fr-FR"/>
        </w:rPr>
        <w:t>9.2.</w:t>
      </w:r>
      <w:r>
        <w:rPr>
          <w:lang w:val="fr-FR"/>
        </w:rPr>
        <w:t>4.5</w:t>
      </w:r>
      <w:r w:rsidRPr="00455A13">
        <w:rPr>
          <w:lang w:val="fr-FR"/>
        </w:rPr>
        <w:tab/>
      </w:r>
      <w:r>
        <w:rPr>
          <w:lang w:val="fr-FR"/>
        </w:rPr>
        <w:t xml:space="preserve">Renuméroter en tant que 9.2.4.3.2 et reformatter le titre </w:t>
      </w:r>
      <w:r w:rsidRPr="001A48D3">
        <w:rPr>
          <w:lang w:val="fr-FR"/>
        </w:rPr>
        <w:t>en conséquence</w:t>
      </w:r>
      <w:r>
        <w:rPr>
          <w:lang w:val="fr-FR"/>
        </w:rPr>
        <w:t>.</w:t>
      </w:r>
    </w:p>
    <w:p w14:paraId="5BFE0394" w14:textId="77777777" w:rsidR="00AB693C" w:rsidRPr="00455A13" w:rsidRDefault="00AB693C" w:rsidP="00AB693C">
      <w:pPr>
        <w:pStyle w:val="SingleTxtG"/>
        <w:rPr>
          <w:i/>
          <w:iCs/>
          <w:lang w:val="fr-FR"/>
        </w:rPr>
      </w:pPr>
      <w:r w:rsidRPr="00455A13">
        <w:rPr>
          <w:i/>
          <w:iCs/>
          <w:lang w:val="fr-FR"/>
        </w:rPr>
        <w:t xml:space="preserve">(Document de référence : ECE/TRANS/WP.15/2023/14, proposition </w:t>
      </w:r>
      <w:r>
        <w:rPr>
          <w:i/>
          <w:iCs/>
          <w:lang w:val="fr-FR"/>
        </w:rPr>
        <w:t>11</w:t>
      </w:r>
      <w:r w:rsidRPr="00455A13">
        <w:rPr>
          <w:i/>
          <w:iCs/>
          <w:lang w:val="fr-FR"/>
        </w:rPr>
        <w:t>)</w:t>
      </w:r>
    </w:p>
    <w:p w14:paraId="3ADC2187" w14:textId="77777777" w:rsidR="00AB693C" w:rsidRDefault="00AB693C" w:rsidP="00B42B82">
      <w:pPr>
        <w:pStyle w:val="SingleTxtG"/>
        <w:tabs>
          <w:tab w:val="clear" w:pos="1701"/>
        </w:tabs>
        <w:ind w:left="2268" w:hanging="1134"/>
        <w:rPr>
          <w:lang w:val="fr-FR"/>
        </w:rPr>
      </w:pPr>
      <w:r w:rsidRPr="00455A13">
        <w:rPr>
          <w:lang w:val="fr-FR"/>
        </w:rPr>
        <w:t>9.2.</w:t>
      </w:r>
      <w:r>
        <w:rPr>
          <w:lang w:val="fr-FR"/>
        </w:rPr>
        <w:t>4.6</w:t>
      </w:r>
      <w:r w:rsidRPr="00455A13">
        <w:rPr>
          <w:lang w:val="fr-FR"/>
        </w:rPr>
        <w:tab/>
      </w:r>
      <w:r>
        <w:rPr>
          <w:lang w:val="fr-FR"/>
        </w:rPr>
        <w:t>Renuméroter en tant que 9.2.4.4 et modifier pour lire comme suit :</w:t>
      </w:r>
    </w:p>
    <w:p w14:paraId="29FF0CF0" w14:textId="7145D5F3" w:rsidR="00AB693C" w:rsidRPr="000B4631" w:rsidRDefault="00AB693C" w:rsidP="00AB693C">
      <w:pPr>
        <w:pStyle w:val="SingleTxtG"/>
        <w:ind w:left="2268" w:hanging="1134"/>
        <w:rPr>
          <w:b/>
          <w:bCs/>
          <w:i/>
          <w:iCs/>
          <w:lang w:val="fr-FR"/>
        </w:rPr>
      </w:pPr>
      <w:r>
        <w:rPr>
          <w:lang w:val="fr-FR"/>
        </w:rPr>
        <w:t>«</w:t>
      </w:r>
      <w:r w:rsidR="000F7CF5">
        <w:rPr>
          <w:lang w:val="fr-FR"/>
        </w:rPr>
        <w:t> </w:t>
      </w:r>
      <w:r w:rsidRPr="00102C88">
        <w:rPr>
          <w:b/>
          <w:bCs/>
          <w:lang w:val="fr-FR"/>
        </w:rPr>
        <w:t>9.2.4.4</w:t>
      </w:r>
      <w:r w:rsidRPr="00102C88">
        <w:rPr>
          <w:b/>
          <w:bCs/>
          <w:lang w:val="fr-FR"/>
        </w:rPr>
        <w:tab/>
      </w:r>
      <w:r w:rsidRPr="000B4631">
        <w:rPr>
          <w:b/>
          <w:bCs/>
          <w:i/>
          <w:iCs/>
          <w:lang w:val="fr-FR"/>
        </w:rPr>
        <w:t>Chaîne de traction électrique</w:t>
      </w:r>
    </w:p>
    <w:p w14:paraId="38A0254F" w14:textId="77777777" w:rsidR="00AB693C" w:rsidRPr="000B4631" w:rsidRDefault="00AB693C" w:rsidP="00AB693C">
      <w:pPr>
        <w:pStyle w:val="SingleTxtG"/>
        <w:ind w:left="2268" w:hanging="1134"/>
        <w:rPr>
          <w:i/>
          <w:iCs/>
          <w:lang w:val="fr-FR"/>
        </w:rPr>
      </w:pPr>
      <w:r w:rsidRPr="00BD6993">
        <w:rPr>
          <w:lang w:val="fr-FR"/>
        </w:rPr>
        <w:t>9.2.4.4.1</w:t>
      </w:r>
      <w:r w:rsidRPr="00BD6993">
        <w:rPr>
          <w:lang w:val="fr-FR"/>
        </w:rPr>
        <w:tab/>
      </w:r>
      <w:r w:rsidRPr="000B4631">
        <w:rPr>
          <w:i/>
          <w:iCs/>
          <w:lang w:val="fr-FR"/>
        </w:rPr>
        <w:t>Dispositions générales</w:t>
      </w:r>
      <w:r w:rsidRPr="000B4631" w:rsidDel="00274814">
        <w:rPr>
          <w:i/>
          <w:iCs/>
          <w:lang w:val="fr-FR"/>
        </w:rPr>
        <w:t xml:space="preserve"> </w:t>
      </w:r>
    </w:p>
    <w:p w14:paraId="72C42488" w14:textId="37E79568" w:rsidR="00AB693C" w:rsidRPr="00BD6993" w:rsidRDefault="00AB693C" w:rsidP="000F7CF5">
      <w:pPr>
        <w:pStyle w:val="SingleTxtG"/>
        <w:tabs>
          <w:tab w:val="clear" w:pos="1701"/>
        </w:tabs>
        <w:ind w:left="2268" w:hanging="1134"/>
        <w:rPr>
          <w:lang w:val="fr-FR"/>
        </w:rPr>
      </w:pPr>
      <w:r>
        <w:rPr>
          <w:lang w:val="fr-FR"/>
        </w:rPr>
        <w:tab/>
      </w:r>
      <w:r w:rsidRPr="00BD6993">
        <w:rPr>
          <w:lang w:val="fr-FR"/>
        </w:rPr>
        <w:t>Les chaînes de traction électriques ne doivent pas être utilisées pour les véhicules EX.</w:t>
      </w:r>
      <w:r>
        <w:rPr>
          <w:lang w:val="fr-FR"/>
        </w:rPr>
        <w:t xml:space="preserve"> </w:t>
      </w:r>
      <w:r w:rsidRPr="00BD6993">
        <w:rPr>
          <w:lang w:val="fr-FR"/>
        </w:rPr>
        <w:t>Les remorques équipées d’un système de freinage à récupération ou d’une chaîne de traction électrique ne sont pas autorisées.</w:t>
      </w:r>
    </w:p>
    <w:p w14:paraId="69BA77A1" w14:textId="77777777" w:rsidR="00AB693C" w:rsidRDefault="00AB693C" w:rsidP="000F7CF5">
      <w:pPr>
        <w:pStyle w:val="SingleTxtG"/>
        <w:tabs>
          <w:tab w:val="clear" w:pos="1701"/>
        </w:tabs>
        <w:ind w:left="2268" w:hanging="1134"/>
        <w:rPr>
          <w:lang w:val="fr-FR"/>
        </w:rPr>
      </w:pPr>
      <w:r>
        <w:rPr>
          <w:lang w:val="fr-FR"/>
        </w:rPr>
        <w:tab/>
      </w:r>
      <w:r w:rsidRPr="00D605BB">
        <w:rPr>
          <w:lang w:val="fr-FR"/>
        </w:rPr>
        <w:t>La chaîne de traction électrique doit satisfaire aux prescriptions énoncées dans le Règlement ONU No 100</w:t>
      </w:r>
      <w:r>
        <w:rPr>
          <w:vertAlign w:val="superscript"/>
          <w:lang w:val="fr-FR"/>
        </w:rPr>
        <w:t>1</w:t>
      </w:r>
      <w:r w:rsidRPr="00D605BB">
        <w:rPr>
          <w:lang w:val="fr-FR"/>
        </w:rPr>
        <w:t>, tel que modifié au minimum par la série 03 d’amendements.</w:t>
      </w:r>
    </w:p>
    <w:p w14:paraId="318C5001" w14:textId="77777777" w:rsidR="00AB693C" w:rsidRDefault="00AB693C" w:rsidP="000F7CF5">
      <w:pPr>
        <w:pStyle w:val="SingleTxtG"/>
        <w:tabs>
          <w:tab w:val="clear" w:pos="1701"/>
        </w:tabs>
        <w:ind w:left="2268" w:hanging="1134"/>
        <w:rPr>
          <w:lang w:val="fr-FR"/>
        </w:rPr>
      </w:pPr>
      <w:r>
        <w:rPr>
          <w:lang w:val="fr-FR"/>
        </w:rPr>
        <w:tab/>
      </w:r>
      <w:r w:rsidRPr="008070DE">
        <w:rPr>
          <w:lang w:val="fr-FR"/>
        </w:rPr>
        <w:t>Les véhicules à chaîne de traction électrique doivent être équipés d’un système de surveillance de la résistance d’isolement.</w:t>
      </w:r>
    </w:p>
    <w:p w14:paraId="6EE5FB25" w14:textId="77777777" w:rsidR="00AB693C" w:rsidRDefault="00AB693C" w:rsidP="000F7CF5">
      <w:pPr>
        <w:pStyle w:val="SingleTxtG"/>
        <w:tabs>
          <w:tab w:val="clear" w:pos="1701"/>
        </w:tabs>
        <w:ind w:left="2268" w:hanging="1134"/>
        <w:rPr>
          <w:lang w:val="fr-FR"/>
        </w:rPr>
      </w:pPr>
      <w:r>
        <w:rPr>
          <w:lang w:val="fr-FR"/>
        </w:rPr>
        <w:tab/>
      </w:r>
      <w:r w:rsidRPr="00EC7F73">
        <w:rPr>
          <w:lang w:val="fr-FR"/>
        </w:rPr>
        <w:t xml:space="preserve">Le véhicule doit émettre des signaux extérieurs à l’arrêt, en plus de l’avertissement </w:t>
      </w:r>
      <w:r>
        <w:rPr>
          <w:lang w:val="fr-FR"/>
        </w:rPr>
        <w:t>reçu par le</w:t>
      </w:r>
      <w:r w:rsidRPr="00EC7F73">
        <w:rPr>
          <w:lang w:val="fr-FR"/>
        </w:rPr>
        <w:t xml:space="preserve"> conducteur dans la </w:t>
      </w:r>
      <w:r w:rsidRPr="00BF56BE">
        <w:rPr>
          <w:rStyle w:val="preferred"/>
        </w:rPr>
        <w:t>cabine</w:t>
      </w:r>
      <w:r w:rsidRPr="00EC7F73">
        <w:rPr>
          <w:lang w:val="fr-FR"/>
        </w:rPr>
        <w:t xml:space="preserve"> de conduit</w:t>
      </w:r>
      <w:r>
        <w:rPr>
          <w:lang w:val="fr-FR"/>
        </w:rPr>
        <w:t>e</w:t>
      </w:r>
      <w:r w:rsidRPr="00EC7F73">
        <w:rPr>
          <w:lang w:val="fr-FR"/>
        </w:rPr>
        <w:t xml:space="preserve">, conformément </w:t>
      </w:r>
      <w:r>
        <w:rPr>
          <w:lang w:val="fr-FR"/>
        </w:rPr>
        <w:t>au 6.15.1 du Règlement ONU No 100</w:t>
      </w:r>
      <w:r>
        <w:rPr>
          <w:vertAlign w:val="superscript"/>
          <w:lang w:val="fr-FR"/>
        </w:rPr>
        <w:t>1</w:t>
      </w:r>
      <w:r>
        <w:rPr>
          <w:lang w:val="fr-FR"/>
        </w:rPr>
        <w:t>.</w:t>
      </w:r>
    </w:p>
    <w:p w14:paraId="07E0B0E8" w14:textId="77777777" w:rsidR="00AB693C" w:rsidRPr="00295D5B" w:rsidRDefault="00AB693C" w:rsidP="00AB693C">
      <w:pPr>
        <w:pStyle w:val="SingleTxtG"/>
        <w:ind w:left="2268" w:hanging="1134"/>
        <w:rPr>
          <w:i/>
          <w:iCs/>
          <w:lang w:val="fr-FR"/>
        </w:rPr>
      </w:pPr>
      <w:r w:rsidRPr="00102C88">
        <w:rPr>
          <w:lang w:val="fr-FR"/>
        </w:rPr>
        <w:t>9.2.4.4.2</w:t>
      </w:r>
      <w:r w:rsidRPr="00295D5B">
        <w:rPr>
          <w:i/>
          <w:iCs/>
          <w:lang w:val="fr-FR"/>
        </w:rPr>
        <w:tab/>
      </w:r>
      <w:bookmarkStart w:id="8" w:name="_Hlk142650461"/>
      <w:r w:rsidRPr="00295D5B">
        <w:rPr>
          <w:i/>
          <w:iCs/>
          <w:lang w:val="fr-FR"/>
        </w:rPr>
        <w:t>Système</w:t>
      </w:r>
      <w:r w:rsidRPr="00295D5B">
        <w:rPr>
          <w:i/>
          <w:iCs/>
        </w:rPr>
        <w:t xml:space="preserve"> rechargeable de stockage de l’énergie électrique (SRSEE)</w:t>
      </w:r>
      <w:bookmarkEnd w:id="8"/>
    </w:p>
    <w:p w14:paraId="51EF6E80" w14:textId="77777777" w:rsidR="00AB693C" w:rsidRPr="007A4276" w:rsidRDefault="00AB693C" w:rsidP="00AB693C">
      <w:pPr>
        <w:pStyle w:val="SingleTxtG"/>
        <w:ind w:left="2268"/>
        <w:rPr>
          <w:i/>
          <w:iCs/>
          <w:lang w:val="fr-029"/>
        </w:rPr>
      </w:pPr>
      <w:r w:rsidRPr="007A4276">
        <w:rPr>
          <w:b/>
          <w:bCs/>
          <w:i/>
          <w:iCs/>
          <w:lang w:val="fr-029"/>
        </w:rPr>
        <w:t>NOTA </w:t>
      </w:r>
      <w:r w:rsidRPr="007A4276">
        <w:rPr>
          <w:b/>
          <w:i/>
          <w:iCs/>
          <w:lang w:val="fr-029"/>
        </w:rPr>
        <w:t>:</w:t>
      </w:r>
      <w:r w:rsidRPr="007A4276">
        <w:rPr>
          <w:i/>
          <w:iCs/>
          <w:lang w:val="fr-029"/>
        </w:rPr>
        <w:t xml:space="preserve"> </w:t>
      </w:r>
      <w:r w:rsidRPr="004B1FEB">
        <w:rPr>
          <w:i/>
          <w:iCs/>
          <w:lang w:val="fr-029"/>
        </w:rPr>
        <w:t xml:space="preserve">D’autres abréviations sont parfois utilisées dans </w:t>
      </w:r>
      <w:r>
        <w:rPr>
          <w:i/>
          <w:iCs/>
          <w:lang w:val="fr-029"/>
        </w:rPr>
        <w:t>des</w:t>
      </w:r>
      <w:r w:rsidRPr="004B1FEB">
        <w:rPr>
          <w:i/>
          <w:iCs/>
          <w:lang w:val="fr-029"/>
        </w:rPr>
        <w:t xml:space="preserve"> documents portant sur des systèmes semblable</w:t>
      </w:r>
      <w:r>
        <w:rPr>
          <w:i/>
          <w:iCs/>
          <w:lang w:val="fr-029"/>
        </w:rPr>
        <w:t>s (par exemple, SRSE).</w:t>
      </w:r>
    </w:p>
    <w:p w14:paraId="696F0382" w14:textId="77777777" w:rsidR="00AB693C" w:rsidRPr="007A4276" w:rsidRDefault="00AB693C" w:rsidP="00AB693C">
      <w:pPr>
        <w:pStyle w:val="SingleTxtG"/>
        <w:ind w:left="2268"/>
        <w:rPr>
          <w:lang w:val="fr-FR"/>
        </w:rPr>
      </w:pPr>
      <w:r w:rsidRPr="007A4276">
        <w:rPr>
          <w:lang w:val="fr-FR"/>
        </w:rPr>
        <w:t>L</w:t>
      </w:r>
      <w:r>
        <w:rPr>
          <w:lang w:val="fr-FR"/>
        </w:rPr>
        <w:t xml:space="preserve">a conception et la construction du </w:t>
      </w:r>
      <w:r w:rsidRPr="007A4276">
        <w:rPr>
          <w:lang w:val="fr-FR"/>
        </w:rPr>
        <w:t xml:space="preserve">SRSEE des véhicules </w:t>
      </w:r>
      <w:r>
        <w:rPr>
          <w:lang w:val="fr-FR"/>
        </w:rPr>
        <w:t xml:space="preserve">dotés d’une chaîne de traction électrique doivent comprendre une évaluation des risques menée conformément à la norme </w:t>
      </w:r>
      <w:r w:rsidRPr="007A4276">
        <w:rPr>
          <w:lang w:val="fr-FR"/>
        </w:rPr>
        <w:t>ISO 6469-1:2019/</w:t>
      </w:r>
      <w:proofErr w:type="spellStart"/>
      <w:r w:rsidRPr="007A4276">
        <w:rPr>
          <w:lang w:val="fr-FR"/>
        </w:rPr>
        <w:t>Amd</w:t>
      </w:r>
      <w:proofErr w:type="spellEnd"/>
      <w:r w:rsidRPr="007A4276">
        <w:rPr>
          <w:lang w:val="fr-FR"/>
        </w:rPr>
        <w:t xml:space="preserve"> 1:2022</w:t>
      </w:r>
      <w:r>
        <w:rPr>
          <w:lang w:val="fr-FR"/>
        </w:rPr>
        <w:t xml:space="preserve"> afin que la sécurité soit assurée </w:t>
      </w:r>
      <w:r w:rsidRPr="007A4276">
        <w:rPr>
          <w:lang w:val="fr-FR"/>
        </w:rPr>
        <w:t xml:space="preserve">dans des conditions normales </w:t>
      </w:r>
      <w:r>
        <w:rPr>
          <w:lang w:val="fr-FR"/>
        </w:rPr>
        <w:t>de fonctionnement</w:t>
      </w:r>
      <w:r w:rsidRPr="007A4276">
        <w:rPr>
          <w:lang w:val="fr-FR"/>
        </w:rPr>
        <w:t xml:space="preserve">. </w:t>
      </w:r>
      <w:r>
        <w:rPr>
          <w:lang w:val="fr-FR"/>
        </w:rPr>
        <w:t>[</w:t>
      </w:r>
      <w:r w:rsidRPr="007A4276">
        <w:rPr>
          <w:lang w:val="fr-FR"/>
        </w:rPr>
        <w:t xml:space="preserve"> Un examen doit être effectué par un service technique (par exemple, service technique chargé de l</w:t>
      </w:r>
      <w:r>
        <w:rPr>
          <w:lang w:val="fr-FR"/>
        </w:rPr>
        <w:t>’</w:t>
      </w:r>
      <w:r w:rsidRPr="007A4276">
        <w:rPr>
          <w:lang w:val="fr-FR"/>
        </w:rPr>
        <w:t xml:space="preserve">homologation des véhicules conformément au règlement </w:t>
      </w:r>
      <w:r>
        <w:rPr>
          <w:lang w:val="fr-FR"/>
        </w:rPr>
        <w:t>ONU No 100</w:t>
      </w:r>
      <w:r>
        <w:rPr>
          <w:vertAlign w:val="superscript"/>
          <w:lang w:val="fr-FR"/>
        </w:rPr>
        <w:t>1</w:t>
      </w:r>
      <w:r w:rsidRPr="007A4276">
        <w:rPr>
          <w:lang w:val="fr-FR"/>
        </w:rPr>
        <w:t>)</w:t>
      </w:r>
      <w:r w:rsidRPr="002B07F0">
        <w:rPr>
          <w:lang w:val="fr-FR"/>
        </w:rPr>
        <w:t xml:space="preserve"> </w:t>
      </w:r>
      <w:r>
        <w:rPr>
          <w:lang w:val="fr-FR"/>
        </w:rPr>
        <w:t>]</w:t>
      </w:r>
      <w:r w:rsidRPr="007A4276">
        <w:rPr>
          <w:lang w:val="fr-FR"/>
        </w:rPr>
        <w:t>.</w:t>
      </w:r>
    </w:p>
    <w:p w14:paraId="62E6785A" w14:textId="77777777" w:rsidR="00AB693C" w:rsidRPr="007A4276" w:rsidRDefault="00AB693C" w:rsidP="00AB693C">
      <w:pPr>
        <w:pStyle w:val="SingleTxtG"/>
        <w:ind w:left="2268"/>
        <w:rPr>
          <w:lang w:val="fr-FR"/>
        </w:rPr>
      </w:pPr>
      <w:r w:rsidRPr="007A4276">
        <w:rPr>
          <w:b/>
          <w:bCs/>
          <w:i/>
          <w:iCs/>
          <w:lang w:val="fr-FR"/>
        </w:rPr>
        <w:t>NOTA </w:t>
      </w:r>
      <w:r w:rsidRPr="007A4276">
        <w:rPr>
          <w:b/>
          <w:i/>
          <w:iCs/>
          <w:lang w:val="fr-FR"/>
        </w:rPr>
        <w:t>:</w:t>
      </w:r>
      <w:r w:rsidRPr="007A4276">
        <w:rPr>
          <w:i/>
          <w:iCs/>
          <w:lang w:val="fr-FR"/>
        </w:rPr>
        <w:t xml:space="preserve"> Les conditions norm</w:t>
      </w:r>
      <w:r>
        <w:rPr>
          <w:i/>
          <w:iCs/>
          <w:lang w:val="fr-FR"/>
        </w:rPr>
        <w:t>ale</w:t>
      </w:r>
      <w:r w:rsidRPr="007A4276">
        <w:rPr>
          <w:i/>
          <w:iCs/>
          <w:lang w:val="fr-FR"/>
        </w:rPr>
        <w:t xml:space="preserve">s </w:t>
      </w:r>
      <w:r>
        <w:rPr>
          <w:i/>
          <w:iCs/>
          <w:lang w:val="fr-FR"/>
        </w:rPr>
        <w:t xml:space="preserve">de </w:t>
      </w:r>
      <w:r w:rsidRPr="00BF56BE">
        <w:rPr>
          <w:i/>
          <w:iCs/>
          <w:lang w:val="fr-029"/>
        </w:rPr>
        <w:t>fonctionnement</w:t>
      </w:r>
      <w:r w:rsidRPr="007A4276">
        <w:rPr>
          <w:i/>
          <w:iCs/>
          <w:lang w:val="fr-FR"/>
        </w:rPr>
        <w:t xml:space="preserve"> désignent </w:t>
      </w:r>
      <w:r>
        <w:rPr>
          <w:i/>
          <w:iCs/>
          <w:lang w:val="fr-FR"/>
        </w:rPr>
        <w:t xml:space="preserve">aussi </w:t>
      </w:r>
      <w:r w:rsidRPr="007A4276">
        <w:rPr>
          <w:i/>
          <w:iCs/>
          <w:lang w:val="fr-FR"/>
        </w:rPr>
        <w:t>les situations de dysfonctionnement et d</w:t>
      </w:r>
      <w:r>
        <w:rPr>
          <w:i/>
          <w:iCs/>
          <w:lang w:val="fr-FR"/>
        </w:rPr>
        <w:t>’</w:t>
      </w:r>
      <w:r w:rsidRPr="007A4276">
        <w:rPr>
          <w:i/>
          <w:iCs/>
          <w:lang w:val="fr-FR"/>
        </w:rPr>
        <w:t>accident raisonnablement prévisible</w:t>
      </w:r>
      <w:r>
        <w:rPr>
          <w:i/>
          <w:iCs/>
          <w:lang w:val="fr-FR"/>
        </w:rPr>
        <w:t>s. ».</w:t>
      </w:r>
    </w:p>
    <w:p w14:paraId="3EA404A3" w14:textId="77777777" w:rsidR="00AB693C" w:rsidRDefault="00AB693C" w:rsidP="00AB693C">
      <w:pPr>
        <w:pStyle w:val="SingleTxtG"/>
        <w:rPr>
          <w:i/>
          <w:iCs/>
          <w:lang w:val="fr-FR"/>
        </w:rPr>
      </w:pPr>
      <w:r w:rsidRPr="00455A13">
        <w:rPr>
          <w:i/>
          <w:iCs/>
          <w:lang w:val="fr-FR"/>
        </w:rPr>
        <w:lastRenderedPageBreak/>
        <w:t>(Document de référence : ECE/TRANS/WP.15/2023/14, proposition</w:t>
      </w:r>
      <w:r>
        <w:rPr>
          <w:i/>
          <w:iCs/>
          <w:lang w:val="fr-FR"/>
        </w:rPr>
        <w:t>s</w:t>
      </w:r>
      <w:r w:rsidRPr="00455A13">
        <w:rPr>
          <w:i/>
          <w:iCs/>
          <w:lang w:val="fr-FR"/>
        </w:rPr>
        <w:t xml:space="preserve"> </w:t>
      </w:r>
      <w:r>
        <w:rPr>
          <w:i/>
          <w:iCs/>
          <w:lang w:val="fr-FR"/>
        </w:rPr>
        <w:t>12, 13, 14 et 15, telles que modifiés</w:t>
      </w:r>
      <w:r w:rsidRPr="00455A13">
        <w:rPr>
          <w:i/>
          <w:iCs/>
          <w:lang w:val="fr-FR"/>
        </w:rPr>
        <w:t>)</w:t>
      </w:r>
    </w:p>
    <w:p w14:paraId="3552C94B" w14:textId="77777777" w:rsidR="00AB693C" w:rsidRDefault="00AB693C" w:rsidP="00A76F6B">
      <w:pPr>
        <w:pStyle w:val="SingleTxtG"/>
        <w:tabs>
          <w:tab w:val="clear" w:pos="1701"/>
        </w:tabs>
        <w:ind w:left="2268" w:hanging="1134"/>
        <w:rPr>
          <w:lang w:val="fr-FR"/>
        </w:rPr>
      </w:pPr>
      <w:r>
        <w:rPr>
          <w:lang w:val="fr-FR"/>
        </w:rPr>
        <w:t>9.2.4.4</w:t>
      </w:r>
      <w:r>
        <w:rPr>
          <w:lang w:val="fr-FR"/>
        </w:rPr>
        <w:tab/>
        <w:t>Ajouter un nouveau 9.2.4.4.3 pour lire comme suit :</w:t>
      </w:r>
    </w:p>
    <w:p w14:paraId="44010130" w14:textId="3202CB3E" w:rsidR="00AB693C" w:rsidRPr="00191793" w:rsidRDefault="00AB693C" w:rsidP="00AB693C">
      <w:pPr>
        <w:pStyle w:val="SingleTxtG"/>
        <w:ind w:left="2268" w:hanging="1134"/>
        <w:rPr>
          <w:i/>
          <w:iCs/>
          <w:lang w:val="fr-FR"/>
        </w:rPr>
      </w:pPr>
      <w:r w:rsidRPr="00FD150E">
        <w:rPr>
          <w:lang w:val="fr-FR"/>
        </w:rPr>
        <w:t>«</w:t>
      </w:r>
      <w:r w:rsidR="00A76F6B">
        <w:rPr>
          <w:lang w:val="fr-FR"/>
        </w:rPr>
        <w:t> </w:t>
      </w:r>
      <w:r w:rsidRPr="00FD150E">
        <w:rPr>
          <w:lang w:val="fr-FR"/>
        </w:rPr>
        <w:t>9.2.4.4.3</w:t>
      </w:r>
      <w:r w:rsidRPr="00FD150E">
        <w:rPr>
          <w:lang w:val="fr-FR"/>
        </w:rPr>
        <w:tab/>
      </w:r>
      <w:r w:rsidRPr="00191793">
        <w:rPr>
          <w:i/>
          <w:iCs/>
          <w:lang w:val="fr-FR"/>
        </w:rPr>
        <w:t>Mesures de lutte contre la propagation thermique</w:t>
      </w:r>
    </w:p>
    <w:p w14:paraId="75975817" w14:textId="77777777" w:rsidR="00AB693C" w:rsidRPr="00CE1821" w:rsidRDefault="00AB693C" w:rsidP="00A76F6B">
      <w:pPr>
        <w:pStyle w:val="SingleTxtG"/>
        <w:tabs>
          <w:tab w:val="clear" w:pos="1701"/>
        </w:tabs>
        <w:ind w:left="2268" w:hanging="1134"/>
        <w:rPr>
          <w:lang w:val="fr-FR"/>
        </w:rPr>
      </w:pPr>
      <w:r>
        <w:rPr>
          <w:lang w:val="fr-FR"/>
        </w:rPr>
        <w:tab/>
      </w:r>
      <w:r w:rsidRPr="00FD150E">
        <w:rPr>
          <w:lang w:val="fr-FR"/>
        </w:rPr>
        <w:t>En ce qui concerne les SRSEE comprenant des piles pour lesquelles il n’est pas possible de garantir que la propagation thermique soit limitée au système, des mesures doivent être prises pour éviter tout danger pour le chargement à la suite d’un échauffement ou d’une inflammation. [La conception doit tenir compte de la nécessité de faciliter l’intervention des services d’urgence pour limiter les effets d’une propagation thermique.] »</w:t>
      </w:r>
    </w:p>
    <w:p w14:paraId="4A1B5966" w14:textId="77777777" w:rsidR="00AB693C" w:rsidRPr="00CE1821" w:rsidRDefault="00AB693C" w:rsidP="00AB693C">
      <w:pPr>
        <w:pStyle w:val="SingleTxtG"/>
        <w:rPr>
          <w:i/>
          <w:iCs/>
          <w:lang w:val="fr-FR"/>
        </w:rPr>
      </w:pPr>
      <w:r w:rsidRPr="00CE1821">
        <w:rPr>
          <w:i/>
          <w:iCs/>
          <w:lang w:val="fr-FR"/>
        </w:rPr>
        <w:t>(Document de référence : ECE/TRANS/WP.15/2023/14, proposition 16)</w:t>
      </w:r>
    </w:p>
    <w:p w14:paraId="16417F64" w14:textId="77777777" w:rsidR="00AB693C" w:rsidRDefault="00AB693C" w:rsidP="003B16AA">
      <w:pPr>
        <w:pStyle w:val="SingleTxtG"/>
        <w:tabs>
          <w:tab w:val="clear" w:pos="1701"/>
        </w:tabs>
        <w:ind w:left="2268" w:hanging="1134"/>
        <w:rPr>
          <w:lang w:val="fr-FR"/>
        </w:rPr>
      </w:pPr>
      <w:r>
        <w:rPr>
          <w:lang w:val="fr-FR"/>
        </w:rPr>
        <w:t>9.2.4</w:t>
      </w:r>
      <w:r>
        <w:rPr>
          <w:lang w:val="fr-FR"/>
        </w:rPr>
        <w:tab/>
        <w:t>Ajouter un nouveau 9.2.4.5 pour lire comme suit :</w:t>
      </w:r>
    </w:p>
    <w:p w14:paraId="69C0D0EE" w14:textId="77777777" w:rsidR="00AB693C" w:rsidRPr="00D62C8F" w:rsidRDefault="00AB693C" w:rsidP="00AB693C">
      <w:pPr>
        <w:pStyle w:val="SingleTxtG"/>
        <w:ind w:left="2268" w:hanging="1134"/>
        <w:rPr>
          <w:b/>
          <w:bCs/>
          <w:i/>
          <w:iCs/>
          <w:lang w:val="fr-FR"/>
        </w:rPr>
      </w:pPr>
      <w:r w:rsidRPr="006D2E7D">
        <w:rPr>
          <w:lang w:val="fr-FR"/>
        </w:rPr>
        <w:t>« </w:t>
      </w:r>
      <w:r w:rsidRPr="00D62C8F">
        <w:rPr>
          <w:b/>
          <w:bCs/>
          <w:lang w:val="fr-FR"/>
        </w:rPr>
        <w:t>9.2.4.5</w:t>
      </w:r>
      <w:r w:rsidRPr="009B5BA5">
        <w:rPr>
          <w:lang w:val="fr-FR"/>
        </w:rPr>
        <w:tab/>
      </w:r>
      <w:r w:rsidRPr="00D62C8F">
        <w:rPr>
          <w:b/>
          <w:bCs/>
          <w:i/>
          <w:iCs/>
          <w:lang w:val="fr-FR"/>
        </w:rPr>
        <w:t xml:space="preserve">Véhicules à pile à combustible à hydrogène </w:t>
      </w:r>
    </w:p>
    <w:p w14:paraId="251C1DBE" w14:textId="77777777" w:rsidR="00AB693C" w:rsidRPr="009B5BA5" w:rsidRDefault="00AB693C" w:rsidP="00AB693C">
      <w:pPr>
        <w:pStyle w:val="SingleTxtG"/>
        <w:ind w:left="2268" w:hanging="1134"/>
        <w:rPr>
          <w:lang w:val="fr-FR"/>
        </w:rPr>
      </w:pPr>
      <w:r w:rsidRPr="009B5BA5">
        <w:rPr>
          <w:lang w:val="fr-FR"/>
        </w:rPr>
        <w:t>9.2.4.5.1</w:t>
      </w:r>
      <w:r w:rsidRPr="009B5BA5">
        <w:rPr>
          <w:lang w:val="fr-FR"/>
        </w:rPr>
        <w:tab/>
        <w:t xml:space="preserve">Les </w:t>
      </w:r>
      <w:r>
        <w:rPr>
          <w:lang w:val="fr-FR"/>
        </w:rPr>
        <w:t>v</w:t>
      </w:r>
      <w:r w:rsidRPr="009B5BA5">
        <w:rPr>
          <w:lang w:val="fr-FR"/>
        </w:rPr>
        <w:t>éhicules à pile à combustible à hydrogène</w:t>
      </w:r>
      <w:r>
        <w:rPr>
          <w:lang w:val="fr-FR"/>
        </w:rPr>
        <w:t xml:space="preserve"> doivent satisfaire aux prescriptions</w:t>
      </w:r>
      <w:r w:rsidRPr="00AC45EB">
        <w:rPr>
          <w:lang w:val="fr-FR"/>
        </w:rPr>
        <w:t xml:space="preserve"> </w:t>
      </w:r>
      <w:r>
        <w:rPr>
          <w:lang w:val="fr-FR"/>
        </w:rPr>
        <w:t>du 9.2.4.4, relatives à la chaîne de traction électrique.</w:t>
      </w:r>
    </w:p>
    <w:p w14:paraId="42ADCF59" w14:textId="77777777" w:rsidR="00AB693C" w:rsidRPr="009B5BA5" w:rsidRDefault="00AB693C" w:rsidP="00AB693C">
      <w:pPr>
        <w:pStyle w:val="SingleTxtG"/>
        <w:ind w:left="2268" w:hanging="1134"/>
        <w:rPr>
          <w:lang w:val="fr-FR"/>
        </w:rPr>
      </w:pPr>
      <w:r w:rsidRPr="009B5BA5">
        <w:rPr>
          <w:lang w:val="fr-FR"/>
        </w:rPr>
        <w:t>9.2.4.5.2</w:t>
      </w:r>
      <w:r w:rsidRPr="009B5BA5">
        <w:rPr>
          <w:lang w:val="fr-FR"/>
        </w:rPr>
        <w:tab/>
        <w:t xml:space="preserve">Les </w:t>
      </w:r>
      <w:r>
        <w:rPr>
          <w:lang w:val="fr-FR"/>
        </w:rPr>
        <w:t>v</w:t>
      </w:r>
      <w:r w:rsidRPr="009B5BA5">
        <w:rPr>
          <w:lang w:val="fr-FR"/>
        </w:rPr>
        <w:t>éhicules à pile à combustible à hydrogène</w:t>
      </w:r>
      <w:r>
        <w:rPr>
          <w:lang w:val="fr-FR"/>
        </w:rPr>
        <w:t xml:space="preserve"> doivent satisfaire </w:t>
      </w:r>
      <w:r w:rsidRPr="002E5EDB">
        <w:rPr>
          <w:lang w:val="fr-FR"/>
        </w:rPr>
        <w:t>aux prescriptions pertinentes du Règlement ONU No 134</w:t>
      </w:r>
      <w:r>
        <w:rPr>
          <w:vertAlign w:val="superscript"/>
          <w:lang w:val="fr-FR"/>
        </w:rPr>
        <w:t>9</w:t>
      </w:r>
      <w:r w:rsidRPr="002E5EDB">
        <w:rPr>
          <w:lang w:val="fr-FR"/>
        </w:rPr>
        <w:t xml:space="preserve">, tel que modifié </w:t>
      </w:r>
      <w:r w:rsidRPr="002E5EDB">
        <w:t>au minimum par la série 02 d’amendements</w:t>
      </w:r>
      <w:r>
        <w:rPr>
          <w:lang w:val="fr-FR"/>
        </w:rPr>
        <w:t xml:space="preserve">. </w:t>
      </w:r>
      <w:r w:rsidRPr="009B5BA5">
        <w:rPr>
          <w:lang w:val="fr-FR"/>
        </w:rPr>
        <w:t>Pour les véhicules utilisant de l’hydrogène liquid</w:t>
      </w:r>
      <w:r>
        <w:rPr>
          <w:lang w:val="fr-FR"/>
        </w:rPr>
        <w:t>e</w:t>
      </w:r>
      <w:r w:rsidRPr="009B5BA5">
        <w:rPr>
          <w:lang w:val="fr-FR"/>
        </w:rPr>
        <w:t>, les prescriptions t</w:t>
      </w:r>
      <w:r>
        <w:rPr>
          <w:lang w:val="fr-FR"/>
        </w:rPr>
        <w:t>echniques de la [phase 2 d</w:t>
      </w:r>
      <w:r w:rsidRPr="000024A3">
        <w:rPr>
          <w:lang w:val="fr-FR"/>
        </w:rPr>
        <w:t xml:space="preserve">u </w:t>
      </w:r>
      <w:r w:rsidRPr="00737B28">
        <w:rPr>
          <w:lang w:val="fr-FR"/>
        </w:rPr>
        <w:t>Règlement technique mondial n° 13</w:t>
      </w:r>
      <w:r>
        <w:rPr>
          <w:vertAlign w:val="superscript"/>
          <w:lang w:val="fr-FR"/>
        </w:rPr>
        <w:t>10</w:t>
      </w:r>
      <w:r w:rsidRPr="00737B28">
        <w:t xml:space="preserve"> s’appliquent].</w:t>
      </w:r>
    </w:p>
    <w:p w14:paraId="20F8748E" w14:textId="77777777" w:rsidR="00AB693C" w:rsidRPr="009B5BA5" w:rsidRDefault="00AB693C" w:rsidP="00AB693C">
      <w:pPr>
        <w:pStyle w:val="SingleTxtG"/>
        <w:ind w:left="2268" w:hanging="1134"/>
        <w:rPr>
          <w:lang w:val="fr-FR"/>
        </w:rPr>
      </w:pPr>
      <w:r w:rsidRPr="009B5BA5">
        <w:rPr>
          <w:lang w:val="fr-FR"/>
        </w:rPr>
        <w:t>9.2.4.5.3</w:t>
      </w:r>
      <w:r w:rsidRPr="009B5BA5">
        <w:rPr>
          <w:lang w:val="fr-FR"/>
        </w:rPr>
        <w:tab/>
        <w:t>Les dispositifs de fermeture des réservoir</w:t>
      </w:r>
      <w:r>
        <w:rPr>
          <w:lang w:val="fr-FR"/>
        </w:rPr>
        <w:t>s d’hydrogène doivent s’enclencher automatiquement :</w:t>
      </w:r>
    </w:p>
    <w:p w14:paraId="769C42A6" w14:textId="77777777" w:rsidR="00AB693C" w:rsidRPr="00A2368D" w:rsidRDefault="00AB693C" w:rsidP="003B16AA">
      <w:pPr>
        <w:pStyle w:val="SingleTxtG"/>
        <w:tabs>
          <w:tab w:val="clear" w:pos="1701"/>
        </w:tabs>
        <w:ind w:left="2268" w:hanging="1134"/>
        <w:rPr>
          <w:lang w:val="fr-FR"/>
        </w:rPr>
      </w:pPr>
      <w:r>
        <w:rPr>
          <w:lang w:val="fr-FR"/>
        </w:rPr>
        <w:tab/>
        <w:t>a)</w:t>
      </w:r>
      <w:r>
        <w:rPr>
          <w:lang w:val="fr-FR"/>
        </w:rPr>
        <w:tab/>
      </w:r>
      <w:r w:rsidRPr="00A2368D">
        <w:rPr>
          <w:lang w:val="fr-FR"/>
        </w:rPr>
        <w:t xml:space="preserve">Lorsque le véhicule </w:t>
      </w:r>
      <w:r>
        <w:rPr>
          <w:lang w:val="fr-FR"/>
        </w:rPr>
        <w:t>n’</w:t>
      </w:r>
      <w:r w:rsidRPr="003628A8">
        <w:rPr>
          <w:lang w:val="fr-FR"/>
        </w:rPr>
        <w:t>est plus en mode marche</w:t>
      </w:r>
      <w:r w:rsidRPr="00A2368D">
        <w:rPr>
          <w:lang w:val="fr-FR"/>
        </w:rPr>
        <w:t> ;</w:t>
      </w:r>
    </w:p>
    <w:p w14:paraId="63B5DD0D" w14:textId="77777777" w:rsidR="00AB693C" w:rsidRPr="00656472" w:rsidRDefault="00AB693C" w:rsidP="003B16AA">
      <w:pPr>
        <w:pStyle w:val="SingleTxtG"/>
        <w:tabs>
          <w:tab w:val="clear" w:pos="1701"/>
        </w:tabs>
        <w:ind w:left="2268" w:hanging="1134"/>
        <w:rPr>
          <w:lang w:val="fr-FR"/>
        </w:rPr>
      </w:pPr>
      <w:r>
        <w:rPr>
          <w:lang w:val="fr-FR"/>
        </w:rPr>
        <w:tab/>
        <w:t>b)</w:t>
      </w:r>
      <w:r>
        <w:rPr>
          <w:lang w:val="fr-FR"/>
        </w:rPr>
        <w:tab/>
      </w:r>
      <w:r w:rsidRPr="00656472">
        <w:rPr>
          <w:lang w:val="fr-FR"/>
        </w:rPr>
        <w:t xml:space="preserve">Lors </w:t>
      </w:r>
      <w:r>
        <w:rPr>
          <w:lang w:val="fr-FR"/>
        </w:rPr>
        <w:t>d’une décélération de [3,25 m.s</w:t>
      </w:r>
      <w:r w:rsidRPr="001C01B9">
        <w:rPr>
          <w:vertAlign w:val="superscript"/>
          <w:lang w:val="fr-FR"/>
        </w:rPr>
        <w:t>-2</w:t>
      </w:r>
      <w:r>
        <w:rPr>
          <w:lang w:val="fr-FR"/>
        </w:rPr>
        <w:t xml:space="preserve"> pour 0,7 s]</w:t>
      </w:r>
      <w:r w:rsidRPr="005553A7">
        <w:rPr>
          <w:lang w:val="fr-FR"/>
        </w:rPr>
        <w:t> ;</w:t>
      </w:r>
    </w:p>
    <w:p w14:paraId="52EE3A93" w14:textId="77777777" w:rsidR="00AB693C" w:rsidRPr="00024C5E" w:rsidRDefault="00AB693C" w:rsidP="003B16AA">
      <w:pPr>
        <w:pStyle w:val="SingleTxtG"/>
        <w:tabs>
          <w:tab w:val="clear" w:pos="1701"/>
        </w:tabs>
        <w:ind w:left="2268" w:hanging="1134"/>
        <w:rPr>
          <w:lang w:val="fr-FR"/>
        </w:rPr>
      </w:pPr>
      <w:r>
        <w:rPr>
          <w:lang w:val="fr-FR"/>
        </w:rPr>
        <w:tab/>
        <w:t>c)</w:t>
      </w:r>
      <w:r>
        <w:rPr>
          <w:lang w:val="fr-FR"/>
        </w:rPr>
        <w:tab/>
      </w:r>
      <w:r w:rsidRPr="00024C5E">
        <w:rPr>
          <w:lang w:val="fr-FR"/>
        </w:rPr>
        <w:t>En cas de renversement latéral au</w:t>
      </w:r>
      <w:r>
        <w:rPr>
          <w:lang w:val="fr-FR"/>
        </w:rPr>
        <w:t>-delà</w:t>
      </w:r>
      <w:r w:rsidRPr="00024C5E">
        <w:rPr>
          <w:lang w:val="fr-FR"/>
        </w:rPr>
        <w:t xml:space="preserve"> d</w:t>
      </w:r>
      <w:r>
        <w:rPr>
          <w:lang w:val="fr-FR"/>
        </w:rPr>
        <w:t>’</w:t>
      </w:r>
      <w:r w:rsidRPr="00024C5E">
        <w:rPr>
          <w:lang w:val="fr-FR"/>
        </w:rPr>
        <w:t>un angle de 23°</w:t>
      </w:r>
      <w:r>
        <w:rPr>
          <w:lang w:val="fr-FR"/>
        </w:rPr>
        <w:t>.</w:t>
      </w:r>
    </w:p>
    <w:p w14:paraId="184A071A" w14:textId="77777777" w:rsidR="00AB693C" w:rsidRPr="00024C5E" w:rsidRDefault="00AB693C" w:rsidP="003B16AA">
      <w:pPr>
        <w:pStyle w:val="SingleTxtG"/>
        <w:tabs>
          <w:tab w:val="clear" w:pos="1701"/>
        </w:tabs>
        <w:ind w:left="2268" w:hanging="1134"/>
        <w:rPr>
          <w:lang w:val="fr-FR"/>
        </w:rPr>
      </w:pPr>
      <w:r>
        <w:rPr>
          <w:lang w:val="fr-FR"/>
        </w:rPr>
        <w:tab/>
      </w:r>
      <w:r w:rsidRPr="00024C5E">
        <w:rPr>
          <w:lang w:val="fr-FR"/>
        </w:rPr>
        <w:t>Les dispositifs de fermeture peuvent être rouverts</w:t>
      </w:r>
      <w:r>
        <w:rPr>
          <w:lang w:val="fr-FR"/>
        </w:rPr>
        <w:t xml:space="preserve"> de manière délibérée par le conducteur. »</w:t>
      </w:r>
    </w:p>
    <w:p w14:paraId="6AFF20EC" w14:textId="77777777" w:rsidR="00AB693C" w:rsidRPr="00CE1821" w:rsidRDefault="00AB693C" w:rsidP="00AB693C">
      <w:pPr>
        <w:pStyle w:val="SingleTxtG"/>
        <w:rPr>
          <w:i/>
          <w:iCs/>
          <w:lang w:val="fr-FR"/>
        </w:rPr>
      </w:pPr>
      <w:r w:rsidRPr="00CE1821">
        <w:rPr>
          <w:i/>
          <w:iCs/>
          <w:lang w:val="fr-FR"/>
        </w:rPr>
        <w:t>(Document de référence : ECE/TRANS/WP.15/2023/14, proposition 1</w:t>
      </w:r>
      <w:r>
        <w:rPr>
          <w:i/>
          <w:iCs/>
          <w:lang w:val="fr-FR"/>
        </w:rPr>
        <w:t>7, telle que modifiée et document informel INF.15</w:t>
      </w:r>
      <w:r w:rsidRPr="00CE1821">
        <w:rPr>
          <w:i/>
          <w:iCs/>
          <w:lang w:val="fr-FR"/>
        </w:rPr>
        <w:t>)</w:t>
      </w:r>
    </w:p>
    <w:p w14:paraId="589EEB94" w14:textId="77777777" w:rsidR="00AB693C" w:rsidRPr="00024C5E" w:rsidRDefault="00AB693C" w:rsidP="002D2480">
      <w:pPr>
        <w:pStyle w:val="SingleTxtG"/>
        <w:tabs>
          <w:tab w:val="clear" w:pos="1701"/>
        </w:tabs>
        <w:ind w:left="2268" w:hanging="1134"/>
        <w:rPr>
          <w:lang w:val="fr-FR"/>
        </w:rPr>
      </w:pPr>
      <w:r>
        <w:rPr>
          <w:lang w:val="fr-FR"/>
        </w:rPr>
        <w:t>9.2.4.7</w:t>
      </w:r>
      <w:r>
        <w:rPr>
          <w:lang w:val="fr-FR"/>
        </w:rPr>
        <w:tab/>
        <w:t>Supprimer.</w:t>
      </w:r>
    </w:p>
    <w:p w14:paraId="63C071B1" w14:textId="77777777" w:rsidR="00AB693C" w:rsidRPr="00CE1821" w:rsidRDefault="00AB693C" w:rsidP="002D2480">
      <w:pPr>
        <w:pStyle w:val="SingleTxtG"/>
        <w:tabs>
          <w:tab w:val="clear" w:pos="1701"/>
        </w:tabs>
        <w:rPr>
          <w:i/>
          <w:iCs/>
          <w:lang w:val="fr-FR"/>
        </w:rPr>
      </w:pPr>
      <w:r w:rsidRPr="00CE1821">
        <w:rPr>
          <w:i/>
          <w:iCs/>
          <w:lang w:val="fr-FR"/>
        </w:rPr>
        <w:t xml:space="preserve">(Document de référence : ECE/TRANS/WP.15/2023/14, proposition </w:t>
      </w:r>
      <w:r>
        <w:rPr>
          <w:i/>
          <w:iCs/>
          <w:lang w:val="fr-FR"/>
        </w:rPr>
        <w:t>18</w:t>
      </w:r>
      <w:r w:rsidRPr="00CE1821">
        <w:rPr>
          <w:i/>
          <w:iCs/>
          <w:lang w:val="fr-FR"/>
        </w:rPr>
        <w:t>)</w:t>
      </w:r>
    </w:p>
    <w:p w14:paraId="68D686D7" w14:textId="77777777" w:rsidR="00AB693C" w:rsidRPr="00024C5E" w:rsidRDefault="00AB693C" w:rsidP="002D2480">
      <w:pPr>
        <w:pStyle w:val="SingleTxtG"/>
        <w:tabs>
          <w:tab w:val="clear" w:pos="1701"/>
        </w:tabs>
        <w:ind w:left="2268" w:hanging="1134"/>
        <w:rPr>
          <w:lang w:val="fr-FR"/>
        </w:rPr>
      </w:pPr>
      <w:r>
        <w:rPr>
          <w:lang w:val="fr-FR"/>
        </w:rPr>
        <w:t>9.2.4</w:t>
      </w:r>
      <w:r>
        <w:rPr>
          <w:lang w:val="fr-FR"/>
        </w:rPr>
        <w:tab/>
      </w:r>
      <w:r>
        <w:t>Renuméroter</w:t>
      </w:r>
      <w:r w:rsidRPr="002E4447">
        <w:t xml:space="preserve"> 9.2.4.8 </w:t>
      </w:r>
      <w:r>
        <w:t>à</w:t>
      </w:r>
      <w:r w:rsidRPr="002E4447">
        <w:t xml:space="preserve"> 9.2.4.8.6 </w:t>
      </w:r>
      <w:r>
        <w:t>en tant que</w:t>
      </w:r>
      <w:r w:rsidRPr="002E4447">
        <w:t xml:space="preserve"> 9.2.5 </w:t>
      </w:r>
      <w:r>
        <w:t>à</w:t>
      </w:r>
      <w:r w:rsidRPr="002E4447">
        <w:t xml:space="preserve"> 9.2.5.6</w:t>
      </w:r>
      <w:r>
        <w:t>. Renuméroter</w:t>
      </w:r>
      <w:r w:rsidRPr="002E4447">
        <w:t xml:space="preserve"> </w:t>
      </w:r>
      <w:r>
        <w:t xml:space="preserve">la note de bas de page </w:t>
      </w:r>
      <w:r w:rsidRPr="00502618">
        <w:rPr>
          <w:vertAlign w:val="superscript"/>
        </w:rPr>
        <w:t>9</w:t>
      </w:r>
      <w:r>
        <w:t xml:space="preserve"> en tant que</w:t>
      </w:r>
      <w:r w:rsidRPr="00502618">
        <w:rPr>
          <w:vertAlign w:val="superscript"/>
        </w:rPr>
        <w:t xml:space="preserve"> 1</w:t>
      </w:r>
      <w:r>
        <w:rPr>
          <w:vertAlign w:val="superscript"/>
        </w:rPr>
        <w:t>1</w:t>
      </w:r>
      <w:r>
        <w:t>. Renuméroter</w:t>
      </w:r>
      <w:r w:rsidRPr="002E4447">
        <w:t xml:space="preserve"> </w:t>
      </w:r>
      <w:r w:rsidRPr="00DB0BF8">
        <w:t xml:space="preserve">9.2.5 </w:t>
      </w:r>
      <w:r>
        <w:t>et</w:t>
      </w:r>
      <w:r w:rsidRPr="00DB0BF8">
        <w:t xml:space="preserve"> 9.2.6 </w:t>
      </w:r>
      <w:r>
        <w:t>en tant que</w:t>
      </w:r>
      <w:r w:rsidRPr="00DB0BF8">
        <w:t xml:space="preserve"> 9.2.6 </w:t>
      </w:r>
      <w:r>
        <w:t>et</w:t>
      </w:r>
      <w:r w:rsidRPr="00DB0BF8">
        <w:t xml:space="preserve"> 9.2.7</w:t>
      </w:r>
      <w:r>
        <w:t>. Renuméroter</w:t>
      </w:r>
      <w:r w:rsidRPr="002E4447">
        <w:t xml:space="preserve"> </w:t>
      </w:r>
      <w:r>
        <w:t xml:space="preserve">la note de bas de page </w:t>
      </w:r>
      <w:r w:rsidRPr="00502618">
        <w:rPr>
          <w:vertAlign w:val="superscript"/>
        </w:rPr>
        <w:t>10</w:t>
      </w:r>
      <w:r>
        <w:t xml:space="preserve"> en tant que</w:t>
      </w:r>
      <w:r w:rsidRPr="00502618">
        <w:rPr>
          <w:vertAlign w:val="superscript"/>
        </w:rPr>
        <w:t xml:space="preserve"> 1</w:t>
      </w:r>
      <w:r>
        <w:rPr>
          <w:vertAlign w:val="superscript"/>
        </w:rPr>
        <w:t>2</w:t>
      </w:r>
      <w:r>
        <w:t>.</w:t>
      </w:r>
    </w:p>
    <w:p w14:paraId="08FFC365" w14:textId="77777777" w:rsidR="00AB693C" w:rsidRPr="00CE1821" w:rsidRDefault="00AB693C" w:rsidP="002D2480">
      <w:pPr>
        <w:pStyle w:val="SingleTxtG"/>
        <w:tabs>
          <w:tab w:val="clear" w:pos="1701"/>
        </w:tabs>
        <w:rPr>
          <w:i/>
          <w:iCs/>
          <w:lang w:val="fr-FR"/>
        </w:rPr>
      </w:pPr>
      <w:r w:rsidRPr="00CE1821">
        <w:rPr>
          <w:i/>
          <w:iCs/>
          <w:lang w:val="fr-FR"/>
        </w:rPr>
        <w:t>(Document de référence : ECE/TRANS/WP.15/2023/14, proposition</w:t>
      </w:r>
      <w:r>
        <w:rPr>
          <w:i/>
          <w:iCs/>
          <w:lang w:val="fr-FR"/>
        </w:rPr>
        <w:t>s 19 et 20, et amendements de conséquence</w:t>
      </w:r>
      <w:r w:rsidRPr="00CE1821">
        <w:rPr>
          <w:i/>
          <w:iCs/>
          <w:lang w:val="fr-FR"/>
        </w:rPr>
        <w:t>)</w:t>
      </w:r>
    </w:p>
    <w:p w14:paraId="56F7B2A3" w14:textId="77777777" w:rsidR="00AB693C" w:rsidRPr="00024C5E" w:rsidRDefault="00AB693C" w:rsidP="002D2480">
      <w:pPr>
        <w:pStyle w:val="SingleTxtG"/>
        <w:tabs>
          <w:tab w:val="clear" w:pos="1701"/>
        </w:tabs>
        <w:ind w:left="2268" w:hanging="1134"/>
        <w:rPr>
          <w:lang w:val="fr-FR"/>
        </w:rPr>
      </w:pPr>
      <w:r>
        <w:rPr>
          <w:lang w:val="fr-FR"/>
        </w:rPr>
        <w:t>9.2.4</w:t>
      </w:r>
      <w:r>
        <w:rPr>
          <w:lang w:val="fr-FR"/>
        </w:rPr>
        <w:tab/>
      </w:r>
      <w:r>
        <w:t>Renuméroter</w:t>
      </w:r>
      <w:r w:rsidRPr="002E4447">
        <w:t xml:space="preserve"> </w:t>
      </w:r>
      <w:r>
        <w:t>9.2.7 et 9.2.71 en tant que 9.2.8 et 9.2.8.1. [Après « </w:t>
      </w:r>
      <w:r w:rsidRPr="00081128">
        <w:t>GNL</w:t>
      </w:r>
      <w:r>
        <w:t> », ajouter « </w:t>
      </w:r>
      <w:r w:rsidRPr="00081128">
        <w:t>et à l’hydrogène liquide</w:t>
      </w:r>
      <w:r>
        <w:t> ».]</w:t>
      </w:r>
    </w:p>
    <w:p w14:paraId="778CF2D9" w14:textId="77777777" w:rsidR="00AB693C" w:rsidRPr="00CE1821" w:rsidRDefault="00AB693C" w:rsidP="00AB693C">
      <w:pPr>
        <w:pStyle w:val="SingleTxtG"/>
        <w:rPr>
          <w:i/>
          <w:iCs/>
          <w:lang w:val="fr-FR"/>
        </w:rPr>
      </w:pPr>
      <w:r w:rsidRPr="00CE1821">
        <w:rPr>
          <w:i/>
          <w:iCs/>
          <w:lang w:val="fr-FR"/>
        </w:rPr>
        <w:t>(Document de référence : ECE/TRANS/WP.15/2023/14, proposition</w:t>
      </w:r>
      <w:r>
        <w:rPr>
          <w:i/>
          <w:iCs/>
          <w:lang w:val="fr-FR"/>
        </w:rPr>
        <w:t xml:space="preserve"> 21, telle que modifiée</w:t>
      </w:r>
      <w:r w:rsidRPr="00CE1821">
        <w:rPr>
          <w:i/>
          <w:iCs/>
          <w:lang w:val="fr-FR"/>
        </w:rPr>
        <w:t>)</w:t>
      </w:r>
    </w:p>
    <w:p w14:paraId="43289205" w14:textId="77777777" w:rsidR="00822F7C" w:rsidRDefault="00822F7C">
      <w:pPr>
        <w:rPr>
          <w:b/>
          <w:sz w:val="28"/>
          <w:lang w:val="fr-FR"/>
        </w:rPr>
      </w:pPr>
      <w:r>
        <w:rPr>
          <w:lang w:val="fr-FR"/>
        </w:rPr>
        <w:br w:type="page"/>
      </w:r>
    </w:p>
    <w:p w14:paraId="6F752CB3" w14:textId="62752565" w:rsidR="000837F5" w:rsidRDefault="000D10E8" w:rsidP="00AB693C">
      <w:pPr>
        <w:pStyle w:val="HChG"/>
        <w:rPr>
          <w:lang w:val="fr-FR"/>
        </w:rPr>
      </w:pPr>
      <w:r>
        <w:rPr>
          <w:lang w:val="fr-FR"/>
        </w:rPr>
        <w:lastRenderedPageBreak/>
        <w:t>Annexe </w:t>
      </w:r>
      <w:r w:rsidR="00DE5309">
        <w:rPr>
          <w:lang w:val="fr-FR"/>
        </w:rPr>
        <w:t>IV</w:t>
      </w:r>
    </w:p>
    <w:p w14:paraId="37811465" w14:textId="5950EC33" w:rsidR="00AB693C" w:rsidRDefault="006B0DDF" w:rsidP="00AB693C">
      <w:pPr>
        <w:pStyle w:val="HChG"/>
      </w:pPr>
      <w:r>
        <w:rPr>
          <w:lang w:val="fr-FR"/>
        </w:rPr>
        <w:tab/>
      </w:r>
      <w:r w:rsidR="00AB693C">
        <w:rPr>
          <w:lang w:val="fr-FR"/>
        </w:rPr>
        <w:tab/>
      </w:r>
      <w:r w:rsidR="00AB693C" w:rsidRPr="00840F7A">
        <w:rPr>
          <w:lang w:val="fr-FR"/>
        </w:rPr>
        <w:t>Corrections</w:t>
      </w:r>
      <w:r w:rsidR="00AB693C">
        <w:t xml:space="preserve"> à la version anglaise de l’ADR 2023</w:t>
      </w:r>
    </w:p>
    <w:p w14:paraId="6DF8258E" w14:textId="77777777" w:rsidR="00AB693C" w:rsidRDefault="00AB693C" w:rsidP="00AB693C">
      <w:pPr>
        <w:pStyle w:val="SingleTxtG"/>
        <w:ind w:left="2268" w:hanging="1134"/>
      </w:pPr>
      <w:r>
        <w:t>Les corrections s’appliquent à la version anglaise uniquement.</w:t>
      </w:r>
    </w:p>
    <w:p w14:paraId="0B034C36" w14:textId="77777777" w:rsidR="00AB693C" w:rsidRPr="009557D3" w:rsidRDefault="00AB693C" w:rsidP="00AB693C">
      <w:pPr>
        <w:spacing w:before="240"/>
        <w:jc w:val="center"/>
        <w:rPr>
          <w:u w:val="single"/>
        </w:rPr>
      </w:pPr>
      <w:r>
        <w:rPr>
          <w:u w:val="single"/>
        </w:rPr>
        <w:tab/>
      </w:r>
      <w:r>
        <w:rPr>
          <w:u w:val="single"/>
        </w:rPr>
        <w:tab/>
      </w:r>
      <w:r>
        <w:rPr>
          <w:u w:val="single"/>
        </w:rPr>
        <w:tab/>
      </w:r>
    </w:p>
    <w:p w14:paraId="201F0B2D" w14:textId="77777777" w:rsidR="001076DF" w:rsidRDefault="001076DF" w:rsidP="001076DF">
      <w:pPr>
        <w:spacing w:after="120"/>
        <w:ind w:left="1134" w:right="1134"/>
        <w:jc w:val="both"/>
        <w:rPr>
          <w:lang w:val="fr-FR"/>
        </w:rPr>
      </w:pPr>
    </w:p>
    <w:p w14:paraId="6BE3DA21" w14:textId="77777777" w:rsidR="00D37808" w:rsidRDefault="00D37808"/>
    <w:sectPr w:rsidR="00D37808" w:rsidSect="00173F98">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9BCF" w14:textId="77777777" w:rsidR="00E946B3" w:rsidRDefault="00E946B3" w:rsidP="00F95C08">
      <w:pPr>
        <w:spacing w:line="240" w:lineRule="auto"/>
      </w:pPr>
    </w:p>
  </w:endnote>
  <w:endnote w:type="continuationSeparator" w:id="0">
    <w:p w14:paraId="1F9A9DBC" w14:textId="77777777" w:rsidR="00E946B3" w:rsidRPr="00AC3823" w:rsidRDefault="00E946B3" w:rsidP="00AC3823">
      <w:pPr>
        <w:pStyle w:val="Pieddepage"/>
      </w:pPr>
    </w:p>
  </w:endnote>
  <w:endnote w:type="continuationNotice" w:id="1">
    <w:p w14:paraId="285C8CB3" w14:textId="77777777" w:rsidR="00E946B3" w:rsidRDefault="00E946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CE0" w14:textId="77777777" w:rsidR="00173F98" w:rsidRPr="00173F98" w:rsidRDefault="00173F98" w:rsidP="00173F98">
    <w:pPr>
      <w:pStyle w:val="Pieddepage"/>
      <w:tabs>
        <w:tab w:val="right" w:pos="9638"/>
      </w:tabs>
      <w:rPr>
        <w:sz w:val="18"/>
      </w:rPr>
    </w:pPr>
    <w:r w:rsidRPr="00173F98">
      <w:rPr>
        <w:b/>
        <w:sz w:val="18"/>
      </w:rPr>
      <w:fldChar w:fldCharType="begin"/>
    </w:r>
    <w:r w:rsidRPr="00173F98">
      <w:rPr>
        <w:b/>
        <w:sz w:val="18"/>
      </w:rPr>
      <w:instrText xml:space="preserve"> PAGE  \* MERGEFORMAT </w:instrText>
    </w:r>
    <w:r w:rsidRPr="00173F98">
      <w:rPr>
        <w:b/>
        <w:sz w:val="18"/>
      </w:rPr>
      <w:fldChar w:fldCharType="separate"/>
    </w:r>
    <w:r w:rsidRPr="00173F98">
      <w:rPr>
        <w:b/>
        <w:noProof/>
        <w:sz w:val="18"/>
      </w:rPr>
      <w:t>2</w:t>
    </w:r>
    <w:r w:rsidRPr="00173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CC1C" w14:textId="77777777" w:rsidR="00173F98" w:rsidRPr="00173F98" w:rsidRDefault="00173F98" w:rsidP="00173F98">
    <w:pPr>
      <w:pStyle w:val="Pieddepage"/>
      <w:tabs>
        <w:tab w:val="right" w:pos="9638"/>
      </w:tabs>
      <w:rPr>
        <w:b/>
        <w:sz w:val="18"/>
      </w:rPr>
    </w:pPr>
    <w:r>
      <w:tab/>
    </w:r>
    <w:r w:rsidRPr="00173F98">
      <w:rPr>
        <w:b/>
        <w:sz w:val="18"/>
      </w:rPr>
      <w:fldChar w:fldCharType="begin"/>
    </w:r>
    <w:r w:rsidRPr="00173F98">
      <w:rPr>
        <w:b/>
        <w:sz w:val="18"/>
      </w:rPr>
      <w:instrText xml:space="preserve"> PAGE  \* MERGEFORMAT </w:instrText>
    </w:r>
    <w:r w:rsidRPr="00173F98">
      <w:rPr>
        <w:b/>
        <w:sz w:val="18"/>
      </w:rPr>
      <w:fldChar w:fldCharType="separate"/>
    </w:r>
    <w:r w:rsidRPr="00173F98">
      <w:rPr>
        <w:b/>
        <w:noProof/>
        <w:sz w:val="18"/>
      </w:rPr>
      <w:t>3</w:t>
    </w:r>
    <w:r w:rsidRPr="00173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2C3F" w14:textId="06AAB6FA" w:rsidR="000D3EE9" w:rsidRPr="00E745EC" w:rsidRDefault="00E745EC" w:rsidP="00E745EC">
    <w:pPr>
      <w:pStyle w:val="Pieddepage"/>
      <w:tabs>
        <w:tab w:val="left" w:pos="6520"/>
        <w:tab w:val="right" w:pos="9638"/>
      </w:tabs>
      <w:spacing w:before="120"/>
      <w:rPr>
        <w:sz w:val="20"/>
      </w:rPr>
    </w:pPr>
    <w:r>
      <w:rPr>
        <w:sz w:val="20"/>
      </w:rPr>
      <w:t>GE.23-22993  (F)</w:t>
    </w:r>
    <w:bookmarkStart w:id="9" w:name="_GoBack"/>
    <w:bookmarkEnd w:id="9"/>
    <w:r>
      <w:rPr>
        <w:sz w:val="20"/>
      </w:rPr>
      <w:tab/>
    </w:r>
    <w:r w:rsidRPr="00E745EC">
      <w:rPr>
        <w:noProof/>
        <w:sz w:val="20"/>
        <w:lang w:eastAsia="fr-CH"/>
      </w:rPr>
      <w:drawing>
        <wp:inline distT="0" distB="0" distL="0" distR="0" wp14:anchorId="3B253085" wp14:editId="1CC32C8C">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BB54E39" wp14:editId="02132F69">
          <wp:extent cx="561975" cy="561975"/>
          <wp:effectExtent l="0" t="0" r="9525" b="9525"/>
          <wp:docPr id="10881386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ED2" w14:textId="77777777" w:rsidR="00E946B3" w:rsidRPr="00AC3823" w:rsidRDefault="00E946B3" w:rsidP="00AC3823">
      <w:pPr>
        <w:pStyle w:val="Pieddepage"/>
        <w:tabs>
          <w:tab w:val="right" w:pos="2155"/>
        </w:tabs>
        <w:spacing w:after="80" w:line="240" w:lineRule="atLeast"/>
        <w:ind w:left="680"/>
        <w:rPr>
          <w:u w:val="single"/>
        </w:rPr>
      </w:pPr>
      <w:r>
        <w:rPr>
          <w:u w:val="single"/>
        </w:rPr>
        <w:tab/>
      </w:r>
    </w:p>
  </w:footnote>
  <w:footnote w:type="continuationSeparator" w:id="0">
    <w:p w14:paraId="3EB98FD1" w14:textId="77777777" w:rsidR="00E946B3" w:rsidRPr="00AC3823" w:rsidRDefault="00E946B3" w:rsidP="00AC3823">
      <w:pPr>
        <w:pStyle w:val="Pieddepage"/>
        <w:tabs>
          <w:tab w:val="right" w:pos="2155"/>
        </w:tabs>
        <w:spacing w:after="80" w:line="240" w:lineRule="atLeast"/>
        <w:ind w:left="680"/>
        <w:rPr>
          <w:u w:val="single"/>
        </w:rPr>
      </w:pPr>
      <w:r>
        <w:rPr>
          <w:u w:val="single"/>
        </w:rPr>
        <w:tab/>
      </w:r>
    </w:p>
  </w:footnote>
  <w:footnote w:type="continuationNotice" w:id="1">
    <w:p w14:paraId="758ED162" w14:textId="77777777" w:rsidR="00E946B3" w:rsidRPr="00AC3823" w:rsidRDefault="00E946B3">
      <w:pPr>
        <w:spacing w:line="240" w:lineRule="auto"/>
        <w:rPr>
          <w:sz w:val="2"/>
          <w:szCs w:val="2"/>
        </w:rPr>
      </w:pPr>
    </w:p>
  </w:footnote>
  <w:footnote w:id="2">
    <w:p w14:paraId="3AB09ABC" w14:textId="77777777" w:rsidR="003E4B17" w:rsidRDefault="003E4B17" w:rsidP="003E4B17">
      <w:pPr>
        <w:pStyle w:val="Notedebasdepage"/>
        <w:widowControl w:val="0"/>
        <w:tabs>
          <w:tab w:val="clear" w:pos="1021"/>
          <w:tab w:val="right" w:pos="1020"/>
        </w:tabs>
        <w:suppressAutoHyphens/>
      </w:pPr>
      <w:r>
        <w:tab/>
      </w:r>
      <w:r>
        <w:rPr>
          <w:rStyle w:val="Appelnotedebasdep"/>
        </w:rPr>
        <w:footnoteRef/>
      </w:r>
      <w:r>
        <w:tab/>
        <w:t xml:space="preserve">Voir </w:t>
      </w:r>
      <w:hyperlink r:id="rId1" w:history="1">
        <w:r w:rsidRPr="00E7767F">
          <w:rPr>
            <w:rStyle w:val="Lienhypertexte"/>
          </w:rPr>
          <w:t>https://www.icao.int/safety/UA/Pages/ICAO-Model-UAS-Regulations.aspx</w:t>
        </w:r>
      </w:hyperlink>
      <w:r>
        <w:t xml:space="preserve"> et </w:t>
      </w:r>
      <w:hyperlink r:id="rId2" w:history="1">
        <w:r w:rsidRPr="00E7767F">
          <w:rPr>
            <w:rStyle w:val="Lienhypertexte"/>
          </w:rPr>
          <w:t>https://www.icao.int/safety/UA/UAID/Documents/Advisory%20Circular%20102-37.pdf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C832" w14:textId="77777777" w:rsidR="00173F98" w:rsidRPr="00173F98" w:rsidRDefault="00015BE4">
    <w:pPr>
      <w:pStyle w:val="En-tte"/>
    </w:pPr>
    <w:fldSimple w:instr=" TITLE  \* MERGEFORMAT ">
      <w:r w:rsidR="00173F98">
        <w:t>ECE/TRANS/WP.15/264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1C4D" w14:textId="77777777" w:rsidR="00173F98" w:rsidRPr="00173F98" w:rsidRDefault="00015BE4" w:rsidP="00173F98">
    <w:pPr>
      <w:pStyle w:val="En-tte"/>
      <w:jc w:val="right"/>
    </w:pPr>
    <w:fldSimple w:instr=" TITLE  \* MERGEFORMAT ">
      <w:r w:rsidR="00173F98">
        <w:t>ECE/TRANS/WP.15/264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97342833">
    <w:abstractNumId w:val="12"/>
  </w:num>
  <w:num w:numId="2" w16cid:durableId="1884512675">
    <w:abstractNumId w:val="11"/>
  </w:num>
  <w:num w:numId="3" w16cid:durableId="716902381">
    <w:abstractNumId w:val="10"/>
  </w:num>
  <w:num w:numId="4" w16cid:durableId="204291157">
    <w:abstractNumId w:val="8"/>
  </w:num>
  <w:num w:numId="5" w16cid:durableId="1195999024">
    <w:abstractNumId w:val="3"/>
  </w:num>
  <w:num w:numId="6" w16cid:durableId="445781300">
    <w:abstractNumId w:val="2"/>
  </w:num>
  <w:num w:numId="7" w16cid:durableId="415785773">
    <w:abstractNumId w:val="1"/>
  </w:num>
  <w:num w:numId="8" w16cid:durableId="67118441">
    <w:abstractNumId w:val="0"/>
  </w:num>
  <w:num w:numId="9" w16cid:durableId="1729262949">
    <w:abstractNumId w:val="9"/>
  </w:num>
  <w:num w:numId="10" w16cid:durableId="1581255040">
    <w:abstractNumId w:val="7"/>
  </w:num>
  <w:num w:numId="11" w16cid:durableId="110904071">
    <w:abstractNumId w:val="6"/>
  </w:num>
  <w:num w:numId="12" w16cid:durableId="1943029875">
    <w:abstractNumId w:val="5"/>
  </w:num>
  <w:num w:numId="13" w16cid:durableId="1262570917">
    <w:abstractNumId w:val="4"/>
  </w:num>
  <w:num w:numId="14" w16cid:durableId="470947042">
    <w:abstractNumId w:val="12"/>
  </w:num>
  <w:num w:numId="15" w16cid:durableId="1898783967">
    <w:abstractNumId w:val="12"/>
  </w:num>
  <w:num w:numId="16" w16cid:durableId="194586916">
    <w:abstractNumId w:val="12"/>
  </w:num>
  <w:num w:numId="17" w16cid:durableId="849756419">
    <w:abstractNumId w:val="12"/>
  </w:num>
  <w:num w:numId="18" w16cid:durableId="2118282851">
    <w:abstractNumId w:val="12"/>
  </w:num>
  <w:num w:numId="19" w16cid:durableId="1111818552">
    <w:abstractNumId w:val="12"/>
  </w:num>
  <w:num w:numId="20" w16cid:durableId="15247851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73F98"/>
    <w:rsid w:val="0001207F"/>
    <w:rsid w:val="00013C5A"/>
    <w:rsid w:val="00015BE4"/>
    <w:rsid w:val="000167A7"/>
    <w:rsid w:val="00017F94"/>
    <w:rsid w:val="00021735"/>
    <w:rsid w:val="00023842"/>
    <w:rsid w:val="000334F9"/>
    <w:rsid w:val="0004639C"/>
    <w:rsid w:val="0007796D"/>
    <w:rsid w:val="00080B3C"/>
    <w:rsid w:val="000837F5"/>
    <w:rsid w:val="0009192E"/>
    <w:rsid w:val="000942EE"/>
    <w:rsid w:val="000A52BF"/>
    <w:rsid w:val="000A6D51"/>
    <w:rsid w:val="000B5B50"/>
    <w:rsid w:val="000B7790"/>
    <w:rsid w:val="000C508D"/>
    <w:rsid w:val="000C50D3"/>
    <w:rsid w:val="000D10E8"/>
    <w:rsid w:val="000D3EE9"/>
    <w:rsid w:val="000D62F3"/>
    <w:rsid w:val="000E367C"/>
    <w:rsid w:val="000F7CF5"/>
    <w:rsid w:val="00102C88"/>
    <w:rsid w:val="001076DF"/>
    <w:rsid w:val="00111F2F"/>
    <w:rsid w:val="001422A3"/>
    <w:rsid w:val="00142FAB"/>
    <w:rsid w:val="001433FD"/>
    <w:rsid w:val="0014365E"/>
    <w:rsid w:val="001455A1"/>
    <w:rsid w:val="001541D3"/>
    <w:rsid w:val="00156B77"/>
    <w:rsid w:val="00173F98"/>
    <w:rsid w:val="00176178"/>
    <w:rsid w:val="00177140"/>
    <w:rsid w:val="00182E63"/>
    <w:rsid w:val="001A6935"/>
    <w:rsid w:val="001C1C48"/>
    <w:rsid w:val="001D400F"/>
    <w:rsid w:val="001D4D71"/>
    <w:rsid w:val="001E55E7"/>
    <w:rsid w:val="001F525A"/>
    <w:rsid w:val="00223272"/>
    <w:rsid w:val="00240333"/>
    <w:rsid w:val="0024668D"/>
    <w:rsid w:val="0024779E"/>
    <w:rsid w:val="00256791"/>
    <w:rsid w:val="00275339"/>
    <w:rsid w:val="002832AC"/>
    <w:rsid w:val="002914D7"/>
    <w:rsid w:val="00294E1B"/>
    <w:rsid w:val="002D2480"/>
    <w:rsid w:val="002D370B"/>
    <w:rsid w:val="002D47AB"/>
    <w:rsid w:val="002D7C93"/>
    <w:rsid w:val="002E35AD"/>
    <w:rsid w:val="002F03CE"/>
    <w:rsid w:val="002F3BA4"/>
    <w:rsid w:val="002F5436"/>
    <w:rsid w:val="003103C0"/>
    <w:rsid w:val="00310663"/>
    <w:rsid w:val="00315FA6"/>
    <w:rsid w:val="00324699"/>
    <w:rsid w:val="0034150A"/>
    <w:rsid w:val="00355211"/>
    <w:rsid w:val="0037241C"/>
    <w:rsid w:val="00372EF8"/>
    <w:rsid w:val="003819FF"/>
    <w:rsid w:val="003834F3"/>
    <w:rsid w:val="003B16AA"/>
    <w:rsid w:val="003C4A7C"/>
    <w:rsid w:val="003E4B17"/>
    <w:rsid w:val="00434904"/>
    <w:rsid w:val="00437B65"/>
    <w:rsid w:val="00441C3B"/>
    <w:rsid w:val="00441E1B"/>
    <w:rsid w:val="00446B0A"/>
    <w:rsid w:val="00446D79"/>
    <w:rsid w:val="00446FE5"/>
    <w:rsid w:val="00452396"/>
    <w:rsid w:val="00471288"/>
    <w:rsid w:val="0049687C"/>
    <w:rsid w:val="004B07B2"/>
    <w:rsid w:val="004E468C"/>
    <w:rsid w:val="004F2609"/>
    <w:rsid w:val="005205ED"/>
    <w:rsid w:val="00522C8C"/>
    <w:rsid w:val="005243AA"/>
    <w:rsid w:val="005316B0"/>
    <w:rsid w:val="0054255E"/>
    <w:rsid w:val="00547C75"/>
    <w:rsid w:val="005505B7"/>
    <w:rsid w:val="005633D2"/>
    <w:rsid w:val="00573BE5"/>
    <w:rsid w:val="00586ED3"/>
    <w:rsid w:val="00596AA9"/>
    <w:rsid w:val="00596F9C"/>
    <w:rsid w:val="005B0636"/>
    <w:rsid w:val="005B0B8A"/>
    <w:rsid w:val="005B29A5"/>
    <w:rsid w:val="005B3656"/>
    <w:rsid w:val="005B4D0F"/>
    <w:rsid w:val="005C5B5D"/>
    <w:rsid w:val="005C6FF1"/>
    <w:rsid w:val="005D7EAA"/>
    <w:rsid w:val="00621772"/>
    <w:rsid w:val="00680FFE"/>
    <w:rsid w:val="006B0DDF"/>
    <w:rsid w:val="006B2FDB"/>
    <w:rsid w:val="006C1BF2"/>
    <w:rsid w:val="006E2B41"/>
    <w:rsid w:val="006F5ACC"/>
    <w:rsid w:val="00701153"/>
    <w:rsid w:val="00703D0F"/>
    <w:rsid w:val="00706363"/>
    <w:rsid w:val="007158BB"/>
    <w:rsid w:val="0071601D"/>
    <w:rsid w:val="00720479"/>
    <w:rsid w:val="00734DD2"/>
    <w:rsid w:val="0075410D"/>
    <w:rsid w:val="007635F1"/>
    <w:rsid w:val="007668D0"/>
    <w:rsid w:val="0078088F"/>
    <w:rsid w:val="007847A4"/>
    <w:rsid w:val="007A53C9"/>
    <w:rsid w:val="007A53F1"/>
    <w:rsid w:val="007A62E6"/>
    <w:rsid w:val="007C4186"/>
    <w:rsid w:val="007D134A"/>
    <w:rsid w:val="007D1F43"/>
    <w:rsid w:val="007F600E"/>
    <w:rsid w:val="0080684C"/>
    <w:rsid w:val="008204DA"/>
    <w:rsid w:val="00822389"/>
    <w:rsid w:val="00822F7C"/>
    <w:rsid w:val="00825C1D"/>
    <w:rsid w:val="00827ABF"/>
    <w:rsid w:val="008331DA"/>
    <w:rsid w:val="00836792"/>
    <w:rsid w:val="008535AD"/>
    <w:rsid w:val="008620CE"/>
    <w:rsid w:val="00864ACC"/>
    <w:rsid w:val="00871C75"/>
    <w:rsid w:val="008767E8"/>
    <w:rsid w:val="008776DC"/>
    <w:rsid w:val="00883605"/>
    <w:rsid w:val="00883C97"/>
    <w:rsid w:val="008E152F"/>
    <w:rsid w:val="008E6043"/>
    <w:rsid w:val="00902FAD"/>
    <w:rsid w:val="00916F3C"/>
    <w:rsid w:val="009320C2"/>
    <w:rsid w:val="009329F1"/>
    <w:rsid w:val="00946B89"/>
    <w:rsid w:val="00951D9B"/>
    <w:rsid w:val="00961E7B"/>
    <w:rsid w:val="009705C8"/>
    <w:rsid w:val="009C1CF4"/>
    <w:rsid w:val="009D1BFB"/>
    <w:rsid w:val="009F02C9"/>
    <w:rsid w:val="00A026FE"/>
    <w:rsid w:val="00A06805"/>
    <w:rsid w:val="00A26BEF"/>
    <w:rsid w:val="00A30353"/>
    <w:rsid w:val="00A31B1E"/>
    <w:rsid w:val="00A46CC9"/>
    <w:rsid w:val="00A5159F"/>
    <w:rsid w:val="00A6123D"/>
    <w:rsid w:val="00A62D91"/>
    <w:rsid w:val="00A6551A"/>
    <w:rsid w:val="00A76F6B"/>
    <w:rsid w:val="00A802F3"/>
    <w:rsid w:val="00A86620"/>
    <w:rsid w:val="00A90D54"/>
    <w:rsid w:val="00A96EEF"/>
    <w:rsid w:val="00AA113A"/>
    <w:rsid w:val="00AA25DC"/>
    <w:rsid w:val="00AA420F"/>
    <w:rsid w:val="00AB693C"/>
    <w:rsid w:val="00AC3823"/>
    <w:rsid w:val="00AC5F51"/>
    <w:rsid w:val="00AC6D09"/>
    <w:rsid w:val="00AD7048"/>
    <w:rsid w:val="00AE323C"/>
    <w:rsid w:val="00AF774C"/>
    <w:rsid w:val="00B00181"/>
    <w:rsid w:val="00B00B0D"/>
    <w:rsid w:val="00B247C1"/>
    <w:rsid w:val="00B30726"/>
    <w:rsid w:val="00B40927"/>
    <w:rsid w:val="00B42B82"/>
    <w:rsid w:val="00B50E25"/>
    <w:rsid w:val="00B61CCC"/>
    <w:rsid w:val="00B64918"/>
    <w:rsid w:val="00B70195"/>
    <w:rsid w:val="00B72CF1"/>
    <w:rsid w:val="00B7421C"/>
    <w:rsid w:val="00B765F7"/>
    <w:rsid w:val="00B91DF6"/>
    <w:rsid w:val="00BA0CA9"/>
    <w:rsid w:val="00BB7436"/>
    <w:rsid w:val="00BC1192"/>
    <w:rsid w:val="00BC798C"/>
    <w:rsid w:val="00BF1687"/>
    <w:rsid w:val="00C02897"/>
    <w:rsid w:val="00C04436"/>
    <w:rsid w:val="00C10C53"/>
    <w:rsid w:val="00C1626B"/>
    <w:rsid w:val="00C51392"/>
    <w:rsid w:val="00C5657B"/>
    <w:rsid w:val="00C66A47"/>
    <w:rsid w:val="00C746AC"/>
    <w:rsid w:val="00C7616F"/>
    <w:rsid w:val="00C80937"/>
    <w:rsid w:val="00CB16B5"/>
    <w:rsid w:val="00CC07F0"/>
    <w:rsid w:val="00CD2B5A"/>
    <w:rsid w:val="00CE0608"/>
    <w:rsid w:val="00CF033B"/>
    <w:rsid w:val="00D27E20"/>
    <w:rsid w:val="00D3439C"/>
    <w:rsid w:val="00D37808"/>
    <w:rsid w:val="00D43008"/>
    <w:rsid w:val="00D44CF3"/>
    <w:rsid w:val="00D46C8C"/>
    <w:rsid w:val="00D82C97"/>
    <w:rsid w:val="00D93341"/>
    <w:rsid w:val="00DA388A"/>
    <w:rsid w:val="00DA68CA"/>
    <w:rsid w:val="00DB1831"/>
    <w:rsid w:val="00DB6DE9"/>
    <w:rsid w:val="00DB7E1B"/>
    <w:rsid w:val="00DD3BFD"/>
    <w:rsid w:val="00DE1B17"/>
    <w:rsid w:val="00DE239D"/>
    <w:rsid w:val="00DE5309"/>
    <w:rsid w:val="00DF431C"/>
    <w:rsid w:val="00DF6678"/>
    <w:rsid w:val="00E23880"/>
    <w:rsid w:val="00E368F7"/>
    <w:rsid w:val="00E428C8"/>
    <w:rsid w:val="00E677A4"/>
    <w:rsid w:val="00E745EC"/>
    <w:rsid w:val="00E946B3"/>
    <w:rsid w:val="00EB1E1A"/>
    <w:rsid w:val="00EB4B07"/>
    <w:rsid w:val="00EC031B"/>
    <w:rsid w:val="00EC08BF"/>
    <w:rsid w:val="00EF2E22"/>
    <w:rsid w:val="00F0592C"/>
    <w:rsid w:val="00F06ED4"/>
    <w:rsid w:val="00F078F5"/>
    <w:rsid w:val="00F151A1"/>
    <w:rsid w:val="00F25DC5"/>
    <w:rsid w:val="00F43289"/>
    <w:rsid w:val="00F4586C"/>
    <w:rsid w:val="00F52A86"/>
    <w:rsid w:val="00F6095B"/>
    <w:rsid w:val="00F660DF"/>
    <w:rsid w:val="00F94515"/>
    <w:rsid w:val="00F95C08"/>
    <w:rsid w:val="00FB11F0"/>
    <w:rsid w:val="00FB3971"/>
    <w:rsid w:val="00FB58BF"/>
    <w:rsid w:val="00FC72C5"/>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72C8"/>
  <w15:docId w15:val="{03E4A869-8A18-46F6-8066-D831A4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styleId="Marquedecommentaire">
    <w:name w:val="annotation reference"/>
    <w:basedOn w:val="Policepardfaut"/>
    <w:uiPriority w:val="99"/>
    <w:semiHidden/>
    <w:unhideWhenUsed/>
    <w:rsid w:val="007F600E"/>
    <w:rPr>
      <w:sz w:val="16"/>
      <w:szCs w:val="16"/>
    </w:rPr>
  </w:style>
  <w:style w:type="paragraph" w:styleId="Commentaire">
    <w:name w:val="annotation text"/>
    <w:basedOn w:val="Normal"/>
    <w:link w:val="CommentaireCar"/>
    <w:uiPriority w:val="99"/>
    <w:unhideWhenUsed/>
    <w:rsid w:val="007F600E"/>
    <w:pPr>
      <w:spacing w:line="240" w:lineRule="auto"/>
    </w:pPr>
  </w:style>
  <w:style w:type="character" w:customStyle="1" w:styleId="CommentaireCar">
    <w:name w:val="Commentaire Car"/>
    <w:basedOn w:val="Policepardfaut"/>
    <w:link w:val="Commentaire"/>
    <w:uiPriority w:val="99"/>
    <w:rsid w:val="007F600E"/>
  </w:style>
  <w:style w:type="paragraph" w:styleId="Objetducommentaire">
    <w:name w:val="annotation subject"/>
    <w:basedOn w:val="Commentaire"/>
    <w:next w:val="Commentaire"/>
    <w:link w:val="ObjetducommentaireCar"/>
    <w:uiPriority w:val="99"/>
    <w:semiHidden/>
    <w:unhideWhenUsed/>
    <w:rsid w:val="007F600E"/>
    <w:rPr>
      <w:b/>
      <w:bCs/>
    </w:rPr>
  </w:style>
  <w:style w:type="character" w:customStyle="1" w:styleId="ObjetducommentaireCar">
    <w:name w:val="Objet du commentaire Car"/>
    <w:basedOn w:val="CommentaireCar"/>
    <w:link w:val="Objetducommentaire"/>
    <w:uiPriority w:val="99"/>
    <w:semiHidden/>
    <w:rsid w:val="007F600E"/>
    <w:rPr>
      <w:b/>
      <w:bCs/>
    </w:rPr>
  </w:style>
  <w:style w:type="character" w:customStyle="1" w:styleId="H1GChar">
    <w:name w:val="_ H_1_G Char"/>
    <w:link w:val="H1G"/>
    <w:qFormat/>
    <w:rsid w:val="00D37808"/>
    <w:rPr>
      <w:b/>
      <w:sz w:val="24"/>
    </w:rPr>
  </w:style>
  <w:style w:type="character" w:customStyle="1" w:styleId="H23GChar">
    <w:name w:val="_ H_2/3_G Char"/>
    <w:link w:val="H23G"/>
    <w:rsid w:val="000167A7"/>
    <w:rPr>
      <w:b/>
    </w:rPr>
  </w:style>
  <w:style w:type="character" w:customStyle="1" w:styleId="preferred">
    <w:name w:val="preferred"/>
    <w:basedOn w:val="Policepardfaut"/>
    <w:rsid w:val="00AB693C"/>
  </w:style>
  <w:style w:type="paragraph" w:styleId="Rvision">
    <w:name w:val="Revision"/>
    <w:hidden/>
    <w:uiPriority w:val="99"/>
    <w:semiHidden/>
    <w:rsid w:val="00AB69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ao.int/safety/UA/UAID/Documents/Advisory%20Circular%20102-37.pdf" TargetMode="External"/><Relationship Id="rId1" Type="http://schemas.openxmlformats.org/officeDocument/2006/relationships/hyperlink" Target="https://www.icao.int/safety/UA/Pages/ICAO-Model-UAS-Regul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6E0CDB8A-AE7F-45B1-8063-A16409A9989B}"/>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TRANS_WP1_24_F.dotm</Template>
  <TotalTime>1</TotalTime>
  <Pages>25</Pages>
  <Words>9283</Words>
  <Characters>50873</Characters>
  <Application>Microsoft Office Word</Application>
  <DocSecurity>0</DocSecurity>
  <Lines>1017</Lines>
  <Paragraphs>572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ECE/TRANS/WP.15/264</dc:title>
  <dc:subject>FINAL</dc:subject>
  <dc:creator>Alicia DORCA-GARCIA</dc:creator>
  <cp:keywords/>
  <dc:description/>
  <cp:lastModifiedBy>Marie Deschamps</cp:lastModifiedBy>
  <cp:revision>2</cp:revision>
  <cp:lastPrinted>2014-05-14T10:59:00Z</cp:lastPrinted>
  <dcterms:created xsi:type="dcterms:W3CDTF">2023-11-22T15:40:00Z</dcterms:created>
  <dcterms:modified xsi:type="dcterms:W3CDTF">2023-11-22T15:40:00Z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