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10041" w:type="dxa"/>
        <w:tblLayout w:type="fixed"/>
        <w:tblCellMar>
          <w:left w:w="0" w:type="dxa"/>
          <w:right w:w="0" w:type="dxa"/>
        </w:tblCellMar>
        <w:tblLook w:val="01E0" w:firstRow="1" w:lastRow="1" w:firstColumn="1" w:lastColumn="1" w:noHBand="0" w:noVBand="0"/>
      </w:tblPr>
      <w:tblGrid>
        <w:gridCol w:w="10041"/>
      </w:tblGrid>
      <w:tr w:rsidR="000C2B80" w:rsidRPr="00A92B1E" w14:paraId="5FFE8A5C" w14:textId="77777777" w:rsidTr="007F306C">
        <w:trPr>
          <w:cantSplit/>
          <w:trHeight w:hRule="exact" w:val="775"/>
        </w:trPr>
        <w:tc>
          <w:tcPr>
            <w:tcW w:w="10041" w:type="dxa"/>
            <w:tcBorders>
              <w:bottom w:val="single" w:sz="4" w:space="0" w:color="auto"/>
            </w:tcBorders>
            <w:vAlign w:val="bottom"/>
          </w:tcPr>
          <w:p w14:paraId="146774F5" w14:textId="307908F6" w:rsidR="000C2B80" w:rsidRPr="00A92B1E" w:rsidRDefault="000C2B80" w:rsidP="000C2B80">
            <w:pPr>
              <w:ind w:firstLine="284"/>
              <w:jc w:val="right"/>
              <w:rPr>
                <w:color w:val="000000"/>
                <w:spacing w:val="-3"/>
              </w:rPr>
            </w:pPr>
            <w:r w:rsidRPr="00A92B1E">
              <w:rPr>
                <w:b/>
                <w:color w:val="000000"/>
                <w:spacing w:val="-3"/>
                <w:sz w:val="40"/>
                <w:szCs w:val="40"/>
              </w:rPr>
              <w:t>INF.</w:t>
            </w:r>
            <w:r w:rsidR="001E2993">
              <w:rPr>
                <w:b/>
                <w:color w:val="000000"/>
                <w:spacing w:val="-3"/>
                <w:sz w:val="40"/>
                <w:szCs w:val="40"/>
              </w:rPr>
              <w:t>1</w:t>
            </w:r>
            <w:r w:rsidR="00E507D8">
              <w:rPr>
                <w:b/>
                <w:color w:val="000000"/>
                <w:spacing w:val="-3"/>
                <w:sz w:val="40"/>
                <w:szCs w:val="40"/>
              </w:rPr>
              <w:t>3</w:t>
            </w:r>
          </w:p>
        </w:tc>
      </w:tr>
      <w:tr w:rsidR="000C2B80" w:rsidRPr="00A92B1E" w14:paraId="4C011641" w14:textId="77777777" w:rsidTr="007F306C">
        <w:trPr>
          <w:cantSplit/>
          <w:trHeight w:hRule="exact" w:val="2592"/>
        </w:trPr>
        <w:tc>
          <w:tcPr>
            <w:tcW w:w="10041" w:type="dxa"/>
            <w:tcBorders>
              <w:top w:val="single" w:sz="4" w:space="0" w:color="auto"/>
              <w:bottom w:val="single" w:sz="8" w:space="0" w:color="auto"/>
            </w:tcBorders>
          </w:tcPr>
          <w:tbl>
            <w:tblPr>
              <w:tblpPr w:leftFromText="142" w:rightFromText="142" w:vertAnchor="page" w:horzAnchor="page" w:tblpX="1135" w:tblpY="568"/>
              <w:tblOverlap w:val="never"/>
              <w:tblW w:w="9895" w:type="dxa"/>
              <w:tblLayout w:type="fixed"/>
              <w:tblCellMar>
                <w:left w:w="0" w:type="dxa"/>
                <w:right w:w="0" w:type="dxa"/>
              </w:tblCellMar>
              <w:tblLook w:val="01E0" w:firstRow="1" w:lastRow="1" w:firstColumn="1" w:lastColumn="1" w:noHBand="0" w:noVBand="0"/>
            </w:tblPr>
            <w:tblGrid>
              <w:gridCol w:w="7422"/>
              <w:gridCol w:w="2473"/>
            </w:tblGrid>
            <w:tr w:rsidR="000C2B80" w:rsidRPr="00A92B1E" w14:paraId="28DB6AB5" w14:textId="77777777" w:rsidTr="007F306C">
              <w:trPr>
                <w:cantSplit/>
                <w:trHeight w:val="2841"/>
              </w:trPr>
              <w:tc>
                <w:tcPr>
                  <w:tcW w:w="7422"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11DA02FF" w14:textId="76E0B016" w:rsidR="007F306C" w:rsidRPr="007F306C" w:rsidRDefault="007F306C" w:rsidP="007F306C">
                  <w:pPr>
                    <w:rPr>
                      <w:b/>
                      <w:bCs/>
                      <w:color w:val="000000"/>
                      <w:lang w:val="en-US"/>
                    </w:rPr>
                  </w:pPr>
                  <w:r w:rsidRPr="008826EB">
                    <w:rPr>
                      <w:lang w:eastAsia="fr-FR"/>
                    </w:rPr>
                    <w:t>Item 7 of the provisional agenda</w:t>
                  </w:r>
                  <w:r w:rsidRPr="008826EB">
                    <w:rPr>
                      <w:lang w:eastAsia="fr-FR"/>
                    </w:rPr>
                    <w:br/>
                  </w:r>
                  <w:r w:rsidRPr="007F306C">
                    <w:rPr>
                      <w:b/>
                      <w:bCs/>
                      <w:color w:val="000000"/>
                      <w:lang w:val="en-US"/>
                    </w:rPr>
                    <w:t xml:space="preserve">Reports of </w:t>
                  </w:r>
                  <w:r w:rsidR="0045743F">
                    <w:rPr>
                      <w:b/>
                      <w:bCs/>
                      <w:color w:val="000000"/>
                      <w:lang w:val="en-US"/>
                    </w:rPr>
                    <w:t>i</w:t>
                  </w:r>
                  <w:r w:rsidRPr="007F306C">
                    <w:rPr>
                      <w:b/>
                      <w:bCs/>
                      <w:color w:val="000000"/>
                      <w:lang w:val="en-US"/>
                    </w:rPr>
                    <w:t xml:space="preserve">nformal </w:t>
                  </w:r>
                  <w:r w:rsidR="008A40B9">
                    <w:rPr>
                      <w:b/>
                      <w:bCs/>
                      <w:color w:val="000000"/>
                      <w:lang w:val="en-US"/>
                    </w:rPr>
                    <w:t>w</w:t>
                  </w:r>
                  <w:r w:rsidRPr="007F306C">
                    <w:rPr>
                      <w:b/>
                      <w:bCs/>
                      <w:color w:val="000000"/>
                      <w:lang w:val="en-US"/>
                    </w:rPr>
                    <w:t xml:space="preserve">orking </w:t>
                  </w:r>
                  <w:r w:rsidR="008A40B9">
                    <w:rPr>
                      <w:b/>
                      <w:bCs/>
                      <w:color w:val="000000"/>
                      <w:lang w:val="en-US"/>
                    </w:rPr>
                    <w:t>g</w:t>
                  </w:r>
                  <w:r w:rsidRPr="007F306C">
                    <w:rPr>
                      <w:b/>
                      <w:bCs/>
                      <w:color w:val="000000"/>
                      <w:lang w:val="en-US"/>
                    </w:rPr>
                    <w:t>roups</w:t>
                  </w:r>
                </w:p>
                <w:p w14:paraId="4AF4284B" w14:textId="6CBB92FE" w:rsidR="002A26AF" w:rsidRPr="00A92B1E" w:rsidRDefault="002A26AF" w:rsidP="002A26AF">
                  <w:pPr>
                    <w:jc w:val="both"/>
                    <w:rPr>
                      <w:b/>
                    </w:rPr>
                  </w:pPr>
                </w:p>
              </w:tc>
              <w:tc>
                <w:tcPr>
                  <w:tcW w:w="2473"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57FCFC7F" w:rsidR="000C2B80" w:rsidRPr="00A92B1E" w:rsidRDefault="00EA6ADF" w:rsidP="000C2B80">
                  <w:pPr>
                    <w:spacing w:after="120"/>
                    <w:rPr>
                      <w:bCs/>
                    </w:rPr>
                  </w:pPr>
                  <w:r>
                    <w:t>18</w:t>
                  </w:r>
                  <w:r w:rsidR="00E7067E">
                    <w:t xml:space="preserve"> </w:t>
                  </w:r>
                  <w:r>
                    <w:t>Octo</w:t>
                  </w:r>
                  <w:r w:rsidR="00CC2E0B">
                    <w:t>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02467B03" w14:textId="69051858" w:rsidR="001E2993" w:rsidRPr="0098050C" w:rsidRDefault="001E2993" w:rsidP="001E2993">
      <w:pPr>
        <w:pStyle w:val="HChG"/>
        <w:rPr>
          <w:lang w:val="en-US"/>
        </w:rPr>
      </w:pPr>
      <w:r>
        <w:rPr>
          <w:lang w:val="en-US"/>
        </w:rPr>
        <w:tab/>
      </w:r>
      <w:r>
        <w:rPr>
          <w:lang w:val="en-US"/>
        </w:rPr>
        <w:tab/>
        <w:t xml:space="preserve">Report of the </w:t>
      </w:r>
      <w:r w:rsidR="00400AD6">
        <w:rPr>
          <w:lang w:val="en-US"/>
        </w:rPr>
        <w:t>i</w:t>
      </w:r>
      <w:r>
        <w:rPr>
          <w:lang w:val="en-US"/>
        </w:rPr>
        <w:t xml:space="preserve">nformal </w:t>
      </w:r>
      <w:r w:rsidR="00400AD6">
        <w:rPr>
          <w:lang w:val="en-US"/>
        </w:rPr>
        <w:t>w</w:t>
      </w:r>
      <w:r>
        <w:rPr>
          <w:lang w:val="en-US"/>
        </w:rPr>
        <w:t xml:space="preserve">orking </w:t>
      </w:r>
      <w:r w:rsidR="00400AD6">
        <w:rPr>
          <w:lang w:val="en-US"/>
        </w:rPr>
        <w:t>g</w:t>
      </w:r>
      <w:r>
        <w:rPr>
          <w:lang w:val="en-US"/>
        </w:rPr>
        <w:t>roup on the Approval System</w:t>
      </w:r>
    </w:p>
    <w:p w14:paraId="64E9C2D5" w14:textId="3B3F0A95" w:rsidR="001E2993" w:rsidRDefault="001E2993" w:rsidP="001E2993">
      <w:pPr>
        <w:pStyle w:val="H1G"/>
      </w:pPr>
      <w:r>
        <w:tab/>
      </w:r>
      <w:r>
        <w:tab/>
      </w:r>
      <w:r w:rsidRPr="00D85B88">
        <w:t xml:space="preserve">Transmitted </w:t>
      </w:r>
      <w:r w:rsidR="00400AD6">
        <w:t xml:space="preserve">by the Government of the Netherlands on behalf of </w:t>
      </w:r>
      <w:r w:rsidRPr="00D85B88">
        <w:t>the</w:t>
      </w:r>
      <w:r>
        <w:t xml:space="preserve"> </w:t>
      </w:r>
      <w:r w:rsidR="00400AD6">
        <w:t>i</w:t>
      </w:r>
      <w:r>
        <w:t xml:space="preserve">nformal </w:t>
      </w:r>
      <w:r w:rsidR="00400AD6">
        <w:t>w</w:t>
      </w:r>
      <w:r>
        <w:t xml:space="preserve">orking </w:t>
      </w:r>
      <w:r w:rsidR="00400AD6">
        <w:t>g</w:t>
      </w:r>
      <w:r>
        <w:t>roup</w:t>
      </w:r>
    </w:p>
    <w:p w14:paraId="2F84F70F" w14:textId="3E9B8457" w:rsidR="001E2993" w:rsidRPr="001E3A07" w:rsidRDefault="001E2993" w:rsidP="001E2993">
      <w:pPr>
        <w:pStyle w:val="HChG"/>
        <w:rPr>
          <w:lang w:val="en-US"/>
        </w:rPr>
      </w:pPr>
      <w:r>
        <w:rPr>
          <w:lang w:val="en-US"/>
        </w:rPr>
        <w:tab/>
      </w:r>
      <w:r w:rsidR="00A744C6">
        <w:rPr>
          <w:lang w:val="en-US"/>
        </w:rPr>
        <w:t>I.</w:t>
      </w:r>
      <w:r>
        <w:rPr>
          <w:lang w:val="en-US"/>
        </w:rPr>
        <w:tab/>
      </w:r>
      <w:r w:rsidRPr="001E3A07">
        <w:rPr>
          <w:lang w:val="en-US"/>
        </w:rPr>
        <w:t>General</w:t>
      </w:r>
    </w:p>
    <w:p w14:paraId="1B06D531" w14:textId="0AB5B29B" w:rsidR="001E2993" w:rsidRDefault="00316E51" w:rsidP="00316E51">
      <w:pPr>
        <w:pStyle w:val="SingleTxtG"/>
        <w:rPr>
          <w:lang w:val="en-US"/>
        </w:rPr>
      </w:pPr>
      <w:r w:rsidRPr="00316E51">
        <w:rPr>
          <w:lang w:val="en-US"/>
        </w:rPr>
        <w:t>1.</w:t>
      </w:r>
      <w:r>
        <w:rPr>
          <w:lang w:val="en-US"/>
        </w:rPr>
        <w:tab/>
      </w:r>
      <w:r w:rsidR="001E2993" w:rsidRPr="001E3A07">
        <w:rPr>
          <w:lang w:val="en-US"/>
        </w:rPr>
        <w:t xml:space="preserve">The informal working group </w:t>
      </w:r>
      <w:r w:rsidR="001E2993" w:rsidRPr="002F003D">
        <w:rPr>
          <w:lang w:val="en-US"/>
        </w:rPr>
        <w:t xml:space="preserve">met on </w:t>
      </w:r>
      <w:r w:rsidR="002F003D">
        <w:rPr>
          <w:lang w:val="en-US"/>
        </w:rPr>
        <w:t>six</w:t>
      </w:r>
      <w:r w:rsidR="001E2993" w:rsidRPr="002F003D">
        <w:rPr>
          <w:lang w:val="en-US"/>
        </w:rPr>
        <w:t xml:space="preserve"> occasions of which </w:t>
      </w:r>
      <w:r w:rsidR="002F003D">
        <w:rPr>
          <w:lang w:val="en-US"/>
        </w:rPr>
        <w:t>five</w:t>
      </w:r>
      <w:r w:rsidR="001E2993" w:rsidRPr="002F003D">
        <w:rPr>
          <w:lang w:val="en-US"/>
        </w:rPr>
        <w:t xml:space="preserve"> virtual (23</w:t>
      </w:r>
      <w:r w:rsidR="00926AA8">
        <w:rPr>
          <w:lang w:val="en-US"/>
        </w:rPr>
        <w:t> </w:t>
      </w:r>
      <w:r w:rsidR="001E2993" w:rsidRPr="002F003D">
        <w:rPr>
          <w:lang w:val="en-US"/>
        </w:rPr>
        <w:t>January, 13 February, 6 March, 27 March and 13 July) and one F2F in Brussels (7</w:t>
      </w:r>
      <w:r w:rsidR="00926AA8">
        <w:rPr>
          <w:lang w:val="en-US"/>
        </w:rPr>
        <w:t> </w:t>
      </w:r>
      <w:r w:rsidR="001E2993" w:rsidRPr="002F003D">
        <w:rPr>
          <w:lang w:val="en-US"/>
        </w:rPr>
        <w:t>September</w:t>
      </w:r>
      <w:r w:rsidR="001E2993" w:rsidRPr="001E3A07">
        <w:rPr>
          <w:lang w:val="en-US"/>
        </w:rPr>
        <w:t>).</w:t>
      </w:r>
    </w:p>
    <w:p w14:paraId="196ED3AB" w14:textId="389765BA" w:rsidR="001E2993" w:rsidRDefault="00316E51" w:rsidP="00316E51">
      <w:pPr>
        <w:pStyle w:val="SingleTxtG"/>
        <w:rPr>
          <w:lang w:val="en-US"/>
        </w:rPr>
      </w:pPr>
      <w:r>
        <w:rPr>
          <w:lang w:val="en-US"/>
        </w:rPr>
        <w:t>2.</w:t>
      </w:r>
      <w:r>
        <w:rPr>
          <w:lang w:val="en-US"/>
        </w:rPr>
        <w:tab/>
      </w:r>
      <w:r w:rsidR="001E2993" w:rsidRPr="0038065E">
        <w:rPr>
          <w:lang w:val="en-US"/>
        </w:rPr>
        <w:t>After the spring of 2023 the sessions were interrupted as it was felt that at that moment no further progress could be made and no new items being brought forward.</w:t>
      </w:r>
    </w:p>
    <w:p w14:paraId="5E1E5D69" w14:textId="694277DD" w:rsidR="001E2993" w:rsidRDefault="00316E51" w:rsidP="00316E51">
      <w:pPr>
        <w:pStyle w:val="SingleTxtG"/>
        <w:rPr>
          <w:lang w:val="en-US"/>
        </w:rPr>
      </w:pPr>
      <w:r>
        <w:rPr>
          <w:lang w:val="en-US"/>
        </w:rPr>
        <w:t>3.</w:t>
      </w:r>
      <w:r>
        <w:rPr>
          <w:lang w:val="en-US"/>
        </w:rPr>
        <w:tab/>
      </w:r>
      <w:r w:rsidR="001E2993" w:rsidRPr="0038065E">
        <w:rPr>
          <w:lang w:val="en-US"/>
        </w:rPr>
        <w:t>The UNECE has opened two meeting locations on the UNECE wiki</w:t>
      </w:r>
      <w:r w:rsidR="007530AE">
        <w:rPr>
          <w:lang w:val="en-US"/>
        </w:rPr>
        <w:t xml:space="preserve"> </w:t>
      </w:r>
      <w:r w:rsidR="001E2993" w:rsidRPr="0038065E">
        <w:rPr>
          <w:lang w:val="en-US"/>
        </w:rPr>
        <w:t xml:space="preserve">space. In the future documents will be shared on this wiki to prevent sending files by mail. As a result the name of this informal working group has been shortened to </w:t>
      </w:r>
      <w:r w:rsidR="00FF330C">
        <w:rPr>
          <w:lang w:val="en-US"/>
        </w:rPr>
        <w:t>"</w:t>
      </w:r>
      <w:r w:rsidR="001E2993" w:rsidRPr="0038065E">
        <w:rPr>
          <w:lang w:val="en-US"/>
        </w:rPr>
        <w:t>Approval System</w:t>
      </w:r>
      <w:r w:rsidR="00FF330C">
        <w:rPr>
          <w:lang w:val="en-US"/>
        </w:rPr>
        <w:t>"</w:t>
      </w:r>
      <w:r w:rsidR="001E2993" w:rsidRPr="0038065E">
        <w:rPr>
          <w:lang w:val="en-US"/>
        </w:rPr>
        <w:t>.</w:t>
      </w:r>
    </w:p>
    <w:p w14:paraId="66B13587" w14:textId="3262E437" w:rsidR="001E2993" w:rsidRDefault="00316E51" w:rsidP="00316E51">
      <w:pPr>
        <w:pStyle w:val="HChG"/>
        <w:rPr>
          <w:lang w:val="en-US"/>
        </w:rPr>
      </w:pPr>
      <w:r>
        <w:rPr>
          <w:lang w:val="en-US"/>
        </w:rPr>
        <w:tab/>
      </w:r>
      <w:r w:rsidR="00A744C6">
        <w:rPr>
          <w:lang w:val="en-US"/>
        </w:rPr>
        <w:t>II.</w:t>
      </w:r>
      <w:r>
        <w:rPr>
          <w:lang w:val="en-US"/>
        </w:rPr>
        <w:tab/>
      </w:r>
      <w:r w:rsidR="001E2993" w:rsidRPr="00600CA0">
        <w:rPr>
          <w:lang w:val="en-US"/>
        </w:rPr>
        <w:t>Electric drive and continuous cooling.</w:t>
      </w:r>
    </w:p>
    <w:p w14:paraId="60EFBF71" w14:textId="0CA717FA" w:rsidR="001E2993" w:rsidRDefault="00FA0139" w:rsidP="00FA0139">
      <w:pPr>
        <w:pStyle w:val="SingleTxtG"/>
        <w:rPr>
          <w:lang w:val="en-US"/>
        </w:rPr>
      </w:pPr>
      <w:r>
        <w:rPr>
          <w:lang w:val="en-US"/>
        </w:rPr>
        <w:t>4.</w:t>
      </w:r>
      <w:r>
        <w:rPr>
          <w:lang w:val="en-US"/>
        </w:rPr>
        <w:tab/>
      </w:r>
      <w:r w:rsidR="001E2993" w:rsidRPr="00FA2C14">
        <w:rPr>
          <w:lang w:val="en-US"/>
        </w:rPr>
        <w:t>Although an attempt was made to resolve the questions concerning electrification with more detailed definitions of independent, non-independent and autonomous, this proved not to be the way forward. It was concluded that the guarantee of continuous cooling because of the supply of electricity was the key question.</w:t>
      </w:r>
    </w:p>
    <w:p w14:paraId="015A7430" w14:textId="7BA6D7F2" w:rsidR="001E2993" w:rsidRDefault="00FA0139" w:rsidP="00FA0139">
      <w:pPr>
        <w:pStyle w:val="SingleTxtG"/>
        <w:rPr>
          <w:lang w:val="en-US"/>
        </w:rPr>
      </w:pPr>
      <w:r>
        <w:rPr>
          <w:lang w:val="en-US"/>
        </w:rPr>
        <w:t>5.</w:t>
      </w:r>
      <w:r>
        <w:rPr>
          <w:lang w:val="en-US"/>
        </w:rPr>
        <w:tab/>
      </w:r>
      <w:r w:rsidR="001E2993" w:rsidRPr="00A02923">
        <w:rPr>
          <w:lang w:val="en-US"/>
        </w:rPr>
        <w:t>As electricity to drive the system can be produced by a vast array of sources it is impossible to dictate just one source of electricity such as a battery. It was said that it is up to the user of the equipment to take care that sufficient power would be available during the transport operation. On the other hand, this feels uncomfortable as some guarantees would be welcomed that equipment have at least a minimum of energy readily available.</w:t>
      </w:r>
    </w:p>
    <w:p w14:paraId="4AD374B2" w14:textId="5645CE55" w:rsidR="001E2993" w:rsidRDefault="00FA0139" w:rsidP="00FA0139">
      <w:pPr>
        <w:pStyle w:val="SingleTxtG"/>
        <w:rPr>
          <w:lang w:val="en-US"/>
        </w:rPr>
      </w:pPr>
      <w:r>
        <w:rPr>
          <w:lang w:val="en-US"/>
        </w:rPr>
        <w:t>6.</w:t>
      </w:r>
      <w:r>
        <w:rPr>
          <w:lang w:val="en-US"/>
        </w:rPr>
        <w:tab/>
      </w:r>
      <w:r w:rsidR="001E2993" w:rsidRPr="00A02923">
        <w:rPr>
          <w:lang w:val="en-US"/>
        </w:rPr>
        <w:t>It was acknowledged that the electrically thermal unit, but without the source of electricity, could already be approved by the testing station based on 4.3.1.(b) of Annex 1, Appendix 2. However it may the best way to introduced a third module for electrical supply in dimensioning equipment (check if the parts supply enough energy/heat for the demand). An additional module may be foreseen for the inverter conversing AC-DC and the correct voltage for the unit as required.</w:t>
      </w:r>
    </w:p>
    <w:p w14:paraId="3F3088D2" w14:textId="73D99871" w:rsidR="001E2993" w:rsidRDefault="00C560A4" w:rsidP="00FA0139">
      <w:pPr>
        <w:pStyle w:val="SingleTxtG"/>
        <w:rPr>
          <w:lang w:val="en-US"/>
        </w:rPr>
      </w:pPr>
      <w:r>
        <w:rPr>
          <w:lang w:val="en-US"/>
        </w:rPr>
        <w:t>7.</w:t>
      </w:r>
      <w:r>
        <w:rPr>
          <w:lang w:val="en-US"/>
        </w:rPr>
        <w:tab/>
      </w:r>
      <w:r w:rsidR="001E2993" w:rsidRPr="00675D71">
        <w:rPr>
          <w:lang w:val="en-US"/>
        </w:rPr>
        <w:t xml:space="preserve">It was decided to work on a Guidance Document to be placed on the UNECE website to explain about the electrical energy supply and the expectation for use, but also testing and approval of equipment. </w:t>
      </w:r>
      <w:r w:rsidR="001E2993">
        <w:rPr>
          <w:lang w:val="en-US"/>
        </w:rPr>
        <w:t>(</w:t>
      </w:r>
      <w:r w:rsidR="001E2993" w:rsidRPr="00675D71">
        <w:rPr>
          <w:lang w:val="en-US"/>
        </w:rPr>
        <w:t xml:space="preserve">See also </w:t>
      </w:r>
      <w:r w:rsidR="00CC5433">
        <w:rPr>
          <w:lang w:val="en-US"/>
        </w:rPr>
        <w:t>i</w:t>
      </w:r>
      <w:r w:rsidR="001E2993">
        <w:rPr>
          <w:lang w:val="en-US"/>
        </w:rPr>
        <w:t>nformal document</w:t>
      </w:r>
      <w:r w:rsidR="00CC5433">
        <w:rPr>
          <w:lang w:val="en-US"/>
        </w:rPr>
        <w:t xml:space="preserve"> INF.12</w:t>
      </w:r>
      <w:r w:rsidR="001E2993">
        <w:rPr>
          <w:lang w:val="en-US"/>
        </w:rPr>
        <w:t xml:space="preserve"> containing the draft guidance)</w:t>
      </w:r>
    </w:p>
    <w:p w14:paraId="786FCEEF" w14:textId="44B94F33" w:rsidR="001E2993" w:rsidRPr="00A02923" w:rsidRDefault="00C560A4" w:rsidP="00C560A4">
      <w:pPr>
        <w:pStyle w:val="HChG"/>
        <w:rPr>
          <w:lang w:val="en-US"/>
        </w:rPr>
      </w:pPr>
      <w:r>
        <w:rPr>
          <w:lang w:val="en-US"/>
        </w:rPr>
        <w:lastRenderedPageBreak/>
        <w:tab/>
      </w:r>
      <w:r w:rsidR="00A744C6">
        <w:rPr>
          <w:lang w:val="en-US"/>
        </w:rPr>
        <w:t>III.</w:t>
      </w:r>
      <w:r>
        <w:rPr>
          <w:lang w:val="en-US"/>
        </w:rPr>
        <w:tab/>
      </w:r>
      <w:r w:rsidR="001E2993" w:rsidRPr="00A02923">
        <w:rPr>
          <w:lang w:val="en-US"/>
        </w:rPr>
        <w:t>X-marking of equipment</w:t>
      </w:r>
    </w:p>
    <w:p w14:paraId="043EF0DE" w14:textId="64EBCE14" w:rsidR="001E2993" w:rsidRPr="00D03EC1" w:rsidRDefault="0020274B" w:rsidP="0020274B">
      <w:pPr>
        <w:pStyle w:val="SingleTxtG"/>
        <w:rPr>
          <w:lang w:val="en-US"/>
        </w:rPr>
      </w:pPr>
      <w:r>
        <w:rPr>
          <w:lang w:val="en-US"/>
        </w:rPr>
        <w:t>8.</w:t>
      </w:r>
      <w:r>
        <w:rPr>
          <w:lang w:val="en-US"/>
        </w:rPr>
        <w:tab/>
      </w:r>
      <w:r w:rsidR="001E2993" w:rsidRPr="00D03EC1">
        <w:rPr>
          <w:lang w:val="en-US"/>
        </w:rPr>
        <w:t xml:space="preserve">It was noted that there are differences between the French and English language versions of the ATP in Annex 1, Appendix 4 (English exhaustive list/French open) and the other related provisions. </w:t>
      </w:r>
    </w:p>
    <w:p w14:paraId="7DAB29C5" w14:textId="7DBA150B" w:rsidR="001E2993" w:rsidRDefault="0020274B" w:rsidP="0020274B">
      <w:pPr>
        <w:pStyle w:val="SingleTxtG"/>
        <w:rPr>
          <w:lang w:val="en-US"/>
        </w:rPr>
      </w:pPr>
      <w:r>
        <w:rPr>
          <w:lang w:val="en-US"/>
        </w:rPr>
        <w:t>9.</w:t>
      </w:r>
      <w:r>
        <w:rPr>
          <w:lang w:val="en-US"/>
        </w:rPr>
        <w:tab/>
      </w:r>
      <w:r w:rsidR="001E2993">
        <w:rPr>
          <w:lang w:val="en-US"/>
        </w:rPr>
        <w:t>The purpose of the marking was discussed. It was recalled that the treaty on border crossing did not mention this particular marking in detail and that it was very doubtful if enforcers would be aware of the additional marking and its meaning. In the light of all the uncertainties and discussions it was suggested and supported by most experts to delete this marking completely as the pro’s did not outweigh the cons. However some participants could not support this as they saw an additional value for the users.</w:t>
      </w:r>
    </w:p>
    <w:p w14:paraId="2A6E6274" w14:textId="7C74FAD2" w:rsidR="001E2993" w:rsidRDefault="0020274B" w:rsidP="0020274B">
      <w:pPr>
        <w:pStyle w:val="SingleTxtG"/>
        <w:rPr>
          <w:lang w:val="en-US"/>
        </w:rPr>
      </w:pPr>
      <w:r>
        <w:rPr>
          <w:lang w:val="en-US"/>
        </w:rPr>
        <w:t>10.</w:t>
      </w:r>
      <w:r>
        <w:rPr>
          <w:lang w:val="en-US"/>
        </w:rPr>
        <w:tab/>
      </w:r>
      <w:r w:rsidR="001E2993">
        <w:rPr>
          <w:lang w:val="en-US"/>
        </w:rPr>
        <w:t xml:space="preserve">When electric vehicles will be introduced </w:t>
      </w:r>
      <w:r w:rsidR="00FF330C">
        <w:rPr>
          <w:lang w:val="en-US"/>
        </w:rPr>
        <w:t>"</w:t>
      </w:r>
      <w:r w:rsidR="001E2993">
        <w:rPr>
          <w:lang w:val="en-US"/>
        </w:rPr>
        <w:t>drive by vehicle engine</w:t>
      </w:r>
      <w:r w:rsidR="00FF330C">
        <w:rPr>
          <w:lang w:val="en-US"/>
        </w:rPr>
        <w:t>"</w:t>
      </w:r>
      <w:r w:rsidR="001E2993">
        <w:rPr>
          <w:lang w:val="en-US"/>
        </w:rPr>
        <w:t xml:space="preserve"> will probably disappear but a different meaning may be given that something additional need to be done to energize.</w:t>
      </w:r>
    </w:p>
    <w:p w14:paraId="5CCCE8AF" w14:textId="08CFEA0B" w:rsidR="001E2993" w:rsidRDefault="00A461F1" w:rsidP="00A461F1">
      <w:pPr>
        <w:pStyle w:val="HChG"/>
        <w:rPr>
          <w:lang w:val="en-US"/>
        </w:rPr>
      </w:pPr>
      <w:r>
        <w:rPr>
          <w:lang w:val="en-US"/>
        </w:rPr>
        <w:tab/>
      </w:r>
      <w:r w:rsidR="00A744C6">
        <w:rPr>
          <w:lang w:val="en-US"/>
        </w:rPr>
        <w:t>IV.</w:t>
      </w:r>
      <w:r>
        <w:rPr>
          <w:lang w:val="en-US"/>
        </w:rPr>
        <w:tab/>
      </w:r>
      <w:r w:rsidR="001E2993" w:rsidRPr="00993E89">
        <w:rPr>
          <w:lang w:val="en-US"/>
        </w:rPr>
        <w:t>Temperature recorders</w:t>
      </w:r>
    </w:p>
    <w:p w14:paraId="04D15A93" w14:textId="14A8951D" w:rsidR="001E2993" w:rsidRDefault="00AC6E50" w:rsidP="00A461F1">
      <w:pPr>
        <w:pStyle w:val="SingleTxtG"/>
        <w:rPr>
          <w:lang w:val="en-US"/>
        </w:rPr>
      </w:pPr>
      <w:r>
        <w:rPr>
          <w:lang w:val="en-US"/>
        </w:rPr>
        <w:t>11.</w:t>
      </w:r>
      <w:r>
        <w:rPr>
          <w:lang w:val="en-US"/>
        </w:rPr>
        <w:tab/>
      </w:r>
      <w:r w:rsidR="001E2993" w:rsidRPr="0067448C">
        <w:rPr>
          <w:lang w:val="en-US"/>
        </w:rPr>
        <w:t xml:space="preserve">Some experts </w:t>
      </w:r>
      <w:r w:rsidR="001E2993">
        <w:rPr>
          <w:lang w:val="en-US"/>
        </w:rPr>
        <w:t>we</w:t>
      </w:r>
      <w:r w:rsidR="001E2993" w:rsidRPr="0067448C">
        <w:rPr>
          <w:lang w:val="en-US"/>
        </w:rPr>
        <w:t>re of the opinion that the temperature recorder is mandatory for all FRC approved equipment as they may at one time carry deep-frozen products, while others require this only when deep-freeze products are carried. The last interpretation is based because the requirements for temperature recorders are placed in Annex 2 and not in Annex</w:t>
      </w:r>
      <w:r w:rsidR="00A461F1">
        <w:rPr>
          <w:lang w:val="en-US"/>
        </w:rPr>
        <w:t> </w:t>
      </w:r>
      <w:r w:rsidR="001E2993" w:rsidRPr="0067448C">
        <w:rPr>
          <w:lang w:val="en-US"/>
        </w:rPr>
        <w:t>1 (construction). It was also said that no free position was available on the ATP certificate to mention the recorder and test report if fitted.</w:t>
      </w:r>
    </w:p>
    <w:p w14:paraId="1DB53457" w14:textId="7FE21F3E" w:rsidR="001E2993" w:rsidRDefault="00AC6E50" w:rsidP="001A23EE">
      <w:pPr>
        <w:pStyle w:val="SingleTxtG"/>
        <w:rPr>
          <w:lang w:val="en-US"/>
        </w:rPr>
      </w:pPr>
      <w:r>
        <w:rPr>
          <w:lang w:val="en-US"/>
        </w:rPr>
        <w:t>12.</w:t>
      </w:r>
      <w:r>
        <w:rPr>
          <w:lang w:val="en-US"/>
        </w:rPr>
        <w:tab/>
      </w:r>
      <w:r w:rsidR="001E2993" w:rsidRPr="00523000">
        <w:rPr>
          <w:lang w:val="en-US"/>
        </w:rPr>
        <w:t xml:space="preserve">It was recalled that the Netherlands forwarded document </w:t>
      </w:r>
      <w:r w:rsidR="001E2993">
        <w:rPr>
          <w:lang w:val="en-US"/>
        </w:rPr>
        <w:t xml:space="preserve">2021/19 </w:t>
      </w:r>
      <w:r w:rsidR="001E2993" w:rsidRPr="00523000">
        <w:rPr>
          <w:lang w:val="en-US"/>
        </w:rPr>
        <w:t>to extend the use of temperature recorder to all food stuffs under the Annex 2 and 3 of the ATP, as they are all a thread to the public health when perished. It was said that before this would be possible a number of issues needed to be resolved such as cost, and periodical validation of the recorder.</w:t>
      </w:r>
    </w:p>
    <w:p w14:paraId="30CD3E81" w14:textId="6A0D84A1" w:rsidR="001E2993" w:rsidRPr="00D03244" w:rsidRDefault="00AC6E50" w:rsidP="00A461F1">
      <w:pPr>
        <w:pStyle w:val="SingleTxtG"/>
        <w:rPr>
          <w:lang w:val="en-US"/>
        </w:rPr>
      </w:pPr>
      <w:r>
        <w:rPr>
          <w:lang w:val="en-US"/>
        </w:rPr>
        <w:t>13.</w:t>
      </w:r>
      <w:r>
        <w:rPr>
          <w:lang w:val="en-US"/>
        </w:rPr>
        <w:tab/>
      </w:r>
      <w:r w:rsidR="001E2993" w:rsidRPr="00D03244">
        <w:rPr>
          <w:lang w:val="en-US"/>
        </w:rPr>
        <w:t>Based on the discussion the following was noted:</w:t>
      </w:r>
    </w:p>
    <w:p w14:paraId="52931D5C" w14:textId="77777777" w:rsidR="001E2993" w:rsidRPr="00D03244" w:rsidRDefault="001E2993" w:rsidP="001A23EE">
      <w:pPr>
        <w:pStyle w:val="Bullet1G"/>
        <w:rPr>
          <w:lang w:val="en-US"/>
        </w:rPr>
      </w:pPr>
      <w:r w:rsidRPr="00D03244">
        <w:rPr>
          <w:lang w:val="en-US"/>
        </w:rPr>
        <w:t>Periodic verification of the temperature recorder required a check of the whole system, not just the temperature sensors. Sending the system of to an accredited laboratory is therefore not achievable as parts are integrated in the body.</w:t>
      </w:r>
    </w:p>
    <w:p w14:paraId="7F703A86" w14:textId="7D662465" w:rsidR="001E2993" w:rsidRDefault="001E2993" w:rsidP="009265CB">
      <w:pPr>
        <w:pStyle w:val="Bullet1G"/>
        <w:rPr>
          <w:lang w:val="en-US"/>
        </w:rPr>
      </w:pPr>
      <w:r w:rsidRPr="00D03244">
        <w:rPr>
          <w:lang w:val="en-US"/>
        </w:rPr>
        <w:t>In most (but not all) countries the validation is carried out by experts that also do the checks on equipment. Although they have to apply to quality requirements in many cases they are not accredited.</w:t>
      </w:r>
    </w:p>
    <w:p w14:paraId="0C3A9EF6" w14:textId="7A67A294" w:rsidR="001E2993" w:rsidRDefault="001E2993" w:rsidP="00836DAC">
      <w:pPr>
        <w:pStyle w:val="SingleTxtG"/>
        <w:rPr>
          <w:lang w:val="en-US"/>
        </w:rPr>
      </w:pPr>
      <w:r>
        <w:rPr>
          <w:lang w:val="en-US"/>
        </w:rPr>
        <w:t xml:space="preserve">The periodicity is one or two years as given in EN 13486. In most cases it was 1 year applied at the same time as a leak-test/inspection based on F gas regulation in the </w:t>
      </w:r>
      <w:r w:rsidR="00C06F64">
        <w:rPr>
          <w:lang w:val="en-US"/>
        </w:rPr>
        <w:t xml:space="preserve">European </w:t>
      </w:r>
      <w:r w:rsidR="004C0238">
        <w:rPr>
          <w:lang w:val="en-US"/>
        </w:rPr>
        <w:t>U</w:t>
      </w:r>
      <w:r w:rsidR="00C06F64">
        <w:rPr>
          <w:lang w:val="en-US"/>
        </w:rPr>
        <w:t>nion</w:t>
      </w:r>
      <w:r w:rsidR="004C0238">
        <w:rPr>
          <w:lang w:val="en-US"/>
        </w:rPr>
        <w:t xml:space="preserve"> (</w:t>
      </w:r>
      <w:r>
        <w:rPr>
          <w:lang w:val="en-US"/>
        </w:rPr>
        <w:t>EU</w:t>
      </w:r>
      <w:r w:rsidR="004C0238">
        <w:rPr>
          <w:lang w:val="en-US"/>
        </w:rPr>
        <w:t>)</w:t>
      </w:r>
      <w:r>
        <w:rPr>
          <w:lang w:val="en-US"/>
        </w:rPr>
        <w:t>.</w:t>
      </w:r>
    </w:p>
    <w:p w14:paraId="1854C400" w14:textId="66C639B6" w:rsidR="001E2993" w:rsidRDefault="00AC6E50" w:rsidP="00836DAC">
      <w:pPr>
        <w:pStyle w:val="SingleTxtG"/>
        <w:rPr>
          <w:lang w:val="en-US"/>
        </w:rPr>
      </w:pPr>
      <w:r>
        <w:rPr>
          <w:lang w:val="en-US"/>
        </w:rPr>
        <w:t>1</w:t>
      </w:r>
      <w:r w:rsidR="00511F08">
        <w:rPr>
          <w:lang w:val="en-US"/>
        </w:rPr>
        <w:t>4</w:t>
      </w:r>
      <w:r>
        <w:rPr>
          <w:lang w:val="en-US"/>
        </w:rPr>
        <w:t>.</w:t>
      </w:r>
      <w:r>
        <w:rPr>
          <w:lang w:val="en-US"/>
        </w:rPr>
        <w:tab/>
      </w:r>
      <w:r w:rsidR="001E2993" w:rsidRPr="00D03244">
        <w:rPr>
          <w:lang w:val="en-US"/>
        </w:rPr>
        <w:t>A concern was raised concerning the interpretations of the temperature readings in practice, in particular concerning door openings. When doors open the air temperature rises very quickly but the actual temperature of the goods take more time. It is a misinterpretation that goods are no longer acceptable at spikes in the air temperature. To prevent, this vehicles with a maximum payload lower than 7 tons are exempted in Italy for having a temperature recorder.</w:t>
      </w:r>
    </w:p>
    <w:p w14:paraId="3D61DB8D" w14:textId="74C86681" w:rsidR="001E2993" w:rsidRPr="00D03244" w:rsidRDefault="009818FD" w:rsidP="00836DAC">
      <w:pPr>
        <w:pStyle w:val="SingleTxtG"/>
        <w:rPr>
          <w:lang w:val="en-US"/>
        </w:rPr>
      </w:pPr>
      <w:r>
        <w:rPr>
          <w:lang w:val="en-US"/>
        </w:rPr>
        <w:t>1</w:t>
      </w:r>
      <w:r w:rsidR="00511F08">
        <w:rPr>
          <w:lang w:val="en-US"/>
        </w:rPr>
        <w:t>5</w:t>
      </w:r>
      <w:r>
        <w:rPr>
          <w:lang w:val="en-US"/>
        </w:rPr>
        <w:t>.</w:t>
      </w:r>
      <w:r>
        <w:rPr>
          <w:lang w:val="en-US"/>
        </w:rPr>
        <w:tab/>
      </w:r>
      <w:r w:rsidR="001E2993" w:rsidRPr="00D03244">
        <w:rPr>
          <w:lang w:val="en-US"/>
        </w:rPr>
        <w:t>It was also mentioned that the standard EN 13486 is up for a review shortly.</w:t>
      </w:r>
    </w:p>
    <w:p w14:paraId="5804EFC9" w14:textId="10A60CFA" w:rsidR="001E2993" w:rsidRPr="00010FCB" w:rsidRDefault="009818FD" w:rsidP="009818FD">
      <w:pPr>
        <w:pStyle w:val="HChG"/>
        <w:rPr>
          <w:lang w:val="en-US"/>
        </w:rPr>
      </w:pPr>
      <w:r>
        <w:rPr>
          <w:lang w:val="en-US"/>
        </w:rPr>
        <w:tab/>
      </w:r>
      <w:r w:rsidR="00A744C6">
        <w:rPr>
          <w:lang w:val="en-US"/>
        </w:rPr>
        <w:t>V.</w:t>
      </w:r>
      <w:r>
        <w:rPr>
          <w:lang w:val="en-US"/>
        </w:rPr>
        <w:tab/>
      </w:r>
      <w:r w:rsidR="001E2993" w:rsidRPr="00010FCB">
        <w:rPr>
          <w:lang w:val="en-US"/>
        </w:rPr>
        <w:t>Translation problems</w:t>
      </w:r>
    </w:p>
    <w:p w14:paraId="6B8ACCFD" w14:textId="7EA08677" w:rsidR="001E2993" w:rsidRDefault="00511F08" w:rsidP="00C52897">
      <w:pPr>
        <w:pStyle w:val="SingleTxtG"/>
        <w:rPr>
          <w:lang w:val="en-US"/>
        </w:rPr>
      </w:pPr>
      <w:r>
        <w:rPr>
          <w:lang w:val="en-US"/>
        </w:rPr>
        <w:t>16.</w:t>
      </w:r>
      <w:r>
        <w:rPr>
          <w:lang w:val="en-US"/>
        </w:rPr>
        <w:tab/>
      </w:r>
      <w:r w:rsidR="001E2993" w:rsidRPr="00925758">
        <w:rPr>
          <w:lang w:val="en-US"/>
        </w:rPr>
        <w:t xml:space="preserve">To </w:t>
      </w:r>
      <w:r w:rsidR="00F75A4B">
        <w:rPr>
          <w:lang w:val="en-US"/>
        </w:rPr>
        <w:t>reduce</w:t>
      </w:r>
      <w:r w:rsidR="00F75A4B" w:rsidRPr="00925758">
        <w:rPr>
          <w:lang w:val="en-US"/>
        </w:rPr>
        <w:t xml:space="preserve"> </w:t>
      </w:r>
      <w:r w:rsidR="001E2993" w:rsidRPr="00925758">
        <w:rPr>
          <w:lang w:val="en-US"/>
        </w:rPr>
        <w:t xml:space="preserve">translation problems at the </w:t>
      </w:r>
      <w:r w:rsidR="004C0238">
        <w:rPr>
          <w:lang w:val="en-US"/>
        </w:rPr>
        <w:t>United Nations</w:t>
      </w:r>
      <w:r w:rsidR="001E2993" w:rsidRPr="00925758">
        <w:rPr>
          <w:lang w:val="en-US"/>
        </w:rPr>
        <w:t xml:space="preserve"> it was suggested to develop a Glossary with terms that were incorrectly translated. It was suggested to include a short description of each term beside the correct term in French, English and Russian. More language</w:t>
      </w:r>
      <w:r w:rsidR="00783ABD">
        <w:rPr>
          <w:lang w:val="en-US"/>
        </w:rPr>
        <w:t>s</w:t>
      </w:r>
      <w:r w:rsidR="001E2993" w:rsidRPr="00925758">
        <w:rPr>
          <w:lang w:val="en-US"/>
        </w:rPr>
        <w:t xml:space="preserve"> may be added later on in the process.</w:t>
      </w:r>
    </w:p>
    <w:p w14:paraId="25D17014" w14:textId="2DD534C0" w:rsidR="001E2993" w:rsidRPr="00925758" w:rsidRDefault="00511F08" w:rsidP="00C52897">
      <w:pPr>
        <w:pStyle w:val="SingleTxtG"/>
        <w:rPr>
          <w:lang w:val="en-US"/>
        </w:rPr>
      </w:pPr>
      <w:r>
        <w:rPr>
          <w:lang w:val="en-US"/>
        </w:rPr>
        <w:lastRenderedPageBreak/>
        <w:t>17.</w:t>
      </w:r>
      <w:r>
        <w:rPr>
          <w:lang w:val="en-US"/>
        </w:rPr>
        <w:tab/>
      </w:r>
      <w:r w:rsidR="001E2993" w:rsidRPr="00925758">
        <w:rPr>
          <w:lang w:val="en-US"/>
        </w:rPr>
        <w:t xml:space="preserve">It proved not possible to come to conclusions on such a list before the October 2023 session of the </w:t>
      </w:r>
      <w:r w:rsidR="00BB780A" w:rsidRPr="00BB780A">
        <w:rPr>
          <w:lang w:val="en-US"/>
        </w:rPr>
        <w:t>Working Party on the Transport of Perishable Foodstuffs</w:t>
      </w:r>
      <w:r w:rsidR="00BB780A">
        <w:rPr>
          <w:lang w:val="en-US"/>
        </w:rPr>
        <w:t xml:space="preserve"> (</w:t>
      </w:r>
      <w:r w:rsidR="001E2993" w:rsidRPr="00925758">
        <w:rPr>
          <w:lang w:val="en-US"/>
        </w:rPr>
        <w:t>WP.11</w:t>
      </w:r>
      <w:r w:rsidR="00BB780A">
        <w:rPr>
          <w:lang w:val="en-US"/>
        </w:rPr>
        <w:t>)</w:t>
      </w:r>
      <w:r w:rsidR="001E2993" w:rsidRPr="00925758">
        <w:rPr>
          <w:lang w:val="en-US"/>
        </w:rPr>
        <w:t>.</w:t>
      </w:r>
    </w:p>
    <w:p w14:paraId="2ACAC6C0" w14:textId="12BB5DF7" w:rsidR="001E2993" w:rsidRPr="00010FCB" w:rsidRDefault="0048437E" w:rsidP="0048437E">
      <w:pPr>
        <w:pStyle w:val="HChG"/>
        <w:rPr>
          <w:lang w:val="en-US"/>
        </w:rPr>
      </w:pPr>
      <w:r>
        <w:rPr>
          <w:lang w:val="en-US"/>
        </w:rPr>
        <w:tab/>
      </w:r>
      <w:r w:rsidR="00A744C6">
        <w:rPr>
          <w:lang w:val="en-US"/>
        </w:rPr>
        <w:t>VI.</w:t>
      </w:r>
      <w:r>
        <w:rPr>
          <w:lang w:val="en-US"/>
        </w:rPr>
        <w:tab/>
      </w:r>
      <w:r w:rsidR="001E2993" w:rsidRPr="00010FCB">
        <w:rPr>
          <w:lang w:val="en-US"/>
        </w:rPr>
        <w:t>Restructuring Annex 1 of the ATP.</w:t>
      </w:r>
    </w:p>
    <w:p w14:paraId="2B938A4F" w14:textId="50F394C2" w:rsidR="001E2993" w:rsidRPr="00925758" w:rsidRDefault="00511F08" w:rsidP="00511F08">
      <w:pPr>
        <w:pStyle w:val="SingleTxtG"/>
        <w:rPr>
          <w:lang w:val="en-US"/>
        </w:rPr>
      </w:pPr>
      <w:r>
        <w:rPr>
          <w:lang w:val="en-US"/>
        </w:rPr>
        <w:t>18.</w:t>
      </w:r>
      <w:r>
        <w:rPr>
          <w:lang w:val="en-US"/>
        </w:rPr>
        <w:tab/>
      </w:r>
      <w:r w:rsidR="001E2993" w:rsidRPr="00925758">
        <w:rPr>
          <w:lang w:val="en-US"/>
        </w:rPr>
        <w:t xml:space="preserve">Before it was suggested that a restructuring of Annex 1 would improve the reading but also the possibility to adapt the ATP to new technologies. It was said that it would be a long process of several years before it is mature enough. To improve the change to adopt it was decided to use the current intentions of the regulation as a starting point and make modifications as felt necessary in the process. </w:t>
      </w:r>
    </w:p>
    <w:p w14:paraId="3463674B" w14:textId="748ABB29" w:rsidR="001E2993" w:rsidRDefault="00511F08" w:rsidP="00511F08">
      <w:pPr>
        <w:pStyle w:val="SingleTxtG"/>
        <w:rPr>
          <w:lang w:val="en-US"/>
        </w:rPr>
      </w:pPr>
      <w:r>
        <w:rPr>
          <w:lang w:val="en-US"/>
        </w:rPr>
        <w:t>19.</w:t>
      </w:r>
      <w:r>
        <w:rPr>
          <w:lang w:val="en-US"/>
        </w:rPr>
        <w:tab/>
      </w:r>
      <w:r w:rsidR="001E2993" w:rsidRPr="006E2829">
        <w:rPr>
          <w:lang w:val="en-US"/>
        </w:rPr>
        <w:t>A first draft was presented with a division in the following chapters:</w:t>
      </w:r>
    </w:p>
    <w:p w14:paraId="6154BA10" w14:textId="4C57618D" w:rsidR="001E2993" w:rsidRPr="00BD7579" w:rsidRDefault="00E76344" w:rsidP="00E76344">
      <w:pPr>
        <w:pStyle w:val="H4G"/>
        <w:rPr>
          <w:lang w:val="en-US"/>
        </w:rPr>
      </w:pPr>
      <w:r>
        <w:rPr>
          <w:lang w:val="en-US"/>
        </w:rPr>
        <w:tab/>
      </w:r>
      <w:r>
        <w:rPr>
          <w:lang w:val="en-US"/>
        </w:rPr>
        <w:tab/>
      </w:r>
      <w:r w:rsidR="002F003D">
        <w:rPr>
          <w:lang w:val="en-US"/>
        </w:rPr>
        <w:tab/>
      </w:r>
      <w:r w:rsidR="001E2993" w:rsidRPr="00BD7579">
        <w:rPr>
          <w:lang w:val="en-US"/>
        </w:rPr>
        <w:t>Annex 1</w:t>
      </w:r>
    </w:p>
    <w:p w14:paraId="0A72E73C" w14:textId="51C76086" w:rsidR="001E2993" w:rsidRDefault="001E2993" w:rsidP="00D739F6">
      <w:pPr>
        <w:pStyle w:val="SingleTxtG"/>
        <w:numPr>
          <w:ilvl w:val="0"/>
          <w:numId w:val="37"/>
        </w:numPr>
        <w:rPr>
          <w:lang w:val="en-US"/>
        </w:rPr>
      </w:pPr>
      <w:r>
        <w:rPr>
          <w:lang w:val="en-US"/>
        </w:rPr>
        <w:t>Scope and applicability (Structure, Scope, Exemptions, Definitions, Transitional measures)</w:t>
      </w:r>
    </w:p>
    <w:p w14:paraId="751DA017" w14:textId="14E5309F" w:rsidR="001E2993" w:rsidRDefault="001E2993" w:rsidP="00D739F6">
      <w:pPr>
        <w:pStyle w:val="SingleTxtG"/>
        <w:numPr>
          <w:ilvl w:val="0"/>
          <w:numId w:val="37"/>
        </w:numPr>
        <w:rPr>
          <w:lang w:val="en-US"/>
        </w:rPr>
      </w:pPr>
      <w:r>
        <w:rPr>
          <w:lang w:val="en-US"/>
        </w:rPr>
        <w:t>Use requirements (complementing Art 1-5 of the agreement).</w:t>
      </w:r>
    </w:p>
    <w:p w14:paraId="0C939482" w14:textId="524B93DD" w:rsidR="001E2993" w:rsidRDefault="001E2993" w:rsidP="00D739F6">
      <w:pPr>
        <w:pStyle w:val="SingleTxtG"/>
        <w:numPr>
          <w:ilvl w:val="0"/>
          <w:numId w:val="37"/>
        </w:numPr>
        <w:rPr>
          <w:lang w:val="en-US"/>
        </w:rPr>
      </w:pPr>
      <w:r>
        <w:rPr>
          <w:lang w:val="en-US"/>
        </w:rPr>
        <w:t>Construction requirements</w:t>
      </w:r>
    </w:p>
    <w:p w14:paraId="14B50656" w14:textId="029FB426" w:rsidR="001E2993" w:rsidRDefault="001E2993" w:rsidP="00D739F6">
      <w:pPr>
        <w:pStyle w:val="SingleTxtG"/>
        <w:numPr>
          <w:ilvl w:val="0"/>
          <w:numId w:val="37"/>
        </w:numPr>
        <w:rPr>
          <w:lang w:val="en-US"/>
        </w:rPr>
      </w:pPr>
      <w:r>
        <w:rPr>
          <w:lang w:val="en-US"/>
        </w:rPr>
        <w:t>Approval of equipment (</w:t>
      </w:r>
      <w:r w:rsidR="00F97E74">
        <w:rPr>
          <w:lang w:val="en-US"/>
        </w:rPr>
        <w:t>c</w:t>
      </w:r>
      <w:r>
        <w:rPr>
          <w:lang w:val="en-US"/>
        </w:rPr>
        <w:t>hecks for conformity, performance of checks, approval of equipment, Type-approval)</w:t>
      </w:r>
    </w:p>
    <w:p w14:paraId="7FC0D32D" w14:textId="433A4C18" w:rsidR="001E2993" w:rsidRDefault="001E2993" w:rsidP="00D739F6">
      <w:pPr>
        <w:pStyle w:val="SingleTxtG"/>
        <w:numPr>
          <w:ilvl w:val="0"/>
          <w:numId w:val="37"/>
        </w:numPr>
        <w:rPr>
          <w:lang w:val="en-US"/>
        </w:rPr>
      </w:pPr>
      <w:r>
        <w:rPr>
          <w:lang w:val="en-US"/>
        </w:rPr>
        <w:t>Checks on equipment (overview of the various test in Annex 1. Appendix</w:t>
      </w:r>
      <w:r w:rsidR="00D739F6">
        <w:rPr>
          <w:lang w:val="en-US"/>
        </w:rPr>
        <w:t> </w:t>
      </w:r>
      <w:r>
        <w:rPr>
          <w:lang w:val="en-US"/>
        </w:rPr>
        <w:t>1)</w:t>
      </w:r>
    </w:p>
    <w:p w14:paraId="23725F8F" w14:textId="1F859730" w:rsidR="001E2993" w:rsidRDefault="001E2993" w:rsidP="00D739F6">
      <w:pPr>
        <w:pStyle w:val="SingleTxtG"/>
        <w:numPr>
          <w:ilvl w:val="0"/>
          <w:numId w:val="37"/>
        </w:numPr>
        <w:rPr>
          <w:lang w:val="en-US"/>
        </w:rPr>
      </w:pPr>
      <w:r>
        <w:rPr>
          <w:lang w:val="en-US"/>
        </w:rPr>
        <w:t>Marking of equipment</w:t>
      </w:r>
    </w:p>
    <w:p w14:paraId="75C8AE50" w14:textId="51A5403E" w:rsidR="001E2993" w:rsidRDefault="001E2993" w:rsidP="00D739F6">
      <w:pPr>
        <w:pStyle w:val="SingleTxtG"/>
        <w:numPr>
          <w:ilvl w:val="0"/>
          <w:numId w:val="37"/>
        </w:numPr>
        <w:rPr>
          <w:lang w:val="en-US"/>
        </w:rPr>
      </w:pPr>
      <w:r>
        <w:rPr>
          <w:lang w:val="en-US"/>
        </w:rPr>
        <w:t>Supervision of production</w:t>
      </w:r>
    </w:p>
    <w:p w14:paraId="1C63B92D" w14:textId="7396C577" w:rsidR="001E2993" w:rsidRPr="00CD4ECD" w:rsidRDefault="00E76344" w:rsidP="00E76344">
      <w:pPr>
        <w:pStyle w:val="H4G"/>
        <w:rPr>
          <w:lang w:val="en-US"/>
        </w:rPr>
      </w:pPr>
      <w:r>
        <w:rPr>
          <w:lang w:val="en-US"/>
        </w:rPr>
        <w:tab/>
      </w:r>
      <w:r>
        <w:rPr>
          <w:lang w:val="en-US"/>
        </w:rPr>
        <w:tab/>
      </w:r>
      <w:r w:rsidR="002F003D">
        <w:rPr>
          <w:lang w:val="en-US"/>
        </w:rPr>
        <w:tab/>
      </w:r>
      <w:r w:rsidR="001E2993" w:rsidRPr="00CD4ECD">
        <w:rPr>
          <w:lang w:val="en-US"/>
        </w:rPr>
        <w:t>Annex 1, Appendix 1</w:t>
      </w:r>
    </w:p>
    <w:p w14:paraId="38C3B43C" w14:textId="615402B8" w:rsidR="001E2993" w:rsidRDefault="001E2993" w:rsidP="006F0BF2">
      <w:pPr>
        <w:pStyle w:val="SingleTxtG"/>
        <w:numPr>
          <w:ilvl w:val="0"/>
          <w:numId w:val="39"/>
        </w:numPr>
        <w:rPr>
          <w:lang w:val="en-US"/>
        </w:rPr>
      </w:pPr>
      <w:r>
        <w:rPr>
          <w:lang w:val="en-US"/>
        </w:rPr>
        <w:t>For each check, inspection or test, a short procedure (regulation) is foreseen, an information document</w:t>
      </w:r>
      <w:r w:rsidR="00336AA1">
        <w:rPr>
          <w:lang w:val="en-US"/>
        </w:rPr>
        <w:t xml:space="preserve"> </w:t>
      </w:r>
      <w:r>
        <w:rPr>
          <w:lang w:val="en-US"/>
        </w:rPr>
        <w:t>(applicant) and test report (testing station/expert).</w:t>
      </w:r>
    </w:p>
    <w:p w14:paraId="0B4559F9" w14:textId="6640A0BB" w:rsidR="001E2993" w:rsidRPr="00BD7579" w:rsidRDefault="00DF53F4" w:rsidP="005C667A">
      <w:pPr>
        <w:pStyle w:val="SingleTxtG"/>
        <w:rPr>
          <w:lang w:val="en-US"/>
        </w:rPr>
      </w:pPr>
      <w:r>
        <w:rPr>
          <w:lang w:val="en-US"/>
        </w:rPr>
        <w:t>20.</w:t>
      </w:r>
      <w:r>
        <w:rPr>
          <w:lang w:val="en-US"/>
        </w:rPr>
        <w:tab/>
      </w:r>
      <w:r w:rsidR="001E2993" w:rsidRPr="00BD7579">
        <w:rPr>
          <w:lang w:val="en-US"/>
        </w:rPr>
        <w:t xml:space="preserve">For some chapters and sections , such as </w:t>
      </w:r>
      <w:r w:rsidR="00F97E74">
        <w:rPr>
          <w:lang w:val="en-US"/>
        </w:rPr>
        <w:t>"</w:t>
      </w:r>
      <w:r w:rsidR="001E2993" w:rsidRPr="00BD7579">
        <w:rPr>
          <w:lang w:val="en-US"/>
        </w:rPr>
        <w:t>use</w:t>
      </w:r>
      <w:r w:rsidR="00F97E74">
        <w:rPr>
          <w:lang w:val="en-US"/>
        </w:rPr>
        <w:t>"</w:t>
      </w:r>
      <w:r w:rsidR="001E2993" w:rsidRPr="00BD7579">
        <w:rPr>
          <w:lang w:val="en-US"/>
        </w:rPr>
        <w:t xml:space="preserve"> or </w:t>
      </w:r>
      <w:r w:rsidR="00F97E74">
        <w:rPr>
          <w:lang w:val="en-US"/>
        </w:rPr>
        <w:t>"</w:t>
      </w:r>
      <w:r w:rsidR="001E2993" w:rsidRPr="00BD7579">
        <w:rPr>
          <w:lang w:val="en-US"/>
        </w:rPr>
        <w:t>Exemptions</w:t>
      </w:r>
      <w:r w:rsidR="00F97E74">
        <w:rPr>
          <w:lang w:val="en-US"/>
        </w:rPr>
        <w:t>"</w:t>
      </w:r>
      <w:r w:rsidR="001E2993" w:rsidRPr="00BD7579">
        <w:rPr>
          <w:lang w:val="en-US"/>
        </w:rPr>
        <w:t xml:space="preserve"> there is nothing included for the moment. However, it is expected that these new sections hep further development of the regulation. </w:t>
      </w:r>
    </w:p>
    <w:p w14:paraId="5E84FD02" w14:textId="43CED75E" w:rsidR="001E2993" w:rsidRPr="00CD4ECD" w:rsidRDefault="005F683D" w:rsidP="005F683D">
      <w:pPr>
        <w:pStyle w:val="HChG"/>
        <w:rPr>
          <w:lang w:val="en-US"/>
        </w:rPr>
      </w:pPr>
      <w:r>
        <w:rPr>
          <w:lang w:val="en-US"/>
        </w:rPr>
        <w:tab/>
      </w:r>
      <w:r w:rsidR="00A744C6">
        <w:rPr>
          <w:lang w:val="en-US"/>
        </w:rPr>
        <w:t>VII.</w:t>
      </w:r>
      <w:r>
        <w:rPr>
          <w:lang w:val="en-US"/>
        </w:rPr>
        <w:tab/>
      </w:r>
      <w:r w:rsidR="001E2993" w:rsidRPr="00CD4ECD">
        <w:rPr>
          <w:lang w:val="en-US"/>
        </w:rPr>
        <w:t xml:space="preserve">Efficiency test of </w:t>
      </w:r>
      <w:r w:rsidR="003F37A2">
        <w:rPr>
          <w:lang w:val="en-US"/>
        </w:rPr>
        <w:t>n</w:t>
      </w:r>
      <w:r w:rsidR="001E2993" w:rsidRPr="00CD4ECD">
        <w:rPr>
          <w:lang w:val="en-US"/>
        </w:rPr>
        <w:t>on-independent units.</w:t>
      </w:r>
    </w:p>
    <w:p w14:paraId="0DA0DE3E" w14:textId="586320F7" w:rsidR="001E2993" w:rsidRPr="00540986" w:rsidRDefault="00DF53F4" w:rsidP="00DF53F4">
      <w:pPr>
        <w:pStyle w:val="SingleTxtG"/>
        <w:rPr>
          <w:lang w:val="en-US"/>
        </w:rPr>
      </w:pPr>
      <w:r>
        <w:rPr>
          <w:lang w:val="en-US"/>
        </w:rPr>
        <w:t>21.</w:t>
      </w:r>
      <w:r>
        <w:rPr>
          <w:lang w:val="en-US"/>
        </w:rPr>
        <w:tab/>
      </w:r>
      <w:r w:rsidR="001E2993" w:rsidRPr="00540986">
        <w:rPr>
          <w:lang w:val="en-US"/>
        </w:rPr>
        <w:t>A number of years ago an additional test was introduced for units of which the compressor is driven by the vehicle engine. At idle speed temperature should be able to be maintained. A transitional measure was fore seen, in such a way that only new equipment constructed for a certain date need to comply.</w:t>
      </w:r>
    </w:p>
    <w:p w14:paraId="6F7AB6BB" w14:textId="58F7CAE6" w:rsidR="001E2993" w:rsidRDefault="001E2993" w:rsidP="00DF53F4">
      <w:pPr>
        <w:pStyle w:val="SingleTxtG"/>
        <w:rPr>
          <w:lang w:val="en-US"/>
        </w:rPr>
      </w:pPr>
      <w:r>
        <w:rPr>
          <w:lang w:val="en-US"/>
        </w:rPr>
        <w:t>2</w:t>
      </w:r>
      <w:r w:rsidR="00DF53F4">
        <w:rPr>
          <w:lang w:val="en-US"/>
        </w:rPr>
        <w:t>2</w:t>
      </w:r>
      <w:r>
        <w:rPr>
          <w:lang w:val="en-US"/>
        </w:rPr>
        <w:t>.</w:t>
      </w:r>
      <w:r>
        <w:rPr>
          <w:lang w:val="en-US"/>
        </w:rPr>
        <w:tab/>
      </w:r>
      <w:r w:rsidRPr="00BD7579">
        <w:rPr>
          <w:lang w:val="en-US"/>
        </w:rPr>
        <w:t xml:space="preserve">The expert of Italy remarked that they had performed a number of tests and that the performance of the unit was in some cases not possible. The basic problem is the starting temperature of the insulated body and the ambient temperature. If the insulated body is at ambient temperature at the beginning of the test, the unit has to give an extra performance once the inside air temperature was reached, as heat is still coming out of the walls. </w:t>
      </w:r>
      <w:r>
        <w:rPr>
          <w:lang w:val="en-US"/>
        </w:rPr>
        <w:t>It was advised to bring this to the WP.11 meeting as an official document.</w:t>
      </w:r>
    </w:p>
    <w:p w14:paraId="74F6B989" w14:textId="01312B67" w:rsidR="001E2993" w:rsidRDefault="00DF53F4" w:rsidP="00DF53F4">
      <w:pPr>
        <w:pStyle w:val="HChG"/>
        <w:rPr>
          <w:lang w:val="en-US"/>
        </w:rPr>
      </w:pPr>
      <w:r>
        <w:rPr>
          <w:lang w:val="en-US"/>
        </w:rPr>
        <w:tab/>
      </w:r>
      <w:r w:rsidR="00AD4B23">
        <w:rPr>
          <w:lang w:val="en-US"/>
        </w:rPr>
        <w:t>VIII.</w:t>
      </w:r>
      <w:r>
        <w:rPr>
          <w:lang w:val="en-US"/>
        </w:rPr>
        <w:tab/>
      </w:r>
      <w:r w:rsidR="001E2993" w:rsidRPr="003C1020">
        <w:rPr>
          <w:lang w:val="en-US"/>
        </w:rPr>
        <w:t>Environmental concerns</w:t>
      </w:r>
    </w:p>
    <w:p w14:paraId="74828518" w14:textId="71290884" w:rsidR="001E2993" w:rsidRPr="00DF53F4" w:rsidRDefault="00DF53F4" w:rsidP="00DF53F4">
      <w:pPr>
        <w:pStyle w:val="SingleTxtG"/>
      </w:pPr>
      <w:r>
        <w:rPr>
          <w:lang w:val="en-US"/>
        </w:rPr>
        <w:t>23.</w:t>
      </w:r>
      <w:r>
        <w:rPr>
          <w:lang w:val="en-US"/>
        </w:rPr>
        <w:tab/>
      </w:r>
      <w:r w:rsidR="001E2993">
        <w:rPr>
          <w:lang w:val="en-US"/>
        </w:rPr>
        <w:t>W</w:t>
      </w:r>
      <w:r w:rsidR="001E2993" w:rsidRPr="00FD7B21">
        <w:rPr>
          <w:lang w:val="en-US"/>
        </w:rPr>
        <w:t xml:space="preserve">P.11 is charged by the </w:t>
      </w:r>
      <w:r w:rsidR="008E25D4">
        <w:rPr>
          <w:lang w:val="en-US"/>
        </w:rPr>
        <w:t>Inland Transport Committee (</w:t>
      </w:r>
      <w:r w:rsidR="001E2993" w:rsidRPr="00FD7B21">
        <w:rPr>
          <w:lang w:val="en-US"/>
        </w:rPr>
        <w:t>ITC</w:t>
      </w:r>
      <w:r w:rsidR="008E25D4">
        <w:rPr>
          <w:lang w:val="en-US"/>
        </w:rPr>
        <w:t>)</w:t>
      </w:r>
      <w:r w:rsidR="001E2993" w:rsidRPr="00FD7B21">
        <w:rPr>
          <w:lang w:val="en-US"/>
        </w:rPr>
        <w:t xml:space="preserve"> to take measures to reduce the carbon for print of transport. A short </w:t>
      </w:r>
      <w:r w:rsidR="001E2993" w:rsidRPr="00DF53F4">
        <w:t xml:space="preserve">list was presented for a discussion offering interesting insights. One was to challenge manufacturers of insulating material and body manufacturers to develop further by lowering the K value in the future, and propose a greater vehicle width and height to allow for thicker insulation. It was also said that the proper use of equipment is an important factor (correct set temperature/door openings) and </w:t>
      </w:r>
      <w:r w:rsidR="001E2993" w:rsidRPr="00DF53F4">
        <w:lastRenderedPageBreak/>
        <w:t>that a guidance document on the proper use of equipment could be envisaged on the UNECE website for the ATP.</w:t>
      </w:r>
    </w:p>
    <w:p w14:paraId="76DD86CA" w14:textId="7A1F8A30" w:rsidR="001E2993" w:rsidRPr="003D6141" w:rsidRDefault="00DF53F4" w:rsidP="00DF53F4">
      <w:pPr>
        <w:pStyle w:val="HChG"/>
        <w:rPr>
          <w:lang w:val="en-US"/>
        </w:rPr>
      </w:pPr>
      <w:r>
        <w:rPr>
          <w:lang w:val="en-US"/>
        </w:rPr>
        <w:tab/>
      </w:r>
      <w:r w:rsidR="00AD4B23">
        <w:rPr>
          <w:lang w:val="en-US"/>
        </w:rPr>
        <w:t>IX.</w:t>
      </w:r>
      <w:r>
        <w:rPr>
          <w:lang w:val="en-US"/>
        </w:rPr>
        <w:tab/>
      </w:r>
      <w:r w:rsidR="001E2993" w:rsidRPr="003D6141">
        <w:rPr>
          <w:lang w:val="en-US"/>
        </w:rPr>
        <w:t>Mandate</w:t>
      </w:r>
    </w:p>
    <w:p w14:paraId="3D12D48D" w14:textId="58B1C048" w:rsidR="001E2993" w:rsidRDefault="00A744C6" w:rsidP="00DF53F4">
      <w:pPr>
        <w:pStyle w:val="SingleTxtG"/>
        <w:rPr>
          <w:lang w:val="en-US"/>
        </w:rPr>
      </w:pPr>
      <w:r>
        <w:rPr>
          <w:lang w:val="en-US"/>
        </w:rPr>
        <w:t>24.</w:t>
      </w:r>
      <w:r>
        <w:rPr>
          <w:lang w:val="en-US"/>
        </w:rPr>
        <w:tab/>
      </w:r>
      <w:r w:rsidR="001E2993" w:rsidRPr="00FD7B21">
        <w:rPr>
          <w:lang w:val="en-US"/>
        </w:rPr>
        <w:t xml:space="preserve">WP.11 is requested to extend the mandate of the </w:t>
      </w:r>
      <w:r w:rsidR="00D27B56">
        <w:rPr>
          <w:lang w:val="en-US"/>
        </w:rPr>
        <w:t>i</w:t>
      </w:r>
      <w:r w:rsidR="001E2993" w:rsidRPr="00FD7B21">
        <w:rPr>
          <w:lang w:val="en-US"/>
        </w:rPr>
        <w:t xml:space="preserve">nformal </w:t>
      </w:r>
      <w:r w:rsidR="00D27B56">
        <w:rPr>
          <w:lang w:val="en-US"/>
        </w:rPr>
        <w:t>w</w:t>
      </w:r>
      <w:r w:rsidR="001E2993" w:rsidRPr="00FD7B21">
        <w:rPr>
          <w:lang w:val="en-US"/>
        </w:rPr>
        <w:t xml:space="preserve">orking </w:t>
      </w:r>
      <w:r w:rsidR="00D27B56">
        <w:rPr>
          <w:lang w:val="en-US"/>
        </w:rPr>
        <w:t>g</w:t>
      </w:r>
      <w:r w:rsidR="001E2993" w:rsidRPr="00FD7B21">
        <w:rPr>
          <w:lang w:val="en-US"/>
        </w:rPr>
        <w:t>roup for another year.</w:t>
      </w:r>
    </w:p>
    <w:p w14:paraId="6EFC15D7" w14:textId="57DECCF2" w:rsidR="00A744C6" w:rsidRPr="00A744C6" w:rsidRDefault="00A744C6" w:rsidP="00A744C6">
      <w:pPr>
        <w:spacing w:before="240"/>
        <w:jc w:val="center"/>
        <w:rPr>
          <w:u w:val="single"/>
          <w:lang w:val="en-US"/>
        </w:rPr>
      </w:pPr>
      <w:r>
        <w:rPr>
          <w:u w:val="single"/>
          <w:lang w:val="en-US"/>
        </w:rPr>
        <w:tab/>
      </w:r>
      <w:r>
        <w:rPr>
          <w:u w:val="single"/>
          <w:lang w:val="en-US"/>
        </w:rPr>
        <w:tab/>
      </w:r>
      <w:r>
        <w:rPr>
          <w:u w:val="single"/>
          <w:lang w:val="en-US"/>
        </w:rPr>
        <w:tab/>
      </w:r>
    </w:p>
    <w:sectPr w:rsidR="00A744C6" w:rsidRPr="00A744C6"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08AE" w14:textId="77777777" w:rsidR="00A861C8" w:rsidRPr="00FB1744" w:rsidRDefault="00A861C8" w:rsidP="00FB1744">
      <w:pPr>
        <w:pStyle w:val="Footer"/>
      </w:pPr>
    </w:p>
  </w:endnote>
  <w:endnote w:type="continuationSeparator" w:id="0">
    <w:p w14:paraId="074C16DB" w14:textId="77777777" w:rsidR="00A861C8" w:rsidRPr="00FB1744" w:rsidRDefault="00A861C8" w:rsidP="00FB1744">
      <w:pPr>
        <w:pStyle w:val="Footer"/>
      </w:pPr>
    </w:p>
  </w:endnote>
  <w:endnote w:type="continuationNotice" w:id="1">
    <w:p w14:paraId="1022417C" w14:textId="77777777" w:rsidR="00A861C8" w:rsidRDefault="00A86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4352" w14:textId="77777777" w:rsidR="00A861C8" w:rsidRPr="00FB1744" w:rsidRDefault="00A861C8" w:rsidP="00FB1744">
      <w:pPr>
        <w:tabs>
          <w:tab w:val="right" w:pos="2155"/>
        </w:tabs>
        <w:spacing w:after="80" w:line="240" w:lineRule="auto"/>
        <w:ind w:left="680"/>
      </w:pPr>
      <w:r>
        <w:rPr>
          <w:u w:val="single"/>
        </w:rPr>
        <w:tab/>
      </w:r>
    </w:p>
  </w:footnote>
  <w:footnote w:type="continuationSeparator" w:id="0">
    <w:p w14:paraId="236A56F9" w14:textId="77777777" w:rsidR="00A861C8" w:rsidRPr="00FB1744" w:rsidRDefault="00A861C8" w:rsidP="00FB1744">
      <w:pPr>
        <w:tabs>
          <w:tab w:val="right" w:pos="2155"/>
        </w:tabs>
        <w:spacing w:after="80" w:line="240" w:lineRule="auto"/>
        <w:ind w:left="680"/>
      </w:pPr>
      <w:r>
        <w:rPr>
          <w:u w:val="single"/>
        </w:rPr>
        <w:tab/>
      </w:r>
    </w:p>
  </w:footnote>
  <w:footnote w:type="continuationNotice" w:id="1">
    <w:p w14:paraId="6613799A" w14:textId="77777777" w:rsidR="00A861C8" w:rsidRDefault="00A861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5BE4A2B6" w:rsidR="002D18CF" w:rsidRPr="000C2B80" w:rsidRDefault="000C2B80" w:rsidP="002D18CF">
    <w:pPr>
      <w:pStyle w:val="Header"/>
      <w:rPr>
        <w:lang w:val="fr-CH"/>
      </w:rPr>
    </w:pPr>
    <w:r>
      <w:rPr>
        <w:lang w:val="fr-CH"/>
      </w:rPr>
      <w:t>INF.</w:t>
    </w:r>
    <w:r w:rsidR="009E36A4">
      <w:rPr>
        <w:lang w:val="fr-CH"/>
      </w:rPr>
      <w:t>1</w:t>
    </w:r>
    <w:r w:rsidR="001E2993">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6D430318" w:rsidR="002D18CF" w:rsidRPr="000C2B80" w:rsidRDefault="000C2B80" w:rsidP="002D18CF">
    <w:pPr>
      <w:pStyle w:val="Header"/>
      <w:jc w:val="right"/>
      <w:rPr>
        <w:lang w:val="fr-CH"/>
      </w:rPr>
    </w:pPr>
    <w:r>
      <w:rPr>
        <w:lang w:val="fr-CH"/>
      </w:rPr>
      <w:t>INF.</w:t>
    </w:r>
    <w:r w:rsidR="009E36A4">
      <w:rPr>
        <w:lang w:val="fr-CH"/>
      </w:rPr>
      <w:t>1</w:t>
    </w:r>
    <w:r w:rsidR="001E2993">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350"/>
        </w:tabs>
        <w:ind w:left="135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2F42D4"/>
    <w:multiLevelType w:val="hybridMultilevel"/>
    <w:tmpl w:val="0A1E6C50"/>
    <w:lvl w:ilvl="0" w:tplc="FFFFFFFF">
      <w:start w:val="1"/>
      <w:numFmt w:val="decimal"/>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4" w15:restartNumberingAfterBreak="0">
    <w:nsid w:val="159C46CE"/>
    <w:multiLevelType w:val="hybridMultilevel"/>
    <w:tmpl w:val="0A1E6C5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D57114"/>
    <w:multiLevelType w:val="hybridMultilevel"/>
    <w:tmpl w:val="0A1E6C50"/>
    <w:lvl w:ilvl="0" w:tplc="FFFFFFFF">
      <w:start w:val="1"/>
      <w:numFmt w:val="decimal"/>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2EF10E4A"/>
    <w:multiLevelType w:val="hybridMultilevel"/>
    <w:tmpl w:val="E9B8C8E0"/>
    <w:lvl w:ilvl="0" w:tplc="7F7E9B0E">
      <w:start w:val="1"/>
      <w:numFmt w:val="decimal"/>
      <w:lvlText w:val="%1."/>
      <w:lvlJc w:val="left"/>
      <w:pPr>
        <w:ind w:left="360" w:hanging="360"/>
      </w:pPr>
      <w:rPr>
        <w:rFonts w:hint="default"/>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D406B1"/>
    <w:multiLevelType w:val="hybridMultilevel"/>
    <w:tmpl w:val="AF32BCF4"/>
    <w:lvl w:ilvl="0" w:tplc="0310FF24">
      <w:start w:val="11"/>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5"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FF4EEC"/>
    <w:multiLevelType w:val="hybridMultilevel"/>
    <w:tmpl w:val="DECA68B2"/>
    <w:lvl w:ilvl="0" w:tplc="B4D6E8A6">
      <w:start w:val="21"/>
      <w:numFmt w:val="decimal"/>
      <w:lvlText w:val="%1."/>
      <w:lvlJc w:val="left"/>
      <w:pPr>
        <w:ind w:left="9008" w:hanging="360"/>
      </w:pPr>
      <w:rPr>
        <w:rFonts w:hint="default"/>
      </w:rPr>
    </w:lvl>
    <w:lvl w:ilvl="1" w:tplc="04130019" w:tentative="1">
      <w:start w:val="1"/>
      <w:numFmt w:val="lowerLetter"/>
      <w:lvlText w:val="%2."/>
      <w:lvlJc w:val="left"/>
      <w:pPr>
        <w:ind w:left="9728" w:hanging="360"/>
      </w:pPr>
    </w:lvl>
    <w:lvl w:ilvl="2" w:tplc="0413001B" w:tentative="1">
      <w:start w:val="1"/>
      <w:numFmt w:val="lowerRoman"/>
      <w:lvlText w:val="%3."/>
      <w:lvlJc w:val="right"/>
      <w:pPr>
        <w:ind w:left="10448" w:hanging="180"/>
      </w:pPr>
    </w:lvl>
    <w:lvl w:ilvl="3" w:tplc="0413000F" w:tentative="1">
      <w:start w:val="1"/>
      <w:numFmt w:val="decimal"/>
      <w:lvlText w:val="%4."/>
      <w:lvlJc w:val="left"/>
      <w:pPr>
        <w:ind w:left="11168" w:hanging="360"/>
      </w:pPr>
    </w:lvl>
    <w:lvl w:ilvl="4" w:tplc="04130019" w:tentative="1">
      <w:start w:val="1"/>
      <w:numFmt w:val="lowerLetter"/>
      <w:lvlText w:val="%5."/>
      <w:lvlJc w:val="left"/>
      <w:pPr>
        <w:ind w:left="11888" w:hanging="360"/>
      </w:pPr>
    </w:lvl>
    <w:lvl w:ilvl="5" w:tplc="0413001B" w:tentative="1">
      <w:start w:val="1"/>
      <w:numFmt w:val="lowerRoman"/>
      <w:lvlText w:val="%6."/>
      <w:lvlJc w:val="right"/>
      <w:pPr>
        <w:ind w:left="12608" w:hanging="180"/>
      </w:pPr>
    </w:lvl>
    <w:lvl w:ilvl="6" w:tplc="0413000F" w:tentative="1">
      <w:start w:val="1"/>
      <w:numFmt w:val="decimal"/>
      <w:lvlText w:val="%7."/>
      <w:lvlJc w:val="left"/>
      <w:pPr>
        <w:ind w:left="13328" w:hanging="360"/>
      </w:pPr>
    </w:lvl>
    <w:lvl w:ilvl="7" w:tplc="04130019" w:tentative="1">
      <w:start w:val="1"/>
      <w:numFmt w:val="lowerLetter"/>
      <w:lvlText w:val="%8."/>
      <w:lvlJc w:val="left"/>
      <w:pPr>
        <w:ind w:left="14048" w:hanging="360"/>
      </w:pPr>
    </w:lvl>
    <w:lvl w:ilvl="8" w:tplc="0413001B" w:tentative="1">
      <w:start w:val="1"/>
      <w:numFmt w:val="lowerRoman"/>
      <w:lvlText w:val="%9."/>
      <w:lvlJc w:val="right"/>
      <w:pPr>
        <w:ind w:left="14768" w:hanging="180"/>
      </w:pPr>
    </w:lvl>
  </w:abstractNum>
  <w:abstractNum w:abstractNumId="27"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32"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5464B1"/>
    <w:multiLevelType w:val="hybridMultilevel"/>
    <w:tmpl w:val="D6A29642"/>
    <w:lvl w:ilvl="0" w:tplc="CA0222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54559454">
    <w:abstractNumId w:val="22"/>
  </w:num>
  <w:num w:numId="2" w16cid:durableId="1857032750">
    <w:abstractNumId w:val="19"/>
  </w:num>
  <w:num w:numId="3" w16cid:durableId="529992993">
    <w:abstractNumId w:val="10"/>
  </w:num>
  <w:num w:numId="4" w16cid:durableId="710811397">
    <w:abstractNumId w:val="28"/>
  </w:num>
  <w:num w:numId="5" w16cid:durableId="692607390">
    <w:abstractNumId w:val="29"/>
  </w:num>
  <w:num w:numId="6" w16cid:durableId="1563179248">
    <w:abstractNumId w:val="37"/>
  </w:num>
  <w:num w:numId="7" w16cid:durableId="1667126126">
    <w:abstractNumId w:val="15"/>
  </w:num>
  <w:num w:numId="8" w16cid:durableId="1297029083">
    <w:abstractNumId w:val="20"/>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6"/>
  </w:num>
  <w:num w:numId="20" w16cid:durableId="1313559770">
    <w:abstractNumId w:val="23"/>
  </w:num>
  <w:num w:numId="21" w16cid:durableId="1863590354">
    <w:abstractNumId w:val="18"/>
  </w:num>
  <w:num w:numId="22" w16cid:durableId="1233155694">
    <w:abstractNumId w:val="30"/>
  </w:num>
  <w:num w:numId="23" w16cid:durableId="497816441">
    <w:abstractNumId w:val="36"/>
  </w:num>
  <w:num w:numId="24" w16cid:durableId="1566840734">
    <w:abstractNumId w:val="12"/>
  </w:num>
  <w:num w:numId="25" w16cid:durableId="618222841">
    <w:abstractNumId w:val="35"/>
  </w:num>
  <w:num w:numId="26" w16cid:durableId="781847476">
    <w:abstractNumId w:val="27"/>
  </w:num>
  <w:num w:numId="27" w16cid:durableId="24016073">
    <w:abstractNumId w:val="31"/>
  </w:num>
  <w:num w:numId="28" w16cid:durableId="1019814589">
    <w:abstractNumId w:val="11"/>
  </w:num>
  <w:num w:numId="29" w16cid:durableId="793522595">
    <w:abstractNumId w:val="33"/>
  </w:num>
  <w:num w:numId="30" w16cid:durableId="1722435944">
    <w:abstractNumId w:val="25"/>
  </w:num>
  <w:num w:numId="31" w16cid:durableId="687831534">
    <w:abstractNumId w:val="32"/>
  </w:num>
  <w:num w:numId="32" w16cid:durableId="101608583">
    <w:abstractNumId w:val="34"/>
  </w:num>
  <w:num w:numId="33" w16cid:durableId="1624772806">
    <w:abstractNumId w:val="21"/>
  </w:num>
  <w:num w:numId="34" w16cid:durableId="1022587136">
    <w:abstractNumId w:val="24"/>
  </w:num>
  <w:num w:numId="35" w16cid:durableId="1806697271">
    <w:abstractNumId w:val="26"/>
  </w:num>
  <w:num w:numId="36" w16cid:durableId="412051458">
    <w:abstractNumId w:val="38"/>
  </w:num>
  <w:num w:numId="37" w16cid:durableId="1165317989">
    <w:abstractNumId w:val="14"/>
  </w:num>
  <w:num w:numId="38" w16cid:durableId="2037002236">
    <w:abstractNumId w:val="13"/>
  </w:num>
  <w:num w:numId="39" w16cid:durableId="1782410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23813"/>
    <w:rsid w:val="00046E92"/>
    <w:rsid w:val="00087AD8"/>
    <w:rsid w:val="000B664C"/>
    <w:rsid w:val="000C1C74"/>
    <w:rsid w:val="000C29EF"/>
    <w:rsid w:val="000C2B80"/>
    <w:rsid w:val="000D1B89"/>
    <w:rsid w:val="000D7BA0"/>
    <w:rsid w:val="001020C6"/>
    <w:rsid w:val="0011479F"/>
    <w:rsid w:val="001147F3"/>
    <w:rsid w:val="001170DC"/>
    <w:rsid w:val="001408E0"/>
    <w:rsid w:val="001511C6"/>
    <w:rsid w:val="00180350"/>
    <w:rsid w:val="0018353A"/>
    <w:rsid w:val="001A09F4"/>
    <w:rsid w:val="001A23EE"/>
    <w:rsid w:val="001C2868"/>
    <w:rsid w:val="001C4519"/>
    <w:rsid w:val="001C5536"/>
    <w:rsid w:val="001E105A"/>
    <w:rsid w:val="001E2993"/>
    <w:rsid w:val="001E391D"/>
    <w:rsid w:val="001E4853"/>
    <w:rsid w:val="001E5750"/>
    <w:rsid w:val="0020274B"/>
    <w:rsid w:val="00202A4B"/>
    <w:rsid w:val="00221675"/>
    <w:rsid w:val="002270AC"/>
    <w:rsid w:val="00231E6A"/>
    <w:rsid w:val="002340E4"/>
    <w:rsid w:val="00235A30"/>
    <w:rsid w:val="00247E2C"/>
    <w:rsid w:val="00282508"/>
    <w:rsid w:val="002830DC"/>
    <w:rsid w:val="002A26AF"/>
    <w:rsid w:val="002D18CF"/>
    <w:rsid w:val="002D439F"/>
    <w:rsid w:val="002D6C53"/>
    <w:rsid w:val="002F003D"/>
    <w:rsid w:val="002F07D0"/>
    <w:rsid w:val="002F5595"/>
    <w:rsid w:val="002F56B7"/>
    <w:rsid w:val="00316E51"/>
    <w:rsid w:val="0032099E"/>
    <w:rsid w:val="00334F6A"/>
    <w:rsid w:val="00336AA1"/>
    <w:rsid w:val="00342AC8"/>
    <w:rsid w:val="00365F42"/>
    <w:rsid w:val="003B4550"/>
    <w:rsid w:val="003C0A45"/>
    <w:rsid w:val="003C2D00"/>
    <w:rsid w:val="003D5193"/>
    <w:rsid w:val="003F1DFF"/>
    <w:rsid w:val="003F37A2"/>
    <w:rsid w:val="003F5D8E"/>
    <w:rsid w:val="00400AD6"/>
    <w:rsid w:val="004032A8"/>
    <w:rsid w:val="00417397"/>
    <w:rsid w:val="0041767D"/>
    <w:rsid w:val="004255FE"/>
    <w:rsid w:val="00426FA2"/>
    <w:rsid w:val="0043448D"/>
    <w:rsid w:val="00456087"/>
    <w:rsid w:val="0045743F"/>
    <w:rsid w:val="00461253"/>
    <w:rsid w:val="00461F59"/>
    <w:rsid w:val="004671E3"/>
    <w:rsid w:val="0048437E"/>
    <w:rsid w:val="004934C6"/>
    <w:rsid w:val="004C0238"/>
    <w:rsid w:val="005042C2"/>
    <w:rsid w:val="00506C12"/>
    <w:rsid w:val="00511F08"/>
    <w:rsid w:val="005270FC"/>
    <w:rsid w:val="00552466"/>
    <w:rsid w:val="0056599A"/>
    <w:rsid w:val="00587690"/>
    <w:rsid w:val="005B08D1"/>
    <w:rsid w:val="005C1032"/>
    <w:rsid w:val="005C667A"/>
    <w:rsid w:val="005C70FF"/>
    <w:rsid w:val="005D024A"/>
    <w:rsid w:val="005D4454"/>
    <w:rsid w:val="005F06F2"/>
    <w:rsid w:val="005F683D"/>
    <w:rsid w:val="005F7003"/>
    <w:rsid w:val="006079CB"/>
    <w:rsid w:val="006120A0"/>
    <w:rsid w:val="0063317C"/>
    <w:rsid w:val="006604B7"/>
    <w:rsid w:val="00671529"/>
    <w:rsid w:val="00687DFE"/>
    <w:rsid w:val="00695892"/>
    <w:rsid w:val="006B24B4"/>
    <w:rsid w:val="006C0D53"/>
    <w:rsid w:val="006E6D4D"/>
    <w:rsid w:val="006F0BF2"/>
    <w:rsid w:val="006F40C3"/>
    <w:rsid w:val="00703BBD"/>
    <w:rsid w:val="00717266"/>
    <w:rsid w:val="007268F9"/>
    <w:rsid w:val="00734017"/>
    <w:rsid w:val="007530AE"/>
    <w:rsid w:val="00761D32"/>
    <w:rsid w:val="00770E69"/>
    <w:rsid w:val="00780A81"/>
    <w:rsid w:val="00783ABD"/>
    <w:rsid w:val="00785363"/>
    <w:rsid w:val="00787570"/>
    <w:rsid w:val="007C52B0"/>
    <w:rsid w:val="007D27B8"/>
    <w:rsid w:val="007E3E3A"/>
    <w:rsid w:val="007F0335"/>
    <w:rsid w:val="007F306C"/>
    <w:rsid w:val="00813AC3"/>
    <w:rsid w:val="00815873"/>
    <w:rsid w:val="00836DAC"/>
    <w:rsid w:val="00847DAD"/>
    <w:rsid w:val="00887F31"/>
    <w:rsid w:val="008A40B9"/>
    <w:rsid w:val="008D060F"/>
    <w:rsid w:val="008E25D4"/>
    <w:rsid w:val="008F736F"/>
    <w:rsid w:val="00901D57"/>
    <w:rsid w:val="009265CB"/>
    <w:rsid w:val="00926AA8"/>
    <w:rsid w:val="009411B4"/>
    <w:rsid w:val="009506A5"/>
    <w:rsid w:val="00955E2B"/>
    <w:rsid w:val="009818FD"/>
    <w:rsid w:val="00994049"/>
    <w:rsid w:val="009A34E1"/>
    <w:rsid w:val="009A63F6"/>
    <w:rsid w:val="009D0139"/>
    <w:rsid w:val="009E36A4"/>
    <w:rsid w:val="009E4218"/>
    <w:rsid w:val="009E6429"/>
    <w:rsid w:val="009F5CDC"/>
    <w:rsid w:val="00A032EB"/>
    <w:rsid w:val="00A068BC"/>
    <w:rsid w:val="00A10EF0"/>
    <w:rsid w:val="00A20E5C"/>
    <w:rsid w:val="00A429CD"/>
    <w:rsid w:val="00A461F1"/>
    <w:rsid w:val="00A56530"/>
    <w:rsid w:val="00A64C7A"/>
    <w:rsid w:val="00A7359C"/>
    <w:rsid w:val="00A744C6"/>
    <w:rsid w:val="00A775CF"/>
    <w:rsid w:val="00A861C8"/>
    <w:rsid w:val="00AB3C7E"/>
    <w:rsid w:val="00AC33BC"/>
    <w:rsid w:val="00AC6E50"/>
    <w:rsid w:val="00AD4B23"/>
    <w:rsid w:val="00AE710D"/>
    <w:rsid w:val="00AF5845"/>
    <w:rsid w:val="00B06045"/>
    <w:rsid w:val="00B11CBD"/>
    <w:rsid w:val="00B22D81"/>
    <w:rsid w:val="00B4553E"/>
    <w:rsid w:val="00B662C1"/>
    <w:rsid w:val="00B768C2"/>
    <w:rsid w:val="00B95EF6"/>
    <w:rsid w:val="00BA6DE9"/>
    <w:rsid w:val="00BB16E9"/>
    <w:rsid w:val="00BB780A"/>
    <w:rsid w:val="00BF7E2B"/>
    <w:rsid w:val="00C06F64"/>
    <w:rsid w:val="00C0783E"/>
    <w:rsid w:val="00C23F91"/>
    <w:rsid w:val="00C32109"/>
    <w:rsid w:val="00C35A27"/>
    <w:rsid w:val="00C46016"/>
    <w:rsid w:val="00C52897"/>
    <w:rsid w:val="00C54041"/>
    <w:rsid w:val="00C560A4"/>
    <w:rsid w:val="00C70780"/>
    <w:rsid w:val="00C83B36"/>
    <w:rsid w:val="00C94CCC"/>
    <w:rsid w:val="00CA5F05"/>
    <w:rsid w:val="00CB00E9"/>
    <w:rsid w:val="00CB78BA"/>
    <w:rsid w:val="00CC2E0B"/>
    <w:rsid w:val="00CC5433"/>
    <w:rsid w:val="00CC6247"/>
    <w:rsid w:val="00CD5661"/>
    <w:rsid w:val="00CF36F8"/>
    <w:rsid w:val="00D27B56"/>
    <w:rsid w:val="00D56775"/>
    <w:rsid w:val="00D739F6"/>
    <w:rsid w:val="00DE33BB"/>
    <w:rsid w:val="00DF38C7"/>
    <w:rsid w:val="00DF53F4"/>
    <w:rsid w:val="00E00163"/>
    <w:rsid w:val="00E02C2B"/>
    <w:rsid w:val="00E05DDE"/>
    <w:rsid w:val="00E113C0"/>
    <w:rsid w:val="00E16DF7"/>
    <w:rsid w:val="00E45DC4"/>
    <w:rsid w:val="00E507D8"/>
    <w:rsid w:val="00E7067E"/>
    <w:rsid w:val="00E76344"/>
    <w:rsid w:val="00EA30C2"/>
    <w:rsid w:val="00EA6ADF"/>
    <w:rsid w:val="00EB3BEF"/>
    <w:rsid w:val="00EB4157"/>
    <w:rsid w:val="00EC3BE2"/>
    <w:rsid w:val="00EC5F7E"/>
    <w:rsid w:val="00ED6C48"/>
    <w:rsid w:val="00EF19FA"/>
    <w:rsid w:val="00F65DAA"/>
    <w:rsid w:val="00F65F5D"/>
    <w:rsid w:val="00F750DD"/>
    <w:rsid w:val="00F75A4B"/>
    <w:rsid w:val="00F76595"/>
    <w:rsid w:val="00F86A3A"/>
    <w:rsid w:val="00F90144"/>
    <w:rsid w:val="00F97E74"/>
    <w:rsid w:val="00FA0139"/>
    <w:rsid w:val="00FB1744"/>
    <w:rsid w:val="00FB7F41"/>
    <w:rsid w:val="00FC04AB"/>
    <w:rsid w:val="00FE0F56"/>
    <w:rsid w:val="00FF2D3C"/>
    <w:rsid w:val="00FF3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1275</Words>
  <Characters>7855</Characters>
  <Application>Microsoft Office Word</Application>
  <DocSecurity>0</DocSecurity>
  <Lines>1309</Lines>
  <Paragraphs>480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60</cp:revision>
  <dcterms:created xsi:type="dcterms:W3CDTF">2023-10-18T09:09:00Z</dcterms:created>
  <dcterms:modified xsi:type="dcterms:W3CDTF">2023-10-18T12:52:00Z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