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CF7B775" w14:textId="77777777" w:rsidTr="00B20551">
        <w:trPr>
          <w:cantSplit/>
          <w:trHeight w:hRule="exact" w:val="851"/>
        </w:trPr>
        <w:tc>
          <w:tcPr>
            <w:tcW w:w="1276" w:type="dxa"/>
            <w:tcBorders>
              <w:bottom w:val="single" w:sz="4" w:space="0" w:color="auto"/>
            </w:tcBorders>
            <w:vAlign w:val="bottom"/>
          </w:tcPr>
          <w:p w14:paraId="21D96EF3" w14:textId="77777777" w:rsidR="009E6CB7" w:rsidRDefault="009E6CB7" w:rsidP="00B20551">
            <w:pPr>
              <w:spacing w:after="80"/>
            </w:pPr>
          </w:p>
        </w:tc>
        <w:tc>
          <w:tcPr>
            <w:tcW w:w="2268" w:type="dxa"/>
            <w:tcBorders>
              <w:bottom w:val="single" w:sz="4" w:space="0" w:color="auto"/>
            </w:tcBorders>
            <w:vAlign w:val="bottom"/>
          </w:tcPr>
          <w:p w14:paraId="2D8215C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8A414A" w14:textId="676CE4FE" w:rsidR="009E6CB7" w:rsidRPr="00D47EEA" w:rsidRDefault="00A067F1" w:rsidP="00A067F1">
            <w:pPr>
              <w:jc w:val="right"/>
            </w:pPr>
            <w:r w:rsidRPr="00A067F1">
              <w:rPr>
                <w:sz w:val="40"/>
              </w:rPr>
              <w:t>ECE</w:t>
            </w:r>
            <w:r>
              <w:t>/TRANS/WP.11/2023/16</w:t>
            </w:r>
          </w:p>
        </w:tc>
      </w:tr>
      <w:tr w:rsidR="009E6CB7" w14:paraId="58090A43" w14:textId="77777777" w:rsidTr="00B20551">
        <w:trPr>
          <w:cantSplit/>
          <w:trHeight w:hRule="exact" w:val="2835"/>
        </w:trPr>
        <w:tc>
          <w:tcPr>
            <w:tcW w:w="1276" w:type="dxa"/>
            <w:tcBorders>
              <w:top w:val="single" w:sz="4" w:space="0" w:color="auto"/>
              <w:bottom w:val="single" w:sz="12" w:space="0" w:color="auto"/>
            </w:tcBorders>
          </w:tcPr>
          <w:p w14:paraId="0645DBD9" w14:textId="77777777" w:rsidR="009E6CB7" w:rsidRDefault="00686A48" w:rsidP="00B20551">
            <w:pPr>
              <w:spacing w:before="120"/>
            </w:pPr>
            <w:r>
              <w:rPr>
                <w:noProof/>
                <w:lang w:val="fr-CH" w:eastAsia="fr-CH"/>
              </w:rPr>
              <w:drawing>
                <wp:inline distT="0" distB="0" distL="0" distR="0" wp14:anchorId="1C694559" wp14:editId="0D9622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FCD3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BE70F8" w14:textId="77777777" w:rsidR="009E6CB7" w:rsidRDefault="00A067F1" w:rsidP="00A067F1">
            <w:pPr>
              <w:spacing w:before="240" w:line="240" w:lineRule="exact"/>
            </w:pPr>
            <w:r>
              <w:t>Distr.: General</w:t>
            </w:r>
          </w:p>
          <w:p w14:paraId="35BE2147" w14:textId="77777777" w:rsidR="00A067F1" w:rsidRDefault="00A067F1" w:rsidP="00A067F1">
            <w:pPr>
              <w:spacing w:line="240" w:lineRule="exact"/>
            </w:pPr>
            <w:r>
              <w:t>7 August 2023</w:t>
            </w:r>
          </w:p>
          <w:p w14:paraId="1FD4BF88" w14:textId="77777777" w:rsidR="00A067F1" w:rsidRDefault="00A067F1" w:rsidP="00A067F1">
            <w:pPr>
              <w:spacing w:line="240" w:lineRule="exact"/>
            </w:pPr>
          </w:p>
          <w:p w14:paraId="16410928" w14:textId="3FC498C7" w:rsidR="00A067F1" w:rsidRDefault="00A067F1" w:rsidP="00A067F1">
            <w:pPr>
              <w:spacing w:line="240" w:lineRule="exact"/>
            </w:pPr>
            <w:r>
              <w:t>Original: English</w:t>
            </w:r>
          </w:p>
        </w:tc>
      </w:tr>
    </w:tbl>
    <w:p w14:paraId="5B75CB86" w14:textId="77777777" w:rsidR="00A067F1" w:rsidRDefault="00A067F1" w:rsidP="00C411EB">
      <w:pPr>
        <w:spacing w:before="120"/>
        <w:rPr>
          <w:b/>
          <w:sz w:val="28"/>
          <w:szCs w:val="28"/>
        </w:rPr>
      </w:pPr>
      <w:r w:rsidRPr="007F5683">
        <w:rPr>
          <w:b/>
          <w:sz w:val="28"/>
          <w:szCs w:val="28"/>
        </w:rPr>
        <w:t>Economic Commission for Europe</w:t>
      </w:r>
    </w:p>
    <w:p w14:paraId="510DC6FE" w14:textId="77777777" w:rsidR="00A067F1" w:rsidRDefault="00A067F1" w:rsidP="00C411EB">
      <w:pPr>
        <w:spacing w:before="120"/>
        <w:rPr>
          <w:sz w:val="28"/>
          <w:szCs w:val="28"/>
        </w:rPr>
      </w:pPr>
      <w:r>
        <w:rPr>
          <w:sz w:val="28"/>
          <w:szCs w:val="28"/>
        </w:rPr>
        <w:t>Inland Transport Committee</w:t>
      </w:r>
    </w:p>
    <w:p w14:paraId="1897ED05" w14:textId="77777777" w:rsidR="00A067F1" w:rsidRDefault="00A067F1" w:rsidP="00C411EB">
      <w:pPr>
        <w:spacing w:before="120"/>
        <w:rPr>
          <w:b/>
          <w:sz w:val="24"/>
          <w:szCs w:val="24"/>
        </w:rPr>
      </w:pPr>
      <w:r>
        <w:rPr>
          <w:b/>
          <w:sz w:val="24"/>
          <w:szCs w:val="24"/>
        </w:rPr>
        <w:t>Working Party on the Transport of Perishable Foodstuffs</w:t>
      </w:r>
    </w:p>
    <w:p w14:paraId="459A2E20" w14:textId="77777777" w:rsidR="00A067F1" w:rsidRPr="008D7010" w:rsidRDefault="00A067F1" w:rsidP="00A067F1">
      <w:pPr>
        <w:spacing w:before="120"/>
        <w:rPr>
          <w:b/>
        </w:rPr>
      </w:pPr>
      <w:r>
        <w:rPr>
          <w:b/>
        </w:rPr>
        <w:t xml:space="preserve">Eightieth </w:t>
      </w:r>
      <w:r w:rsidRPr="008D7010">
        <w:rPr>
          <w:b/>
        </w:rPr>
        <w:t>session</w:t>
      </w:r>
    </w:p>
    <w:p w14:paraId="46E85638" w14:textId="77777777" w:rsidR="00A067F1" w:rsidRDefault="00A067F1" w:rsidP="00A067F1">
      <w:r w:rsidRPr="008D7010">
        <w:t xml:space="preserve">Geneva, </w:t>
      </w:r>
      <w:r>
        <w:t>24-27 October 2023</w:t>
      </w:r>
    </w:p>
    <w:p w14:paraId="5A407EF4" w14:textId="77777777" w:rsidR="00A067F1" w:rsidRPr="00425F1F" w:rsidRDefault="00A067F1" w:rsidP="00A067F1">
      <w:pPr>
        <w:rPr>
          <w:lang w:val="en-US"/>
        </w:rPr>
      </w:pPr>
      <w:r w:rsidRPr="00425F1F">
        <w:rPr>
          <w:lang w:val="en-US"/>
        </w:rPr>
        <w:t>Item 5 (</w:t>
      </w:r>
      <w:r>
        <w:rPr>
          <w:lang w:val="en-US"/>
        </w:rPr>
        <w:t>b</w:t>
      </w:r>
      <w:r w:rsidRPr="00425F1F">
        <w:rPr>
          <w:lang w:val="en-US"/>
        </w:rPr>
        <w:t>) of the provisional agenda</w:t>
      </w:r>
    </w:p>
    <w:p w14:paraId="775343F5" w14:textId="77777777" w:rsidR="00A067F1" w:rsidRPr="00425F1F" w:rsidRDefault="00A067F1" w:rsidP="00A067F1">
      <w:pPr>
        <w:rPr>
          <w:b/>
          <w:bCs/>
          <w:lang w:val="en-US"/>
        </w:rPr>
      </w:pPr>
      <w:r w:rsidRPr="00425F1F">
        <w:rPr>
          <w:b/>
          <w:bCs/>
        </w:rPr>
        <w:t>Proposals of amendments to ATP</w:t>
      </w:r>
      <w:r w:rsidRPr="00425F1F">
        <w:rPr>
          <w:b/>
          <w:bCs/>
          <w:lang w:val="en-US"/>
        </w:rPr>
        <w:t>:</w:t>
      </w:r>
    </w:p>
    <w:p w14:paraId="50630EBB" w14:textId="77777777" w:rsidR="00A067F1" w:rsidRPr="00425F1F" w:rsidRDefault="00A067F1" w:rsidP="00A067F1">
      <w:pPr>
        <w:rPr>
          <w:b/>
          <w:bCs/>
        </w:rPr>
      </w:pPr>
      <w:r>
        <w:rPr>
          <w:b/>
          <w:bCs/>
        </w:rPr>
        <w:t xml:space="preserve">new </w:t>
      </w:r>
      <w:r w:rsidRPr="00425F1F">
        <w:rPr>
          <w:b/>
          <w:bCs/>
        </w:rPr>
        <w:t>proposals</w:t>
      </w:r>
    </w:p>
    <w:p w14:paraId="754E9147" w14:textId="1F1E5F21" w:rsidR="00A067F1" w:rsidRDefault="00A067F1" w:rsidP="00A067F1">
      <w:pPr>
        <w:pStyle w:val="HChG"/>
      </w:pPr>
      <w:r>
        <w:tab/>
      </w:r>
      <w:r>
        <w:tab/>
        <w:t>Correction to annex 1, appendix 1, article 3 for the English and Russian language versions of the ATP.</w:t>
      </w:r>
    </w:p>
    <w:p w14:paraId="622844C8" w14:textId="77777777" w:rsidR="00A067F1" w:rsidRDefault="00A067F1" w:rsidP="00A067F1">
      <w:pPr>
        <w:pStyle w:val="H1G"/>
      </w:pPr>
      <w:r>
        <w:tab/>
      </w:r>
      <w:r>
        <w:tab/>
      </w:r>
      <w:r w:rsidRPr="00A067F1">
        <w:t>Transmitted</w:t>
      </w:r>
      <w:r>
        <w:t xml:space="preserve"> by the Government of the Netherlands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067F1" w14:paraId="1DDC1D41" w14:textId="77777777" w:rsidTr="00244CA9">
        <w:trPr>
          <w:jc w:val="center"/>
        </w:trPr>
        <w:tc>
          <w:tcPr>
            <w:tcW w:w="9629" w:type="dxa"/>
            <w:shd w:val="clear" w:color="auto" w:fill="auto"/>
          </w:tcPr>
          <w:p w14:paraId="2F5653DD" w14:textId="77777777" w:rsidR="00A067F1" w:rsidRPr="00C6263E" w:rsidRDefault="00A067F1">
            <w:pPr>
              <w:spacing w:before="240" w:after="120"/>
              <w:ind w:left="255"/>
              <w:rPr>
                <w:i/>
                <w:sz w:val="24"/>
              </w:rPr>
            </w:pPr>
            <w:r w:rsidRPr="00C6263E">
              <w:rPr>
                <w:i/>
                <w:sz w:val="24"/>
              </w:rPr>
              <w:t>Summary</w:t>
            </w:r>
          </w:p>
        </w:tc>
      </w:tr>
      <w:tr w:rsidR="00A067F1" w14:paraId="5EA345BB" w14:textId="77777777" w:rsidTr="00244CA9">
        <w:trPr>
          <w:jc w:val="center"/>
        </w:trPr>
        <w:tc>
          <w:tcPr>
            <w:tcW w:w="9629" w:type="dxa"/>
            <w:shd w:val="clear" w:color="auto" w:fill="auto"/>
          </w:tcPr>
          <w:p w14:paraId="7222054E" w14:textId="77777777" w:rsidR="00A067F1" w:rsidRDefault="00A067F1" w:rsidP="00A067F1">
            <w:pPr>
              <w:pStyle w:val="SingleTxtG"/>
              <w:ind w:left="3402" w:hanging="2268"/>
              <w:rPr>
                <w:bCs/>
              </w:rPr>
            </w:pPr>
            <w:r w:rsidRPr="0026588E">
              <w:rPr>
                <w:b/>
                <w:iCs/>
              </w:rPr>
              <w:t>Executive summary</w:t>
            </w:r>
            <w:r w:rsidRPr="0026588E">
              <w:rPr>
                <w:bCs/>
              </w:rPr>
              <w:t>:</w:t>
            </w:r>
            <w:r>
              <w:rPr>
                <w:bCs/>
              </w:rPr>
              <w:tab/>
              <w:t>When equipment is transferred from one contracting party to another the receiving contracting party may inspect the equipment. However, where the French version allows to verify its conformity (with the regulation) the English and Russian version only allows to check the identity.</w:t>
            </w:r>
          </w:p>
          <w:p w14:paraId="2A50A5A2" w14:textId="77777777" w:rsidR="00A067F1" w:rsidRDefault="00A067F1" w:rsidP="00A067F1">
            <w:pPr>
              <w:pStyle w:val="SingleTxtG"/>
              <w:ind w:left="3402" w:hanging="2268"/>
              <w:rPr>
                <w:bCs/>
              </w:rPr>
            </w:pPr>
            <w:r w:rsidRPr="0026588E">
              <w:rPr>
                <w:b/>
                <w:iCs/>
              </w:rPr>
              <w:t>Action to be taken</w:t>
            </w:r>
            <w:r w:rsidRPr="0026588E">
              <w:rPr>
                <w:b/>
              </w:rPr>
              <w:t>:</w:t>
            </w:r>
            <w:r>
              <w:rPr>
                <w:b/>
              </w:rPr>
              <w:tab/>
            </w:r>
            <w:r>
              <w:rPr>
                <w:b/>
              </w:rPr>
              <w:tab/>
            </w:r>
            <w:r w:rsidRPr="00DE487C">
              <w:rPr>
                <w:bCs/>
              </w:rPr>
              <w:t>Amend the English and Russian version of the ATP.</w:t>
            </w:r>
          </w:p>
          <w:p w14:paraId="205B0388" w14:textId="717FFF13" w:rsidR="00A067F1" w:rsidRDefault="00244CA9" w:rsidP="00A067F1">
            <w:pPr>
              <w:pStyle w:val="SingleTxtG"/>
              <w:ind w:left="3402" w:hanging="2268"/>
            </w:pPr>
            <w:r w:rsidRPr="0026588E">
              <w:rPr>
                <w:b/>
                <w:iCs/>
              </w:rPr>
              <w:t>Related documents</w:t>
            </w:r>
            <w:r w:rsidRPr="0026588E">
              <w:rPr>
                <w:bCs/>
              </w:rPr>
              <w:t>:</w:t>
            </w:r>
            <w:r>
              <w:rPr>
                <w:bCs/>
              </w:rPr>
              <w:tab/>
            </w:r>
            <w:r>
              <w:rPr>
                <w:bCs/>
              </w:rPr>
              <w:tab/>
            </w:r>
            <w:r>
              <w:t>Not applicable</w:t>
            </w:r>
          </w:p>
        </w:tc>
      </w:tr>
      <w:tr w:rsidR="00A067F1" w14:paraId="5FDA8F99" w14:textId="77777777" w:rsidTr="00244CA9">
        <w:trPr>
          <w:jc w:val="center"/>
        </w:trPr>
        <w:tc>
          <w:tcPr>
            <w:tcW w:w="9629" w:type="dxa"/>
            <w:shd w:val="clear" w:color="auto" w:fill="auto"/>
          </w:tcPr>
          <w:p w14:paraId="38B70228" w14:textId="74131A5B" w:rsidR="00A067F1" w:rsidRDefault="00A067F1"/>
        </w:tc>
      </w:tr>
    </w:tbl>
    <w:p w14:paraId="13A92883" w14:textId="2771B9BD" w:rsidR="00244CA9" w:rsidRDefault="00244CA9" w:rsidP="00244CA9">
      <w:pPr>
        <w:pStyle w:val="HChG"/>
      </w:pPr>
      <w:r>
        <w:tab/>
      </w:r>
      <w:r>
        <w:tab/>
      </w:r>
      <w:r w:rsidRPr="00244CA9">
        <w:t>Introduction</w:t>
      </w:r>
    </w:p>
    <w:p w14:paraId="5B83D845" w14:textId="41772924" w:rsidR="00244CA9" w:rsidRDefault="00244CA9" w:rsidP="00244CA9">
      <w:pPr>
        <w:pStyle w:val="SingleTxtG"/>
      </w:pPr>
      <w:r>
        <w:t>1.</w:t>
      </w:r>
      <w:r>
        <w:tab/>
        <w:t xml:space="preserve">In </w:t>
      </w:r>
      <w:r w:rsidR="00713C08">
        <w:t>a</w:t>
      </w:r>
      <w:r>
        <w:t xml:space="preserve">nnex 1, </w:t>
      </w:r>
      <w:r w:rsidR="00713C08">
        <w:t>a</w:t>
      </w:r>
      <w:r>
        <w:t xml:space="preserve">ppendix 1, </w:t>
      </w:r>
      <w:r w:rsidR="00EA614F">
        <w:t xml:space="preserve">paragraph </w:t>
      </w:r>
      <w:r>
        <w:t>3 a difference of content is noted between the French and English language versions of the ATP and possibly the Russian version as well.</w:t>
      </w:r>
    </w:p>
    <w:p w14:paraId="6C0CAF1F" w14:textId="2F012C56" w:rsidR="00244CA9" w:rsidRPr="008D16E2" w:rsidRDefault="00244CA9" w:rsidP="00244CA9">
      <w:pPr>
        <w:pStyle w:val="H4G"/>
        <w:rPr>
          <w:lang w:val="fr-CH"/>
        </w:rPr>
      </w:pPr>
      <w:r>
        <w:tab/>
      </w:r>
      <w:r>
        <w:tab/>
      </w:r>
      <w:r w:rsidRPr="008D16E2">
        <w:rPr>
          <w:lang w:val="fr-CH"/>
        </w:rPr>
        <w:t>French version</w:t>
      </w:r>
    </w:p>
    <w:p w14:paraId="3DA73338" w14:textId="24E8A643" w:rsidR="00244CA9" w:rsidRPr="008D16E2" w:rsidRDefault="00244CA9" w:rsidP="00244CA9">
      <w:pPr>
        <w:pStyle w:val="SingleTxtG"/>
        <w:rPr>
          <w:lang w:val="fr-CH"/>
        </w:rPr>
      </w:pPr>
      <w:r w:rsidRPr="008D16E2">
        <w:rPr>
          <w:lang w:val="fr-CH"/>
        </w:rPr>
        <w:t>"Si l’engin transféré avait déjà été mis en service, il peut faire l’objet d’un examen visuel pour vérifier sa conformité avant que l’autorité compétente du pays dans lequel il doit être immatriculé ou enregistré délivre une attestation de conformité."</w:t>
      </w:r>
    </w:p>
    <w:p w14:paraId="5264C807" w14:textId="62CFC840" w:rsidR="00244CA9" w:rsidRPr="00244CA9" w:rsidRDefault="00244CA9" w:rsidP="00244CA9">
      <w:pPr>
        <w:pStyle w:val="H4G"/>
      </w:pPr>
      <w:r w:rsidRPr="008D16E2">
        <w:rPr>
          <w:lang w:val="fr-CH"/>
        </w:rPr>
        <w:tab/>
      </w:r>
      <w:r w:rsidRPr="008D16E2">
        <w:rPr>
          <w:lang w:val="fr-CH"/>
        </w:rPr>
        <w:tab/>
      </w:r>
      <w:r w:rsidRPr="00244CA9">
        <w:t>English version</w:t>
      </w:r>
    </w:p>
    <w:p w14:paraId="7F5AA8D4" w14:textId="2CD7EDE5" w:rsidR="00244CA9" w:rsidRPr="00244CA9" w:rsidRDefault="00244CA9" w:rsidP="00244CA9">
      <w:pPr>
        <w:pStyle w:val="SingleTxtG"/>
      </w:pPr>
      <w:r w:rsidRPr="00244CA9">
        <w:t>"In the case of equipment transferred after it has been in use, the equipment may be subject to a visual inspection to confirm its identity before the competent authority of the country, in which it is to be registered or recorded, issues a certificate of compliance."</w:t>
      </w:r>
    </w:p>
    <w:p w14:paraId="540BC99F" w14:textId="582CA024" w:rsidR="00244CA9" w:rsidRPr="008D16E2" w:rsidRDefault="00244CA9" w:rsidP="00244CA9">
      <w:pPr>
        <w:pStyle w:val="H4G"/>
        <w:rPr>
          <w:lang w:val="ru-RU"/>
        </w:rPr>
      </w:pPr>
      <w:r>
        <w:lastRenderedPageBreak/>
        <w:tab/>
      </w:r>
      <w:r>
        <w:tab/>
      </w:r>
      <w:r w:rsidRPr="00244CA9">
        <w:t>Russian</w:t>
      </w:r>
      <w:r w:rsidRPr="008D16E2">
        <w:rPr>
          <w:lang w:val="ru-RU"/>
        </w:rPr>
        <w:t xml:space="preserve"> </w:t>
      </w:r>
      <w:r w:rsidRPr="00244CA9">
        <w:t>version</w:t>
      </w:r>
    </w:p>
    <w:p w14:paraId="6342B54C" w14:textId="0052AF9B" w:rsidR="00244CA9" w:rsidRPr="008D16E2" w:rsidRDefault="00244CA9" w:rsidP="00244CA9">
      <w:pPr>
        <w:pStyle w:val="SingleTxtG"/>
        <w:rPr>
          <w:lang w:val="ru-RU"/>
        </w:rPr>
      </w:pPr>
      <w:r w:rsidRPr="008D16E2">
        <w:rPr>
          <w:lang w:val="ru-RU"/>
        </w:rPr>
        <w:t>"В случае передачи транспортного средства, которое уже находилось в эксплуатации, может проводиться визуальный осмотр с целью его идентификации до выдачи свидетельства о соответствии компетентным органом страны, в которой это транспортное средство должно быть зарегистрировано или поставлено на учет"</w:t>
      </w:r>
    </w:p>
    <w:p w14:paraId="47DB5DDA" w14:textId="32B9800B" w:rsidR="00244CA9" w:rsidRPr="008D16E2" w:rsidRDefault="00DC22AD" w:rsidP="00244CA9">
      <w:pPr>
        <w:pStyle w:val="SingleTxtG"/>
      </w:pPr>
      <w:r>
        <w:t>2.</w:t>
      </w:r>
      <w:r>
        <w:tab/>
      </w:r>
      <w:r w:rsidR="00244CA9">
        <w:t xml:space="preserve">Where the French version is concerned the </w:t>
      </w:r>
      <w:r>
        <w:t>"</w:t>
      </w:r>
      <w:r w:rsidR="00244CA9">
        <w:t>conformity</w:t>
      </w:r>
      <w:r>
        <w:t>"</w:t>
      </w:r>
      <w:r w:rsidR="00244CA9">
        <w:t xml:space="preserve"> may be checked, in the English and (probably) the Russian language version the </w:t>
      </w:r>
      <w:r>
        <w:t>"</w:t>
      </w:r>
      <w:r w:rsidR="00244CA9">
        <w:t>identity</w:t>
      </w:r>
      <w:r>
        <w:t>"</w:t>
      </w:r>
      <w:r w:rsidR="00244CA9">
        <w:t xml:space="preserve"> may be checked. Conformity is if the equipment complies with the regulation, in the English if </w:t>
      </w:r>
      <w:r>
        <w:t>"</w:t>
      </w:r>
      <w:r w:rsidR="00244CA9">
        <w:t>it is</w:t>
      </w:r>
      <w:r>
        <w:t>"</w:t>
      </w:r>
      <w:r w:rsidR="00244CA9">
        <w:t xml:space="preserve"> the particular equipment. </w:t>
      </w:r>
    </w:p>
    <w:p w14:paraId="45AC4FE8" w14:textId="77777777" w:rsidR="00244CA9" w:rsidRDefault="00244CA9" w:rsidP="00244CA9">
      <w:pPr>
        <w:pStyle w:val="HChG"/>
      </w:pPr>
      <w:r>
        <w:tab/>
      </w:r>
      <w:r>
        <w:tab/>
      </w:r>
      <w:r w:rsidRPr="00244CA9">
        <w:t>Proposal</w:t>
      </w:r>
    </w:p>
    <w:p w14:paraId="7E825DB4" w14:textId="6E1BD04F" w:rsidR="00244CA9" w:rsidRPr="00244CA9" w:rsidRDefault="00DC22AD" w:rsidP="00244CA9">
      <w:pPr>
        <w:pStyle w:val="SingleTxtG"/>
      </w:pPr>
      <w:r>
        <w:t>3.</w:t>
      </w:r>
      <w:r>
        <w:tab/>
      </w:r>
      <w:r w:rsidR="00244CA9" w:rsidRPr="00244CA9">
        <w:t>Amend the English version to read</w:t>
      </w:r>
    </w:p>
    <w:p w14:paraId="6A51CE34" w14:textId="31455412" w:rsidR="00244CA9" w:rsidRPr="00244CA9" w:rsidRDefault="00DC22AD" w:rsidP="00244CA9">
      <w:pPr>
        <w:pStyle w:val="SingleTxtG"/>
      </w:pPr>
      <w:bookmarkStart w:id="0" w:name="_Hlk141367065"/>
      <w:r>
        <w:t>"</w:t>
      </w:r>
      <w:r w:rsidR="00244CA9" w:rsidRPr="00244CA9">
        <w:t xml:space="preserve">…subject to a visual inspection to </w:t>
      </w:r>
      <w:r w:rsidR="00244CA9" w:rsidRPr="006B4693">
        <w:rPr>
          <w:u w:val="single"/>
        </w:rPr>
        <w:t>verify its conformity</w:t>
      </w:r>
      <w:r w:rsidR="00244CA9" w:rsidRPr="00244CA9">
        <w:t xml:space="preserve"> </w:t>
      </w:r>
      <w:r w:rsidR="00244CA9" w:rsidRPr="006B4693">
        <w:rPr>
          <w:strike/>
        </w:rPr>
        <w:t>confirm its identity</w:t>
      </w:r>
      <w:r w:rsidR="00244CA9" w:rsidRPr="00244CA9">
        <w:t xml:space="preserve"> before the… </w:t>
      </w:r>
      <w:bookmarkEnd w:id="0"/>
      <w:r>
        <w:t>"</w:t>
      </w:r>
    </w:p>
    <w:p w14:paraId="5F609EFE" w14:textId="6AF8B099" w:rsidR="00244CA9" w:rsidRPr="00244CA9" w:rsidRDefault="00DC22AD" w:rsidP="00244CA9">
      <w:pPr>
        <w:pStyle w:val="SingleTxtG"/>
      </w:pPr>
      <w:r>
        <w:t>4.</w:t>
      </w:r>
      <w:r>
        <w:tab/>
      </w:r>
      <w:r w:rsidR="00244CA9" w:rsidRPr="00244CA9">
        <w:t>Amend the Russian version to express the same content.</w:t>
      </w:r>
    </w:p>
    <w:p w14:paraId="18C06B04" w14:textId="77777777" w:rsidR="00244CA9" w:rsidRDefault="00244CA9" w:rsidP="00244CA9">
      <w:pPr>
        <w:pStyle w:val="HChG"/>
      </w:pPr>
      <w:r>
        <w:tab/>
      </w:r>
      <w:r>
        <w:tab/>
        <w:t>Justification</w:t>
      </w:r>
    </w:p>
    <w:p w14:paraId="28D62BC8" w14:textId="335CDB06" w:rsidR="00244CA9" w:rsidRPr="00873727" w:rsidRDefault="00DC22AD" w:rsidP="00244CA9">
      <w:pPr>
        <w:pStyle w:val="SingleTxtG"/>
      </w:pPr>
      <w:r>
        <w:t>5.</w:t>
      </w:r>
      <w:r>
        <w:tab/>
      </w:r>
      <w:r w:rsidR="00244CA9">
        <w:t>The different language versions should have the same contents.</w:t>
      </w:r>
    </w:p>
    <w:p w14:paraId="1470ECF6" w14:textId="77777777" w:rsidR="00244CA9" w:rsidRPr="006B4A23" w:rsidRDefault="00244CA9" w:rsidP="00244CA9"/>
    <w:tbl>
      <w:tblPr>
        <w:tblW w:w="0" w:type="auto"/>
        <w:tblInd w:w="1134" w:type="dxa"/>
        <w:tblLayout w:type="fixed"/>
        <w:tblCellMar>
          <w:left w:w="0" w:type="dxa"/>
          <w:right w:w="0" w:type="dxa"/>
        </w:tblCellMar>
        <w:tblLook w:val="01E0" w:firstRow="1" w:lastRow="1" w:firstColumn="1" w:lastColumn="1" w:noHBand="0" w:noVBand="0"/>
      </w:tblPr>
      <w:tblGrid>
        <w:gridCol w:w="1421"/>
        <w:gridCol w:w="5700"/>
      </w:tblGrid>
      <w:tr w:rsidR="00244CA9" w14:paraId="2CDCE287" w14:textId="77777777">
        <w:tc>
          <w:tcPr>
            <w:tcW w:w="1421" w:type="dxa"/>
            <w:shd w:val="clear" w:color="auto" w:fill="auto"/>
          </w:tcPr>
          <w:p w14:paraId="4B3F66D8" w14:textId="77777777" w:rsidR="00244CA9" w:rsidRDefault="00244CA9">
            <w:pPr>
              <w:pStyle w:val="SingleTxtG"/>
              <w:ind w:left="0" w:right="0"/>
            </w:pPr>
            <w:r>
              <w:t>Cost</w:t>
            </w:r>
            <w:r w:rsidRPr="00204779">
              <w:t>:</w:t>
            </w:r>
          </w:p>
        </w:tc>
        <w:tc>
          <w:tcPr>
            <w:tcW w:w="5700" w:type="dxa"/>
            <w:shd w:val="clear" w:color="auto" w:fill="auto"/>
          </w:tcPr>
          <w:p w14:paraId="5A593F43" w14:textId="77777777" w:rsidR="00244CA9" w:rsidRDefault="00244CA9">
            <w:pPr>
              <w:pStyle w:val="SingleTxtG"/>
              <w:ind w:left="0"/>
            </w:pPr>
            <w:r>
              <w:t>None</w:t>
            </w:r>
          </w:p>
        </w:tc>
      </w:tr>
      <w:tr w:rsidR="00244CA9" w14:paraId="38D16982" w14:textId="77777777">
        <w:tc>
          <w:tcPr>
            <w:tcW w:w="1421" w:type="dxa"/>
            <w:shd w:val="clear" w:color="auto" w:fill="auto"/>
          </w:tcPr>
          <w:p w14:paraId="30EB322E" w14:textId="77777777" w:rsidR="00244CA9" w:rsidRDefault="00244CA9">
            <w:pPr>
              <w:pStyle w:val="SingleTxtG"/>
              <w:ind w:left="0" w:right="0"/>
            </w:pPr>
            <w:r>
              <w:t>Feasibility:</w:t>
            </w:r>
          </w:p>
        </w:tc>
        <w:tc>
          <w:tcPr>
            <w:tcW w:w="5700" w:type="dxa"/>
            <w:shd w:val="clear" w:color="auto" w:fill="auto"/>
          </w:tcPr>
          <w:p w14:paraId="49F0E015" w14:textId="77777777" w:rsidR="00244CA9" w:rsidRDefault="00244CA9">
            <w:pPr>
              <w:pStyle w:val="SingleTxtG"/>
              <w:ind w:left="0" w:right="0"/>
            </w:pPr>
            <w:r>
              <w:t>No problems expected – procedure will be harmonized</w:t>
            </w:r>
          </w:p>
        </w:tc>
      </w:tr>
      <w:tr w:rsidR="00244CA9" w14:paraId="0EB3D41E" w14:textId="77777777">
        <w:tc>
          <w:tcPr>
            <w:tcW w:w="1421" w:type="dxa"/>
            <w:shd w:val="clear" w:color="auto" w:fill="auto"/>
          </w:tcPr>
          <w:p w14:paraId="54C97EEF" w14:textId="77777777" w:rsidR="00244CA9" w:rsidRDefault="00244CA9">
            <w:pPr>
              <w:pStyle w:val="SingleTxtG"/>
              <w:ind w:left="0" w:right="3"/>
            </w:pPr>
            <w:r>
              <w:t>Impact:</w:t>
            </w:r>
          </w:p>
        </w:tc>
        <w:tc>
          <w:tcPr>
            <w:tcW w:w="5700" w:type="dxa"/>
            <w:shd w:val="clear" w:color="auto" w:fill="auto"/>
          </w:tcPr>
          <w:p w14:paraId="51178771" w14:textId="77777777" w:rsidR="00244CA9" w:rsidRDefault="00244CA9">
            <w:pPr>
              <w:pStyle w:val="SingleTxtG"/>
              <w:ind w:left="0"/>
            </w:pPr>
            <w:r>
              <w:rPr>
                <w:lang w:val="en-US"/>
              </w:rPr>
              <w:t>Procedure will be harmonized</w:t>
            </w:r>
          </w:p>
        </w:tc>
      </w:tr>
      <w:tr w:rsidR="00244CA9" w14:paraId="7C0B6FA9" w14:textId="77777777">
        <w:tc>
          <w:tcPr>
            <w:tcW w:w="1421" w:type="dxa"/>
            <w:shd w:val="clear" w:color="auto" w:fill="auto"/>
          </w:tcPr>
          <w:p w14:paraId="23DD431D" w14:textId="77777777" w:rsidR="00244CA9" w:rsidRDefault="00244CA9">
            <w:pPr>
              <w:pStyle w:val="SingleTxtG"/>
              <w:ind w:left="0" w:right="0"/>
            </w:pPr>
            <w:r>
              <w:t>Enforceability:</w:t>
            </w:r>
          </w:p>
        </w:tc>
        <w:tc>
          <w:tcPr>
            <w:tcW w:w="5700" w:type="dxa"/>
            <w:shd w:val="clear" w:color="auto" w:fill="auto"/>
          </w:tcPr>
          <w:p w14:paraId="7A647C8F" w14:textId="77777777" w:rsidR="00244CA9" w:rsidRDefault="00244CA9">
            <w:pPr>
              <w:pStyle w:val="SingleTxtG"/>
              <w:ind w:left="0" w:right="0"/>
            </w:pPr>
            <w:r>
              <w:t>No problems expected.</w:t>
            </w:r>
          </w:p>
        </w:tc>
      </w:tr>
    </w:tbl>
    <w:p w14:paraId="72E18687" w14:textId="2E67E550" w:rsidR="001C6663" w:rsidRPr="00244CA9" w:rsidRDefault="00244CA9" w:rsidP="00244CA9">
      <w:pPr>
        <w:spacing w:before="240"/>
        <w:jc w:val="center"/>
        <w:rPr>
          <w:u w:val="single"/>
        </w:rPr>
      </w:pPr>
      <w:r>
        <w:rPr>
          <w:u w:val="single"/>
        </w:rPr>
        <w:tab/>
      </w:r>
      <w:r>
        <w:rPr>
          <w:u w:val="single"/>
        </w:rPr>
        <w:tab/>
      </w:r>
      <w:r>
        <w:rPr>
          <w:u w:val="single"/>
        </w:rPr>
        <w:tab/>
      </w:r>
    </w:p>
    <w:sectPr w:rsidR="001C6663" w:rsidRPr="00244CA9" w:rsidSect="00A067F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4490" w14:textId="77777777" w:rsidR="00802E5E" w:rsidRDefault="00802E5E"/>
  </w:endnote>
  <w:endnote w:type="continuationSeparator" w:id="0">
    <w:p w14:paraId="317F8DC8" w14:textId="77777777" w:rsidR="00802E5E" w:rsidRDefault="00802E5E"/>
  </w:endnote>
  <w:endnote w:type="continuationNotice" w:id="1">
    <w:p w14:paraId="1097531F" w14:textId="77777777" w:rsidR="00802E5E" w:rsidRDefault="00802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E705" w14:textId="29124781" w:rsidR="00A067F1" w:rsidRPr="00A067F1" w:rsidRDefault="00A067F1" w:rsidP="00A067F1">
    <w:pPr>
      <w:pStyle w:val="Footer"/>
      <w:tabs>
        <w:tab w:val="right" w:pos="9638"/>
      </w:tabs>
      <w:rPr>
        <w:sz w:val="18"/>
      </w:rPr>
    </w:pPr>
    <w:r w:rsidRPr="00A067F1">
      <w:rPr>
        <w:b/>
        <w:sz w:val="18"/>
      </w:rPr>
      <w:fldChar w:fldCharType="begin"/>
    </w:r>
    <w:r w:rsidRPr="00A067F1">
      <w:rPr>
        <w:b/>
        <w:sz w:val="18"/>
      </w:rPr>
      <w:instrText xml:space="preserve"> PAGE  \* MERGEFORMAT </w:instrText>
    </w:r>
    <w:r w:rsidRPr="00A067F1">
      <w:rPr>
        <w:b/>
        <w:sz w:val="18"/>
      </w:rPr>
      <w:fldChar w:fldCharType="separate"/>
    </w:r>
    <w:r w:rsidRPr="00A067F1">
      <w:rPr>
        <w:b/>
        <w:noProof/>
        <w:sz w:val="18"/>
      </w:rPr>
      <w:t>2</w:t>
    </w:r>
    <w:r w:rsidRPr="00A067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2B54" w14:textId="6874AF4B" w:rsidR="00A067F1" w:rsidRPr="00A067F1" w:rsidRDefault="00A067F1" w:rsidP="00A067F1">
    <w:pPr>
      <w:pStyle w:val="Footer"/>
      <w:tabs>
        <w:tab w:val="right" w:pos="9638"/>
      </w:tabs>
      <w:rPr>
        <w:b/>
        <w:sz w:val="18"/>
      </w:rPr>
    </w:pPr>
    <w:r>
      <w:tab/>
    </w:r>
    <w:r w:rsidRPr="00A067F1">
      <w:rPr>
        <w:b/>
        <w:sz w:val="18"/>
      </w:rPr>
      <w:fldChar w:fldCharType="begin"/>
    </w:r>
    <w:r w:rsidRPr="00A067F1">
      <w:rPr>
        <w:b/>
        <w:sz w:val="18"/>
      </w:rPr>
      <w:instrText xml:space="preserve"> PAGE  \* MERGEFORMAT </w:instrText>
    </w:r>
    <w:r w:rsidRPr="00A067F1">
      <w:rPr>
        <w:b/>
        <w:sz w:val="18"/>
      </w:rPr>
      <w:fldChar w:fldCharType="separate"/>
    </w:r>
    <w:r w:rsidRPr="00A067F1">
      <w:rPr>
        <w:b/>
        <w:noProof/>
        <w:sz w:val="18"/>
      </w:rPr>
      <w:t>3</w:t>
    </w:r>
    <w:r w:rsidRPr="00A067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A8E9" w14:textId="673DD8C3" w:rsidR="006C7FC2" w:rsidRDefault="006C7FC2" w:rsidP="006C7FC2">
    <w:pPr>
      <w:pStyle w:val="Footer"/>
    </w:pPr>
    <w:r w:rsidRPr="0027112F">
      <w:rPr>
        <w:noProof/>
        <w:lang w:val="en-US"/>
      </w:rPr>
      <w:drawing>
        <wp:anchor distT="0" distB="0" distL="114300" distR="114300" simplePos="0" relativeHeight="251659264" behindDoc="0" locked="1" layoutInCell="1" allowOverlap="1" wp14:anchorId="571BA1B9" wp14:editId="5A1809D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B1AD5F" w14:textId="0BA33AB5" w:rsidR="006C7FC2" w:rsidRPr="006C7FC2" w:rsidRDefault="006C7FC2" w:rsidP="006C7FC2">
    <w:pPr>
      <w:pStyle w:val="Footer"/>
      <w:ind w:right="1134"/>
      <w:rPr>
        <w:sz w:val="20"/>
      </w:rPr>
    </w:pPr>
    <w:r>
      <w:rPr>
        <w:sz w:val="20"/>
      </w:rPr>
      <w:t>GE.23-15298(E)</w:t>
    </w:r>
    <w:r>
      <w:rPr>
        <w:noProof/>
        <w:sz w:val="20"/>
      </w:rPr>
      <w:drawing>
        <wp:anchor distT="0" distB="0" distL="114300" distR="114300" simplePos="0" relativeHeight="251660288" behindDoc="0" locked="0" layoutInCell="1" allowOverlap="1" wp14:anchorId="06CA3A7F" wp14:editId="0A76620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7986" w14:textId="77777777" w:rsidR="00802E5E" w:rsidRPr="000B175B" w:rsidRDefault="00802E5E" w:rsidP="000B175B">
      <w:pPr>
        <w:tabs>
          <w:tab w:val="right" w:pos="2155"/>
        </w:tabs>
        <w:spacing w:after="80"/>
        <w:ind w:left="680"/>
        <w:rPr>
          <w:u w:val="single"/>
        </w:rPr>
      </w:pPr>
      <w:r>
        <w:rPr>
          <w:u w:val="single"/>
        </w:rPr>
        <w:tab/>
      </w:r>
    </w:p>
  </w:footnote>
  <w:footnote w:type="continuationSeparator" w:id="0">
    <w:p w14:paraId="20124980" w14:textId="77777777" w:rsidR="00802E5E" w:rsidRPr="00FC68B7" w:rsidRDefault="00802E5E" w:rsidP="00FC68B7">
      <w:pPr>
        <w:tabs>
          <w:tab w:val="left" w:pos="2155"/>
        </w:tabs>
        <w:spacing w:after="80"/>
        <w:ind w:left="680"/>
        <w:rPr>
          <w:u w:val="single"/>
        </w:rPr>
      </w:pPr>
      <w:r>
        <w:rPr>
          <w:u w:val="single"/>
        </w:rPr>
        <w:tab/>
      </w:r>
    </w:p>
  </w:footnote>
  <w:footnote w:type="continuationNotice" w:id="1">
    <w:p w14:paraId="596FB3D5" w14:textId="77777777" w:rsidR="00802E5E" w:rsidRDefault="00802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F44" w14:textId="3768F36E" w:rsidR="00A067F1" w:rsidRPr="00A067F1" w:rsidRDefault="00A067F1">
    <w:pPr>
      <w:pStyle w:val="Header"/>
    </w:pPr>
    <w:r>
      <w:t>ECE/TRANS/WP.11/2023/16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120E" w14:textId="25261899" w:rsidR="00A067F1" w:rsidRPr="00A067F1" w:rsidRDefault="00B9106B" w:rsidP="00A067F1">
    <w:pPr>
      <w:pStyle w:val="Header"/>
      <w:jc w:val="right"/>
    </w:pPr>
    <w:r>
      <w:fldChar w:fldCharType="begin"/>
    </w:r>
    <w:r>
      <w:instrText xml:space="preserve"> TITLE  \* MERGEFORMAT </w:instrText>
    </w:r>
    <w:r>
      <w:fldChar w:fldCharType="separate"/>
    </w:r>
    <w:r>
      <w:t>ECE/TRANS/WP.11/2023/16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711A49"/>
    <w:multiLevelType w:val="hybridMultilevel"/>
    <w:tmpl w:val="4220580E"/>
    <w:lvl w:ilvl="0" w:tplc="59A0D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78338967">
    <w:abstractNumId w:val="1"/>
  </w:num>
  <w:num w:numId="2" w16cid:durableId="465124316">
    <w:abstractNumId w:val="0"/>
  </w:num>
  <w:num w:numId="3" w16cid:durableId="888760659">
    <w:abstractNumId w:val="2"/>
  </w:num>
  <w:num w:numId="4" w16cid:durableId="1072198398">
    <w:abstractNumId w:val="3"/>
  </w:num>
  <w:num w:numId="5" w16cid:durableId="1833567565">
    <w:abstractNumId w:val="8"/>
  </w:num>
  <w:num w:numId="6" w16cid:durableId="74667032">
    <w:abstractNumId w:val="9"/>
  </w:num>
  <w:num w:numId="7" w16cid:durableId="1810197650">
    <w:abstractNumId w:val="7"/>
  </w:num>
  <w:num w:numId="8" w16cid:durableId="1847747010">
    <w:abstractNumId w:val="6"/>
  </w:num>
  <w:num w:numId="9" w16cid:durableId="50156770">
    <w:abstractNumId w:val="5"/>
  </w:num>
  <w:num w:numId="10" w16cid:durableId="30232514">
    <w:abstractNumId w:val="4"/>
  </w:num>
  <w:num w:numId="11" w16cid:durableId="436948511">
    <w:abstractNumId w:val="15"/>
  </w:num>
  <w:num w:numId="12" w16cid:durableId="601691986">
    <w:abstractNumId w:val="14"/>
  </w:num>
  <w:num w:numId="13" w16cid:durableId="2055696098">
    <w:abstractNumId w:val="10"/>
  </w:num>
  <w:num w:numId="14" w16cid:durableId="1995332046">
    <w:abstractNumId w:val="12"/>
  </w:num>
  <w:num w:numId="15" w16cid:durableId="457797419">
    <w:abstractNumId w:val="16"/>
  </w:num>
  <w:num w:numId="16" w16cid:durableId="118424331">
    <w:abstractNumId w:val="13"/>
  </w:num>
  <w:num w:numId="17" w16cid:durableId="579370296">
    <w:abstractNumId w:val="18"/>
  </w:num>
  <w:num w:numId="18" w16cid:durableId="1312828181">
    <w:abstractNumId w:val="19"/>
  </w:num>
  <w:num w:numId="19" w16cid:durableId="1049183575">
    <w:abstractNumId w:val="11"/>
  </w:num>
  <w:num w:numId="20" w16cid:durableId="1471678310">
    <w:abstractNumId w:val="11"/>
  </w:num>
  <w:num w:numId="21" w16cid:durableId="10363525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F1"/>
    <w:rsid w:val="00002A7D"/>
    <w:rsid w:val="000038A8"/>
    <w:rsid w:val="00006790"/>
    <w:rsid w:val="00027624"/>
    <w:rsid w:val="00050F6B"/>
    <w:rsid w:val="000678CD"/>
    <w:rsid w:val="00072C8C"/>
    <w:rsid w:val="00081CE0"/>
    <w:rsid w:val="00084D30"/>
    <w:rsid w:val="00090320"/>
    <w:rsid w:val="00091771"/>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0610E"/>
    <w:rsid w:val="00211E0B"/>
    <w:rsid w:val="00232575"/>
    <w:rsid w:val="00244CA9"/>
    <w:rsid w:val="00247258"/>
    <w:rsid w:val="00257CAC"/>
    <w:rsid w:val="00264441"/>
    <w:rsid w:val="0027237A"/>
    <w:rsid w:val="002974E9"/>
    <w:rsid w:val="002A7F94"/>
    <w:rsid w:val="002B109A"/>
    <w:rsid w:val="002C6D45"/>
    <w:rsid w:val="002D6E53"/>
    <w:rsid w:val="002F046D"/>
    <w:rsid w:val="002F3023"/>
    <w:rsid w:val="002F6541"/>
    <w:rsid w:val="00301764"/>
    <w:rsid w:val="003229D8"/>
    <w:rsid w:val="00336C97"/>
    <w:rsid w:val="00337F88"/>
    <w:rsid w:val="00342432"/>
    <w:rsid w:val="0035223F"/>
    <w:rsid w:val="00352D4B"/>
    <w:rsid w:val="0035638C"/>
    <w:rsid w:val="00364B36"/>
    <w:rsid w:val="003A46BB"/>
    <w:rsid w:val="003A4EC7"/>
    <w:rsid w:val="003A7295"/>
    <w:rsid w:val="003B1F60"/>
    <w:rsid w:val="003C2CC4"/>
    <w:rsid w:val="003D0F3E"/>
    <w:rsid w:val="003D4B23"/>
    <w:rsid w:val="003E278A"/>
    <w:rsid w:val="00413520"/>
    <w:rsid w:val="00430D57"/>
    <w:rsid w:val="004325CB"/>
    <w:rsid w:val="00440A07"/>
    <w:rsid w:val="00462880"/>
    <w:rsid w:val="00476F24"/>
    <w:rsid w:val="004C55B0"/>
    <w:rsid w:val="004F6BA0"/>
    <w:rsid w:val="00503BEA"/>
    <w:rsid w:val="00533616"/>
    <w:rsid w:val="00535ABA"/>
    <w:rsid w:val="0053768B"/>
    <w:rsid w:val="005420F2"/>
    <w:rsid w:val="0054285C"/>
    <w:rsid w:val="00584173"/>
    <w:rsid w:val="00586A82"/>
    <w:rsid w:val="00595520"/>
    <w:rsid w:val="005A44B9"/>
    <w:rsid w:val="005A699B"/>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4693"/>
    <w:rsid w:val="006B67D9"/>
    <w:rsid w:val="006C5535"/>
    <w:rsid w:val="006C7FC2"/>
    <w:rsid w:val="006D0589"/>
    <w:rsid w:val="006E564B"/>
    <w:rsid w:val="006E7154"/>
    <w:rsid w:val="007003CD"/>
    <w:rsid w:val="0070701E"/>
    <w:rsid w:val="00713C08"/>
    <w:rsid w:val="007173E0"/>
    <w:rsid w:val="0072632A"/>
    <w:rsid w:val="007358E8"/>
    <w:rsid w:val="00736ECE"/>
    <w:rsid w:val="0074533B"/>
    <w:rsid w:val="007643BC"/>
    <w:rsid w:val="00777ABF"/>
    <w:rsid w:val="007801C5"/>
    <w:rsid w:val="00780C68"/>
    <w:rsid w:val="007959FE"/>
    <w:rsid w:val="007A0CF1"/>
    <w:rsid w:val="007A478E"/>
    <w:rsid w:val="007B6BA5"/>
    <w:rsid w:val="007C3390"/>
    <w:rsid w:val="007C42D8"/>
    <w:rsid w:val="007C4F4B"/>
    <w:rsid w:val="007D7362"/>
    <w:rsid w:val="007F5CE2"/>
    <w:rsid w:val="007F6611"/>
    <w:rsid w:val="00800522"/>
    <w:rsid w:val="00802E5E"/>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16E2"/>
    <w:rsid w:val="008D3F25"/>
    <w:rsid w:val="008D4D82"/>
    <w:rsid w:val="008E0524"/>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67F1"/>
    <w:rsid w:val="00A10F4F"/>
    <w:rsid w:val="00A11067"/>
    <w:rsid w:val="00A1704A"/>
    <w:rsid w:val="00A425EB"/>
    <w:rsid w:val="00A64930"/>
    <w:rsid w:val="00A72F22"/>
    <w:rsid w:val="00A733BC"/>
    <w:rsid w:val="00A748A6"/>
    <w:rsid w:val="00A76A69"/>
    <w:rsid w:val="00A879A4"/>
    <w:rsid w:val="00AA0FF8"/>
    <w:rsid w:val="00AB3F0D"/>
    <w:rsid w:val="00AB6312"/>
    <w:rsid w:val="00AC0F2C"/>
    <w:rsid w:val="00AC502A"/>
    <w:rsid w:val="00AF58C1"/>
    <w:rsid w:val="00B04A3F"/>
    <w:rsid w:val="00B06643"/>
    <w:rsid w:val="00B15055"/>
    <w:rsid w:val="00B20551"/>
    <w:rsid w:val="00B23D55"/>
    <w:rsid w:val="00B30179"/>
    <w:rsid w:val="00B33FC7"/>
    <w:rsid w:val="00B37B15"/>
    <w:rsid w:val="00B45C02"/>
    <w:rsid w:val="00B70B63"/>
    <w:rsid w:val="00B72A1E"/>
    <w:rsid w:val="00B81E12"/>
    <w:rsid w:val="00B9106B"/>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07C70"/>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819"/>
    <w:rsid w:val="00DA3E12"/>
    <w:rsid w:val="00DB6908"/>
    <w:rsid w:val="00DC18AD"/>
    <w:rsid w:val="00DC22AD"/>
    <w:rsid w:val="00DF7CAE"/>
    <w:rsid w:val="00E423C0"/>
    <w:rsid w:val="00E6414C"/>
    <w:rsid w:val="00E7260F"/>
    <w:rsid w:val="00E8702D"/>
    <w:rsid w:val="00E905F4"/>
    <w:rsid w:val="00E916A9"/>
    <w:rsid w:val="00E916DE"/>
    <w:rsid w:val="00E925AD"/>
    <w:rsid w:val="00E96630"/>
    <w:rsid w:val="00EA614F"/>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5A9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9DA5"/>
  <w15:docId w15:val="{768B54F4-42DF-40EF-A57A-8886BD8A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A067F1"/>
    <w:rPr>
      <w:b/>
      <w:sz w:val="28"/>
      <w:lang w:val="en-GB"/>
    </w:rPr>
  </w:style>
  <w:style w:type="paragraph" w:styleId="Revision">
    <w:name w:val="Revision"/>
    <w:hidden/>
    <w:uiPriority w:val="99"/>
    <w:semiHidden/>
    <w:rsid w:val="00244CA9"/>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4EF2329-CBC9-4977-9EA4-7A8A008C0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404</Words>
  <Characters>2279</Characters>
  <Application>Microsoft Office Word</Application>
  <DocSecurity>0</DocSecurity>
  <Lines>65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ECE/TRANS/WP.11/2023/16</vt:lpstr>
      <vt:lpstr/>
    </vt:vector>
  </TitlesOfParts>
  <Company>CSD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ECE/TRANS/WP.11/2023/16</dc:title>
  <dc:subject>2315298</dc:subject>
  <dc:creator>ND</dc:creator>
  <cp:keywords/>
  <dc:description/>
  <cp:lastModifiedBy>Ma. Cristina Brigoli</cp:lastModifiedBy>
  <cp:revision>3</cp:revision>
  <cp:lastPrinted>2023-08-07T15:02:00Z</cp:lastPrinted>
  <dcterms:created xsi:type="dcterms:W3CDTF">2023-08-07T15:02:00Z</dcterms:created>
  <dcterms:modified xsi:type="dcterms:W3CDTF">2023-08-07T15:03:00Z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