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37541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75F59A" w14:textId="77777777" w:rsidR="002D5AAC" w:rsidRDefault="002D5AAC" w:rsidP="000916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5BED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A52989" w14:textId="46CE1D02" w:rsidR="002D5AAC" w:rsidRDefault="000916D9" w:rsidP="000916D9">
            <w:pPr>
              <w:jc w:val="right"/>
            </w:pPr>
            <w:r w:rsidRPr="000916D9">
              <w:rPr>
                <w:sz w:val="40"/>
              </w:rPr>
              <w:t>ECE</w:t>
            </w:r>
            <w:r>
              <w:t>/TRANS/WP.11/2023/12</w:t>
            </w:r>
          </w:p>
        </w:tc>
      </w:tr>
      <w:tr w:rsidR="002D5AAC" w:rsidRPr="000916D9" w14:paraId="6BE79ED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A2091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7D0897" wp14:editId="5EBF479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429DA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48D07A" w14:textId="77777777" w:rsidR="002D5AAC" w:rsidRDefault="000916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1572BC" w14:textId="77777777" w:rsidR="000916D9" w:rsidRDefault="000916D9" w:rsidP="000916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2023</w:t>
            </w:r>
          </w:p>
          <w:p w14:paraId="289C1BE0" w14:textId="77777777" w:rsidR="000916D9" w:rsidRDefault="000916D9" w:rsidP="000916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9A7F825" w14:textId="240F7BC7" w:rsidR="000916D9" w:rsidRPr="008D53B6" w:rsidRDefault="000916D9" w:rsidP="000916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C5CAE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7119F2" w14:textId="77777777" w:rsidR="000916D9" w:rsidRPr="006D0AF6" w:rsidRDefault="000916D9" w:rsidP="000916D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6FD4D47" w14:textId="77777777" w:rsidR="000916D9" w:rsidRPr="006D0AF6" w:rsidRDefault="000916D9" w:rsidP="000916D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4E8A7A01" w14:textId="77777777" w:rsidR="000916D9" w:rsidRPr="006D0AF6" w:rsidRDefault="000916D9" w:rsidP="000916D9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317750B4" w14:textId="77777777" w:rsidR="000916D9" w:rsidRPr="006D0AF6" w:rsidRDefault="000916D9" w:rsidP="000916D9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495FE926" w14:textId="77777777" w:rsidR="000916D9" w:rsidRDefault="000916D9" w:rsidP="000916D9">
      <w:r>
        <w:t>Пункт 5 b) предварительной повестки дня</w:t>
      </w:r>
    </w:p>
    <w:p w14:paraId="74A0328F" w14:textId="53D32613" w:rsidR="000916D9" w:rsidRDefault="000916D9" w:rsidP="000916D9">
      <w:pPr>
        <w:rPr>
          <w:b/>
          <w:bCs/>
        </w:rPr>
      </w:pPr>
      <w:r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>
        <w:rPr>
          <w:b/>
          <w:bCs/>
        </w:rPr>
        <w:t>новые предложения</w:t>
      </w:r>
    </w:p>
    <w:p w14:paraId="40C083C5" w14:textId="66688469" w:rsidR="000916D9" w:rsidRPr="00B02D67" w:rsidRDefault="000916D9" w:rsidP="000916D9">
      <w:pPr>
        <w:pStyle w:val="HChG"/>
      </w:pPr>
      <w:r>
        <w:tab/>
      </w:r>
      <w:r>
        <w:tab/>
      </w:r>
      <w:r>
        <w:rPr>
          <w:bCs/>
        </w:rPr>
        <w:t xml:space="preserve">Предлагаемый перечень основных компонентов </w:t>
      </w:r>
      <w:r>
        <w:rPr>
          <w:bCs/>
        </w:rPr>
        <w:br/>
      </w:r>
      <w:r>
        <w:rPr>
          <w:bCs/>
        </w:rPr>
        <w:t>и их ключевых характеристик</w:t>
      </w:r>
    </w:p>
    <w:p w14:paraId="348C0518" w14:textId="77777777" w:rsidR="000916D9" w:rsidRDefault="000916D9" w:rsidP="000916D9">
      <w:pPr>
        <w:pStyle w:val="H1G"/>
      </w:pPr>
      <w:r>
        <w:tab/>
      </w:r>
      <w:r>
        <w:tab/>
      </w:r>
      <w:r>
        <w:rPr>
          <w:bCs/>
        </w:rPr>
        <w:t>Передано федерацией «</w:t>
      </w:r>
      <w:proofErr w:type="spellStart"/>
      <w:r>
        <w:rPr>
          <w:bCs/>
        </w:rPr>
        <w:t>Трансфригорут</w:t>
      </w:r>
      <w:proofErr w:type="spellEnd"/>
      <w:r>
        <w:rPr>
          <w:bCs/>
        </w:rPr>
        <w:t xml:space="preserve"> интернэшнл»</w:t>
      </w:r>
    </w:p>
    <w:tbl>
      <w:tblPr>
        <w:tblStyle w:val="ac"/>
        <w:tblW w:w="962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0916D9" w14:paraId="338FB373" w14:textId="77777777" w:rsidTr="000916D9">
        <w:trPr>
          <w:jc w:val="center"/>
        </w:trPr>
        <w:tc>
          <w:tcPr>
            <w:tcW w:w="9629" w:type="dxa"/>
            <w:shd w:val="clear" w:color="auto" w:fill="auto"/>
          </w:tcPr>
          <w:p w14:paraId="3A24DF1A" w14:textId="77777777" w:rsidR="000916D9" w:rsidRPr="000916D9" w:rsidRDefault="000916D9" w:rsidP="00A644EA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0916D9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0916D9" w14:paraId="4323D70E" w14:textId="77777777" w:rsidTr="000916D9">
        <w:trPr>
          <w:jc w:val="center"/>
        </w:trPr>
        <w:tc>
          <w:tcPr>
            <w:tcW w:w="9629" w:type="dxa"/>
            <w:shd w:val="clear" w:color="auto" w:fill="auto"/>
          </w:tcPr>
          <w:p w14:paraId="2AE415CD" w14:textId="77777777" w:rsidR="000916D9" w:rsidRDefault="000916D9" w:rsidP="000916D9">
            <w:pPr>
              <w:pStyle w:val="SingleTxtG"/>
              <w:tabs>
                <w:tab w:val="left" w:pos="3960"/>
              </w:tabs>
              <w:ind w:left="3960" w:right="417" w:hanging="2826"/>
            </w:pPr>
            <w:r w:rsidRPr="00E513F3">
              <w:rPr>
                <w:b/>
                <w:bCs/>
              </w:rPr>
              <w:t>Существо предложения:</w:t>
            </w:r>
            <w:r>
              <w:tab/>
              <w:t>В соответствии с предложением Германии (ECE/TRANS/WP.11/2019/4) было решено, что для уточнения формулировки «основные компоненты не подлежат модификации» необходимо подготовить перечень компонентов и ключевых характеристик, которые могут повлиять на холодопроизводительность установки, и представители «</w:t>
            </w:r>
            <w:proofErr w:type="spellStart"/>
            <w:r>
              <w:t>Трансфригорут</w:t>
            </w:r>
            <w:proofErr w:type="spellEnd"/>
            <w:r>
              <w:t xml:space="preserve"> интернэшнл» предлагают внести соответствующее предложение для рассмотрения.</w:t>
            </w:r>
          </w:p>
          <w:p w14:paraId="28EA06E1" w14:textId="21F68566" w:rsidR="000916D9" w:rsidRDefault="000916D9" w:rsidP="000916D9">
            <w:pPr>
              <w:pStyle w:val="SingleTxtG"/>
              <w:tabs>
                <w:tab w:val="left" w:pos="3960"/>
              </w:tabs>
              <w:ind w:left="3960" w:right="417" w:hanging="2826"/>
              <w:jc w:val="left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 xml:space="preserve">Приложение 1, добавление 2, образец </w:t>
            </w:r>
            <w:r>
              <w:t>№ </w:t>
            </w:r>
            <w:r>
              <w:t>12</w:t>
            </w:r>
            <w:bookmarkStart w:id="0" w:name="_Hlk83057391"/>
            <w:r>
              <w:br/>
            </w:r>
            <w:r>
              <w:tab/>
              <w:t xml:space="preserve">Приложение 1, добавление 2, образец </w:t>
            </w:r>
            <w:r>
              <w:t>№ </w:t>
            </w:r>
            <w:r>
              <w:t>1 А</w:t>
            </w:r>
            <w:bookmarkEnd w:id="0"/>
          </w:p>
          <w:p w14:paraId="0284FE7E" w14:textId="7ABBEE9A" w:rsidR="000916D9" w:rsidRDefault="000916D9" w:rsidP="000916D9">
            <w:pPr>
              <w:pStyle w:val="SingleTxtG"/>
              <w:tabs>
                <w:tab w:val="left" w:pos="3960"/>
              </w:tabs>
              <w:ind w:left="3960" w:right="417" w:hanging="2826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Доклад о работе семьдесят пятой сессии (ECE/TRANS/WP.11/241)</w:t>
            </w:r>
            <w:r>
              <w:br/>
            </w:r>
            <w:r>
              <w:t>ECE/TRANS/WP.11/2021/17 (Германия)</w:t>
            </w:r>
            <w:r>
              <w:br/>
            </w:r>
            <w:r>
              <w:t>Неофициальный документ INF.6 семьдесят седьмой сессии («</w:t>
            </w:r>
            <w:proofErr w:type="spellStart"/>
            <w:r>
              <w:t>Трансфригорут</w:t>
            </w:r>
            <w:proofErr w:type="spellEnd"/>
            <w:r>
              <w:t xml:space="preserve"> интернэшнл»)</w:t>
            </w:r>
            <w:r>
              <w:br/>
            </w:r>
            <w:r>
              <w:t>Доклад о работе семьдесят седьмой сессии (ECE/TRANS/WP.11/245)</w:t>
            </w:r>
            <w:r>
              <w:br/>
            </w:r>
            <w:r>
              <w:t>ECE/TRANS/WP.11/2022/7 («</w:t>
            </w:r>
            <w:proofErr w:type="spellStart"/>
            <w:r>
              <w:t>Трансфригорут</w:t>
            </w:r>
            <w:proofErr w:type="spellEnd"/>
            <w:r>
              <w:t xml:space="preserve"> интернэшнл»)</w:t>
            </w:r>
            <w:r>
              <w:br/>
            </w:r>
            <w:r>
              <w:t>Доклад о работе семьдесят восьмой сессии (ECE/TRANS/WP.11/247)</w:t>
            </w:r>
            <w:r>
              <w:br/>
            </w:r>
            <w:r>
              <w:t>ECE/TRANS/WP.11/2022/18 («</w:t>
            </w:r>
            <w:proofErr w:type="spellStart"/>
            <w:r>
              <w:t>Трансфригорут</w:t>
            </w:r>
            <w:proofErr w:type="spellEnd"/>
            <w:r>
              <w:t xml:space="preserve"> интернэшнл»)</w:t>
            </w:r>
            <w:r>
              <w:br/>
            </w:r>
            <w:r>
              <w:t>Доклад о работе семьдесят девятой сессии (ECE/TRANS/WP.11/249)</w:t>
            </w:r>
          </w:p>
        </w:tc>
      </w:tr>
      <w:tr w:rsidR="000916D9" w14:paraId="3B32DF40" w14:textId="77777777" w:rsidTr="000916D9">
        <w:trPr>
          <w:trHeight w:val="68"/>
          <w:jc w:val="center"/>
        </w:trPr>
        <w:tc>
          <w:tcPr>
            <w:tcW w:w="9629" w:type="dxa"/>
            <w:shd w:val="clear" w:color="auto" w:fill="auto"/>
          </w:tcPr>
          <w:p w14:paraId="50FDFF2A" w14:textId="77777777" w:rsidR="000916D9" w:rsidRDefault="000916D9" w:rsidP="00A644EA"/>
        </w:tc>
      </w:tr>
    </w:tbl>
    <w:p w14:paraId="29AB70CB" w14:textId="77777777" w:rsidR="000916D9" w:rsidRPr="00836160" w:rsidRDefault="000916D9" w:rsidP="000916D9">
      <w:pPr>
        <w:pStyle w:val="HChG"/>
        <w:pageBreakBefore/>
        <w:rPr>
          <w:rStyle w:val="HChGChar"/>
          <w:b/>
        </w:rPr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3112EDB8" w14:textId="77777777" w:rsidR="000916D9" w:rsidRDefault="000916D9" w:rsidP="000916D9">
      <w:pPr>
        <w:pStyle w:val="SingleTxtG"/>
      </w:pPr>
      <w:r>
        <w:t>1.</w:t>
      </w:r>
      <w:r>
        <w:tab/>
        <w:t>В докладе о работе семьдесят пятой сессии WP.11 обратилась к «</w:t>
      </w:r>
      <w:proofErr w:type="spellStart"/>
      <w:r>
        <w:t>Трансфригорут</w:t>
      </w:r>
      <w:proofErr w:type="spellEnd"/>
      <w:r>
        <w:t xml:space="preserve"> интернэшнл» (ТИ) с просьбой предоставить перечень основных компонентов (как это указано ниже):</w:t>
      </w:r>
    </w:p>
    <w:p w14:paraId="3E367ABE" w14:textId="77777777" w:rsidR="000916D9" w:rsidRPr="00A32AD2" w:rsidRDefault="000916D9" w:rsidP="000916D9">
      <w:pPr>
        <w:pStyle w:val="H23G"/>
        <w:spacing w:before="120"/>
        <w:ind w:left="1701" w:firstLine="0"/>
      </w:pPr>
      <w:r>
        <w:tab/>
      </w:r>
      <w:r>
        <w:rPr>
          <w:bCs/>
        </w:rPr>
        <w:t>«3.</w:t>
      </w:r>
      <w:r>
        <w:tab/>
      </w:r>
      <w:r>
        <w:rPr>
          <w:bCs/>
        </w:rPr>
        <w:t>Предложение о внесении поправок в разделы 6 а) и b) добавления 1 к приложению 1: действительность протоколов испытаний для механических холодильных установок</w:t>
      </w:r>
    </w:p>
    <w:p w14:paraId="4B0FAF21" w14:textId="77777777" w:rsidR="000916D9" w:rsidRPr="00A32AD2" w:rsidRDefault="000916D9" w:rsidP="000916D9">
      <w:pPr>
        <w:pStyle w:val="SingleTxtG"/>
        <w:ind w:left="1701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ECE/TRANS/WP.11/2019/4 (Германия)</w:t>
      </w:r>
    </w:p>
    <w:p w14:paraId="33BE523E" w14:textId="77777777" w:rsidR="000916D9" w:rsidRPr="00A32AD2" w:rsidRDefault="000916D9" w:rsidP="000916D9">
      <w:pPr>
        <w:pStyle w:val="SingleTxtG"/>
        <w:ind w:left="1701"/>
      </w:pPr>
      <w:r>
        <w:t>47.</w:t>
      </w:r>
      <w:r>
        <w:tab/>
        <w:t>Был высказан ряд вопросов, вызывающих обеспокоенность в отношении следующего:</w:t>
      </w:r>
    </w:p>
    <w:p w14:paraId="2765D26B" w14:textId="77777777" w:rsidR="000916D9" w:rsidRPr="00B84196" w:rsidRDefault="000916D9" w:rsidP="000916D9">
      <w:pPr>
        <w:pStyle w:val="Bullet1G"/>
        <w:numPr>
          <w:ilvl w:val="0"/>
          <w:numId w:val="22"/>
        </w:numPr>
        <w:tabs>
          <w:tab w:val="clear" w:pos="1701"/>
          <w:tab w:val="num" w:pos="1985"/>
        </w:tabs>
        <w:ind w:left="2268" w:hanging="283"/>
      </w:pPr>
      <w:r>
        <w:t>отсутствия указания на то, какой именно компетентный орган имеется в виду: национальный компетентный орган или компетентный орган страны изготовления;</w:t>
      </w:r>
    </w:p>
    <w:p w14:paraId="084607B3" w14:textId="77777777" w:rsidR="000916D9" w:rsidRPr="00B84196" w:rsidRDefault="000916D9" w:rsidP="000916D9">
      <w:pPr>
        <w:pStyle w:val="Bullet1G"/>
        <w:numPr>
          <w:ilvl w:val="0"/>
          <w:numId w:val="22"/>
        </w:numPr>
        <w:tabs>
          <w:tab w:val="clear" w:pos="1701"/>
          <w:tab w:val="num" w:pos="1985"/>
        </w:tabs>
        <w:ind w:left="2268" w:hanging="283"/>
      </w:pPr>
      <w:r>
        <w:t>отсутствия четкого определения формулировки “основные компоненты не подлежат модификации”, что затрудняет принятие компетентными органами решения о том, следует ли продлевать срок действия свидетельства о допущении данного типа;</w:t>
      </w:r>
    </w:p>
    <w:p w14:paraId="01A213AE" w14:textId="77777777" w:rsidR="000916D9" w:rsidRPr="00B84196" w:rsidRDefault="000916D9" w:rsidP="000916D9">
      <w:pPr>
        <w:pStyle w:val="Bullet1G"/>
        <w:numPr>
          <w:ilvl w:val="0"/>
          <w:numId w:val="22"/>
        </w:numPr>
        <w:tabs>
          <w:tab w:val="clear" w:pos="1701"/>
          <w:tab w:val="num" w:pos="1985"/>
        </w:tabs>
        <w:ind w:left="2268" w:hanging="283"/>
      </w:pPr>
      <w:r>
        <w:t xml:space="preserve">отсутствия ссылки на использованную версию программного обеспечения, хотя, по мнению некоторых делегаций, к этой информации следует обеспечить доступ. </w:t>
      </w:r>
    </w:p>
    <w:p w14:paraId="41D9AFC9" w14:textId="34286E7C" w:rsidR="000916D9" w:rsidRDefault="000916D9" w:rsidP="000916D9">
      <w:pPr>
        <w:pStyle w:val="SingleTxtG"/>
        <w:ind w:left="1701"/>
      </w:pPr>
      <w:r>
        <w:t>48.</w:t>
      </w:r>
      <w:r>
        <w:tab/>
        <w:t xml:space="preserve">Было решено, что для уточнения формулировки “основные компоненты не подлежат модификации” необходимо подготовить перечень компонентов, которые могут повлиять на холодопроизводительность установки, </w:t>
      </w:r>
      <w:r>
        <w:rPr>
          <w:b/>
          <w:bCs/>
        </w:rPr>
        <w:t xml:space="preserve">и представители </w:t>
      </w:r>
      <w:r>
        <w:t>“</w:t>
      </w:r>
      <w:proofErr w:type="spellStart"/>
      <w:r>
        <w:rPr>
          <w:b/>
          <w:bCs/>
        </w:rPr>
        <w:t>Трансфригорут</w:t>
      </w:r>
      <w:proofErr w:type="spellEnd"/>
      <w:r>
        <w:rPr>
          <w:b/>
          <w:bCs/>
        </w:rPr>
        <w:t xml:space="preserve"> интернэшнл</w:t>
      </w:r>
      <w:r>
        <w:t>”</w:t>
      </w:r>
      <w:r>
        <w:rPr>
          <w:b/>
          <w:bCs/>
        </w:rPr>
        <w:t xml:space="preserve"> представят соответствующее предложение для рассмотрения на следующей сессии</w:t>
      </w:r>
      <w:r>
        <w:t>».</w:t>
      </w:r>
    </w:p>
    <w:p w14:paraId="573986FD" w14:textId="77777777" w:rsidR="000916D9" w:rsidRDefault="000916D9" w:rsidP="000916D9">
      <w:pPr>
        <w:pStyle w:val="SingleTxtG"/>
      </w:pPr>
      <w:r>
        <w:t>2.</w:t>
      </w:r>
      <w:r>
        <w:tab/>
        <w:t>В сущности, информация о ключевых характеристиках является даже более значимой, чем сам перечень основных компонентов.</w:t>
      </w:r>
    </w:p>
    <w:p w14:paraId="54FC7C77" w14:textId="77777777" w:rsidR="000916D9" w:rsidRDefault="000916D9" w:rsidP="000916D9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53FB1ED" w14:textId="141BFC04" w:rsidR="000916D9" w:rsidRDefault="000916D9" w:rsidP="000916D9">
      <w:pPr>
        <w:pStyle w:val="SingleTxtG"/>
      </w:pPr>
      <w:r>
        <w:t>3.</w:t>
      </w:r>
      <w:r>
        <w:tab/>
        <w:t xml:space="preserve">Приведенное ниже предложение основано главным образом на </w:t>
      </w:r>
      <w:proofErr w:type="gramStart"/>
      <w:r>
        <w:t>уже существующих</w:t>
      </w:r>
      <w:proofErr w:type="gramEnd"/>
      <w:r>
        <w:t xml:space="preserve"> образцах </w:t>
      </w:r>
      <w:r>
        <w:t>№ </w:t>
      </w:r>
      <w:r>
        <w:t xml:space="preserve">1 А и </w:t>
      </w:r>
      <w:r>
        <w:t>№ </w:t>
      </w:r>
      <w:r>
        <w:t>12, содержащихся в добавлении 2 к приложению</w:t>
      </w:r>
      <w:r>
        <w:rPr>
          <w:lang w:val="en-US"/>
        </w:rPr>
        <w:t> </w:t>
      </w:r>
      <w:r>
        <w:t>1.</w:t>
      </w:r>
    </w:p>
    <w:p w14:paraId="2799C2FE" w14:textId="77777777" w:rsidR="000916D9" w:rsidRDefault="000916D9" w:rsidP="000916D9">
      <w:pPr>
        <w:pStyle w:val="SingleTxtG"/>
      </w:pPr>
      <w:r>
        <w:t>4.</w:t>
      </w:r>
      <w:r>
        <w:tab/>
        <w:t>В настоящее время для проведения функционального анализа специальных транспортных средств, предназначенных для перевозки скоропортящихся пищевых продуктов, на высоком уровне можно было бы перечислить следующие функции:</w:t>
      </w:r>
    </w:p>
    <w:p w14:paraId="50DA4158" w14:textId="77777777" w:rsidR="000916D9" w:rsidRDefault="000916D9" w:rsidP="000916D9">
      <w:pPr>
        <w:pStyle w:val="Bullet1G"/>
        <w:numPr>
          <w:ilvl w:val="0"/>
          <w:numId w:val="22"/>
        </w:numPr>
      </w:pPr>
      <w:r>
        <w:t>источник энергии;</w:t>
      </w:r>
    </w:p>
    <w:p w14:paraId="6009BA36" w14:textId="77777777" w:rsidR="000916D9" w:rsidRDefault="000916D9" w:rsidP="000916D9">
      <w:pPr>
        <w:pStyle w:val="Bullet1G"/>
        <w:numPr>
          <w:ilvl w:val="0"/>
          <w:numId w:val="22"/>
        </w:numPr>
      </w:pPr>
      <w:r>
        <w:t>производство и распределение холода/тепла;</w:t>
      </w:r>
    </w:p>
    <w:p w14:paraId="7039A35F" w14:textId="77777777" w:rsidR="000916D9" w:rsidRDefault="000916D9" w:rsidP="000916D9">
      <w:pPr>
        <w:pStyle w:val="Bullet1G"/>
        <w:numPr>
          <w:ilvl w:val="0"/>
          <w:numId w:val="22"/>
        </w:numPr>
      </w:pPr>
      <w:r>
        <w:t>изоляция.</w:t>
      </w:r>
    </w:p>
    <w:p w14:paraId="6E3D7A15" w14:textId="77777777" w:rsidR="000916D9" w:rsidRDefault="000916D9" w:rsidP="000916D9">
      <w:pPr>
        <w:pStyle w:val="SingleTxtG"/>
      </w:pPr>
      <w:bookmarkStart w:id="1" w:name="_Hlk83058523"/>
      <w:r>
        <w:t>5.</w:t>
      </w:r>
      <w:r>
        <w:tab/>
        <w:t>«</w:t>
      </w:r>
      <w:proofErr w:type="spellStart"/>
      <w:r>
        <w:t>Трансфригорут</w:t>
      </w:r>
      <w:proofErr w:type="spellEnd"/>
      <w:r>
        <w:t xml:space="preserve"> интернэшнл» предлагает четко разграничить компоненты (включая их ключевые характеристики), относящиеся к каждой из указанных выше функций.</w:t>
      </w:r>
      <w:bookmarkStart w:id="2" w:name="_Hlk83058953"/>
      <w:bookmarkEnd w:id="1"/>
    </w:p>
    <w:p w14:paraId="47815A29" w14:textId="2DE06DE4" w:rsidR="000916D9" w:rsidRDefault="000916D9" w:rsidP="000916D9">
      <w:pPr>
        <w:pStyle w:val="SingleTxtG"/>
      </w:pPr>
      <w:r>
        <w:t>6.</w:t>
      </w:r>
      <w:r>
        <w:tab/>
        <w:t xml:space="preserve">ТИ также предлагает добавить эти перечни в конце образцов </w:t>
      </w:r>
      <w:r>
        <w:t>№ </w:t>
      </w:r>
      <w:r>
        <w:t xml:space="preserve">1 А и </w:t>
      </w:r>
      <w:r>
        <w:t>№ </w:t>
      </w:r>
      <w:r>
        <w:t>12 в качестве резюме основных компонентов и ключевых характеристик и отсылки к ним.</w:t>
      </w:r>
    </w:p>
    <w:p w14:paraId="486CAB57" w14:textId="77777777" w:rsidR="000916D9" w:rsidRDefault="000916D9" w:rsidP="000916D9">
      <w:pPr>
        <w:pStyle w:val="SingleTxtG"/>
      </w:pPr>
      <w:r>
        <w:t>7.</w:t>
      </w:r>
      <w:r>
        <w:tab/>
        <w:t>С учетом многочисленных разработок, касающихся альтернативных источников энергии для транспортных средств, включая их электрификацию, «</w:t>
      </w:r>
      <w:proofErr w:type="spellStart"/>
      <w:r>
        <w:t>Трансфригорут</w:t>
      </w:r>
      <w:proofErr w:type="spellEnd"/>
      <w:r>
        <w:t xml:space="preserve"> интернэшнл» предлагает скорректировать перечень основных компонентов и их ключевых характеристик, относящихся к источнику питания, следующим образом:</w:t>
      </w:r>
    </w:p>
    <w:p w14:paraId="0BF5F749" w14:textId="7B14C23C" w:rsidR="000916D9" w:rsidRDefault="000916D9" w:rsidP="000916D9">
      <w:pPr>
        <w:pStyle w:val="Bullet1G"/>
        <w:numPr>
          <w:ilvl w:val="0"/>
          <w:numId w:val="22"/>
        </w:numPr>
      </w:pPr>
      <w:r>
        <w:lastRenderedPageBreak/>
        <w:t xml:space="preserve">Перечень основных компонентов, относящихся к источнику питания (добавить в конце образца </w:t>
      </w:r>
      <w:r>
        <w:t>№ </w:t>
      </w:r>
      <w:r>
        <w:t>12)</w:t>
      </w:r>
    </w:p>
    <w:bookmarkEnd w:id="2"/>
    <w:p w14:paraId="761C545A" w14:textId="77777777" w:rsidR="000916D9" w:rsidRDefault="000916D9" w:rsidP="000916D9">
      <w:pPr>
        <w:pStyle w:val="SingleTxtG"/>
        <w:tabs>
          <w:tab w:val="clear" w:pos="2835"/>
          <w:tab w:val="left" w:pos="5103"/>
          <w:tab w:val="right" w:pos="9072"/>
        </w:tabs>
        <w:ind w:left="1701" w:right="-1"/>
      </w:pPr>
      <w:r>
        <w:t xml:space="preserve">Привод компрессора </w:t>
      </w:r>
    </w:p>
    <w:p w14:paraId="37DD00AC" w14:textId="619F399F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>Источник электроэнергии</w:t>
      </w:r>
      <w:r>
        <w:tab/>
        <w:t>Тип</w:t>
      </w:r>
    </w:p>
    <w:p w14:paraId="346FA99E" w14:textId="348A25B7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</w:r>
      <w:r>
        <w:t>Тип тока (постоянный/ переменный)</w:t>
      </w:r>
    </w:p>
    <w:p w14:paraId="3ACAD1CA" w14:textId="5846F1DA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</w:r>
      <w:r>
        <w:t>Номинальная выходная мощность</w:t>
      </w:r>
      <w:r>
        <w:tab/>
        <w:t>кВт</w:t>
      </w:r>
    </w:p>
    <w:p w14:paraId="11DEFF7D" w14:textId="495A13D1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4536" w:right="1133" w:hanging="2268"/>
        <w:jc w:val="left"/>
      </w:pPr>
      <w:r>
        <w:tab/>
      </w:r>
      <w:r>
        <w:t xml:space="preserve">Номинальная частота </w:t>
      </w:r>
      <w:r w:rsidR="00012E1D">
        <w:br/>
      </w:r>
      <w:r>
        <w:t>вращения (если применимо)</w:t>
      </w:r>
      <w:r>
        <w:tab/>
        <w:t>об/мин</w:t>
      </w:r>
    </w:p>
    <w:p w14:paraId="32FC0E5E" w14:textId="4F7CC22C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</w:r>
      <w:r>
        <w:t>Напряжение питания</w:t>
      </w:r>
      <w:r>
        <w:tab/>
        <w:t>В</w:t>
      </w:r>
    </w:p>
    <w:p w14:paraId="0ABFE938" w14:textId="18E59029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</w:r>
      <w:r>
        <w:t>Частота тока</w:t>
      </w:r>
      <w:r>
        <w:tab/>
        <w:t>Гц</w:t>
      </w:r>
    </w:p>
    <w:p w14:paraId="7F62BE3D" w14:textId="7E97A3BD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 xml:space="preserve">Двигатель внутреннего </w:t>
      </w:r>
      <w:r w:rsidR="00012E1D">
        <w:br/>
      </w:r>
      <w:r>
        <w:t>сгорания</w:t>
      </w:r>
      <w:r>
        <w:tab/>
        <w:t>Тип</w:t>
      </w:r>
    </w:p>
    <w:p w14:paraId="0A293382" w14:textId="0D5AEDC7" w:rsidR="000916D9" w:rsidRDefault="00012E1D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 w:rsidR="000916D9">
        <w:tab/>
        <w:t>Число цилиндров</w:t>
      </w:r>
    </w:p>
    <w:p w14:paraId="69A9B3C0" w14:textId="700096E0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Рабочий объем цилиндров</w:t>
      </w:r>
      <w:r>
        <w:tab/>
        <w:t>см</w:t>
      </w:r>
      <w:r>
        <w:rPr>
          <w:vertAlign w:val="superscript"/>
        </w:rPr>
        <w:t>3</w:t>
      </w:r>
    </w:p>
    <w:p w14:paraId="2E61CF6D" w14:textId="539126D7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Номинальная выходная мощность</w:t>
      </w:r>
      <w:r>
        <w:tab/>
        <w:t>кВт</w:t>
      </w:r>
    </w:p>
    <w:p w14:paraId="795F5A0B" w14:textId="1E1C3CAE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Номинальная частота вращения</w:t>
      </w:r>
      <w:r>
        <w:tab/>
        <w:t>об/мин</w:t>
      </w:r>
    </w:p>
    <w:p w14:paraId="5A0E42D8" w14:textId="5121E1A6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Топливо</w:t>
      </w:r>
    </w:p>
    <w:p w14:paraId="70273334" w14:textId="7214A653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>Гидромотор</w:t>
      </w:r>
      <w:r>
        <w:tab/>
        <w:t>Тип</w:t>
      </w:r>
    </w:p>
    <w:p w14:paraId="2AE450D2" w14:textId="1A906F31" w:rsidR="000916D9" w:rsidRDefault="002D5095" w:rsidP="00012E1D">
      <w:pPr>
        <w:pStyle w:val="SingleTxtG"/>
        <w:tabs>
          <w:tab w:val="clear" w:pos="2835"/>
          <w:tab w:val="left" w:pos="4536"/>
          <w:tab w:val="right" w:pos="8222"/>
          <w:tab w:val="right" w:pos="8505"/>
        </w:tabs>
        <w:ind w:left="1843" w:right="1133" w:hanging="11"/>
        <w:jc w:val="left"/>
      </w:pPr>
      <w:r>
        <w:tab/>
      </w:r>
      <w:r>
        <w:tab/>
      </w:r>
      <w:r w:rsidR="00012E1D">
        <w:tab/>
      </w:r>
      <w:r w:rsidR="000916D9">
        <w:t>Вид привода</w:t>
      </w:r>
    </w:p>
    <w:p w14:paraId="13FD56BE" w14:textId="19B3D0C0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>Иной механический</w:t>
      </w:r>
      <w:r>
        <w:tab/>
        <w:t>Номинальная частота вращения</w:t>
      </w:r>
      <w:r w:rsidR="00012E1D">
        <w:tab/>
      </w:r>
      <w:r>
        <w:t>об/мин</w:t>
      </w:r>
    </w:p>
    <w:p w14:paraId="78F57151" w14:textId="225C160A" w:rsidR="000916D9" w:rsidRDefault="000916D9" w:rsidP="00012E1D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Минимальная частота вращения</w:t>
      </w:r>
      <w:r w:rsidR="00012E1D">
        <w:tab/>
      </w:r>
      <w:r>
        <w:t>об/мин</w:t>
      </w:r>
    </w:p>
    <w:p w14:paraId="7B091666" w14:textId="77777777" w:rsidR="000916D9" w:rsidRPr="00105493" w:rsidRDefault="000916D9" w:rsidP="00012E1D">
      <w:pPr>
        <w:pStyle w:val="SingleTxtG"/>
        <w:ind w:left="1843"/>
        <w:jc w:val="left"/>
        <w:rPr>
          <w:i/>
          <w:iCs/>
        </w:rPr>
      </w:pPr>
      <w:r>
        <w:rPr>
          <w:b/>
          <w:bCs/>
          <w:i/>
          <w:iCs/>
        </w:rPr>
        <w:t>Примечание:</w:t>
      </w:r>
      <w:r>
        <w:rPr>
          <w:i/>
          <w:iCs/>
        </w:rPr>
        <w:t xml:space="preserve"> применительно к каждому компоненту или каждой характеристике следует понимать «если применимо».</w:t>
      </w:r>
    </w:p>
    <w:p w14:paraId="26AD4F80" w14:textId="7D2BDBE2" w:rsidR="000916D9" w:rsidRDefault="000916D9" w:rsidP="002D5095">
      <w:pPr>
        <w:pStyle w:val="Bullet1G"/>
        <w:numPr>
          <w:ilvl w:val="0"/>
          <w:numId w:val="22"/>
        </w:numPr>
        <w:spacing w:before="240"/>
      </w:pPr>
      <w:r>
        <w:t xml:space="preserve">Перечень основных компонентов, относящихся к производству и распределению холода/тепла (добавить в конце образца </w:t>
      </w:r>
      <w:r>
        <w:t>№ </w:t>
      </w:r>
      <w:r>
        <w:t>12)</w:t>
      </w:r>
    </w:p>
    <w:p w14:paraId="61CFB27F" w14:textId="2DBAAC85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>Хладагент</w:t>
      </w:r>
      <w:r>
        <w:tab/>
        <w:t xml:space="preserve">Охлаждающая жидкость </w:t>
      </w:r>
    </w:p>
    <w:p w14:paraId="77FF9989" w14:textId="76EBB076" w:rsidR="000916D9" w:rsidRDefault="005249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</w:r>
      <w:r w:rsidR="000916D9">
        <w:t>Заправка холодильного агента</w:t>
      </w:r>
      <w:r w:rsidR="000916D9">
        <w:tab/>
        <w:t>кг</w:t>
      </w:r>
    </w:p>
    <w:p w14:paraId="23B21016" w14:textId="7B1D4087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>Компрессор</w:t>
      </w:r>
      <w:r>
        <w:tab/>
        <w:t>Тип</w:t>
      </w:r>
    </w:p>
    <w:p w14:paraId="011FE474" w14:textId="66DFD488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Число цилиндров</w:t>
      </w:r>
    </w:p>
    <w:p w14:paraId="3F8BDC0E" w14:textId="2F1F4F7B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Рабочий объем цилиндров</w:t>
      </w:r>
      <w:r>
        <w:tab/>
        <w:t>см</w:t>
      </w:r>
      <w:r w:rsidRPr="005249D9">
        <w:rPr>
          <w:vertAlign w:val="superscript"/>
        </w:rPr>
        <w:t>3</w:t>
      </w:r>
    </w:p>
    <w:p w14:paraId="7385DB7A" w14:textId="37C6DBB5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Номинальное число оборотов</w:t>
      </w:r>
      <w:r w:rsidR="005249D9">
        <w:tab/>
      </w:r>
      <w:r>
        <w:t>об/мин</w:t>
      </w:r>
    </w:p>
    <w:p w14:paraId="7141CD2E" w14:textId="5087E9DF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>Теплообменники</w:t>
      </w:r>
      <w:r w:rsidR="005249D9">
        <w:tab/>
      </w:r>
      <w:r>
        <w:t>Тип</w:t>
      </w:r>
    </w:p>
    <w:p w14:paraId="04695347" w14:textId="0923E38F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 w:rsidRPr="005249D9">
        <w:rPr>
          <w:i/>
          <w:iCs/>
        </w:rPr>
        <w:t>Конденсатор</w:t>
      </w:r>
      <w:r>
        <w:tab/>
        <w:t>Число трубок</w:t>
      </w:r>
    </w:p>
    <w:p w14:paraId="57AC7E1E" w14:textId="0677B3E3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 w:rsidRPr="002D5095">
        <w:rPr>
          <w:i/>
          <w:iCs/>
        </w:rPr>
        <w:t>Испаритель(и)</w:t>
      </w:r>
      <w:r>
        <w:tab/>
        <w:t>Шаг лопаток</w:t>
      </w:r>
      <w:r w:rsidR="005249D9">
        <w:tab/>
      </w:r>
      <w:r>
        <w:t>мм</w:t>
      </w:r>
    </w:p>
    <w:p w14:paraId="0F6F2F00" w14:textId="68177082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Характер трубопровода</w:t>
      </w:r>
    </w:p>
    <w:p w14:paraId="376ACE45" w14:textId="435690DC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Диаметр трубопровода</w:t>
      </w:r>
      <w:r>
        <w:tab/>
        <w:t>мм</w:t>
      </w:r>
    </w:p>
    <w:p w14:paraId="1777FA8C" w14:textId="44DB4C26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Поверхность теплообменника</w:t>
      </w:r>
      <w:r w:rsidR="005249D9">
        <w:tab/>
      </w:r>
      <w:r>
        <w:t>м</w:t>
      </w:r>
      <w:r w:rsidRPr="005249D9">
        <w:rPr>
          <w:vertAlign w:val="superscript"/>
        </w:rPr>
        <w:t>2</w:t>
      </w:r>
    </w:p>
    <w:p w14:paraId="70D3794A" w14:textId="24BFC975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Фронтальная поверхность</w:t>
      </w:r>
      <w:r>
        <w:tab/>
        <w:t>м</w:t>
      </w:r>
      <w:r w:rsidRPr="005249D9">
        <w:rPr>
          <w:vertAlign w:val="superscript"/>
        </w:rPr>
        <w:t>2</w:t>
      </w:r>
    </w:p>
    <w:p w14:paraId="7BE10111" w14:textId="198ACC73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 xml:space="preserve">Вентиляторы </w:t>
      </w:r>
      <w:r w:rsidR="002D5095">
        <w:br/>
      </w:r>
      <w:r>
        <w:t>теплообменников</w:t>
      </w:r>
      <w:r>
        <w:tab/>
        <w:t>Число вентиляторов</w:t>
      </w:r>
    </w:p>
    <w:p w14:paraId="01F2ECAE" w14:textId="7CD217D6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 w:rsidRPr="002D5095">
        <w:rPr>
          <w:i/>
          <w:iCs/>
        </w:rPr>
        <w:t>Конденсатор</w:t>
      </w:r>
      <w:r>
        <w:tab/>
        <w:t>Тип вентилятора (осевой/радиальный)</w:t>
      </w:r>
    </w:p>
    <w:p w14:paraId="5F6E7A4B" w14:textId="22E9788F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 w:rsidRPr="002D5095">
        <w:rPr>
          <w:i/>
          <w:iCs/>
        </w:rPr>
        <w:lastRenderedPageBreak/>
        <w:t>Испаритель(и)</w:t>
      </w:r>
      <w:r>
        <w:tab/>
        <w:t>Число лопастей каждого вентилятора</w:t>
      </w:r>
    </w:p>
    <w:p w14:paraId="2C567A19" w14:textId="5CFC649C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Диаметр вентилятора</w:t>
      </w:r>
      <w:r>
        <w:tab/>
        <w:t>мм</w:t>
      </w:r>
    </w:p>
    <w:p w14:paraId="0C96DC50" w14:textId="6C117AF1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Номинальная мощность</w:t>
      </w:r>
      <w:r>
        <w:tab/>
        <w:t>Вт</w:t>
      </w:r>
    </w:p>
    <w:p w14:paraId="128EAAA1" w14:textId="086E46AA" w:rsidR="000916D9" w:rsidRDefault="000916D9" w:rsidP="002D5095">
      <w:pPr>
        <w:pStyle w:val="SingleTxtG"/>
        <w:tabs>
          <w:tab w:val="clear" w:pos="2835"/>
          <w:tab w:val="left" w:pos="4536"/>
          <w:tab w:val="right" w:pos="8505"/>
        </w:tabs>
        <w:ind w:left="4536" w:right="1133" w:hanging="2682"/>
        <w:jc w:val="left"/>
      </w:pPr>
      <w:r>
        <w:tab/>
      </w:r>
      <w:r w:rsidR="002D5095">
        <w:tab/>
      </w:r>
      <w:r>
        <w:t xml:space="preserve">Общий номинальный расход </w:t>
      </w:r>
      <w:r w:rsidR="002D5095">
        <w:br/>
      </w:r>
      <w:r>
        <w:t>при заданном давлении</w:t>
      </w:r>
      <w:r>
        <w:tab/>
        <w:t>(м</w:t>
      </w:r>
      <w:r w:rsidRPr="002D5095">
        <w:rPr>
          <w:vertAlign w:val="superscript"/>
        </w:rPr>
        <w:t>3</w:t>
      </w:r>
      <w:r>
        <w:t>/ч)</w:t>
      </w:r>
    </w:p>
    <w:p w14:paraId="0634937F" w14:textId="467CBF47" w:rsidR="000916D9" w:rsidRDefault="002D5095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 w:rsidR="000916D9">
        <w:tab/>
        <w:t>или</w:t>
      </w:r>
    </w:p>
    <w:p w14:paraId="2A0B1AAC" w14:textId="4249E5FC" w:rsidR="000916D9" w:rsidRDefault="002D5095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</w:r>
      <w:r w:rsidR="000916D9">
        <w:t>Номинальное число оборотов</w:t>
      </w:r>
      <w:r>
        <w:tab/>
      </w:r>
      <w:r w:rsidR="000916D9">
        <w:t>об/мин</w:t>
      </w:r>
    </w:p>
    <w:p w14:paraId="070B006B" w14:textId="745E4395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>Вид привода</w:t>
      </w:r>
    </w:p>
    <w:p w14:paraId="4C1BCABC" w14:textId="5F53A8A2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>Редукционный клапан</w:t>
      </w:r>
      <w:r>
        <w:tab/>
        <w:t>Тип</w:t>
      </w:r>
    </w:p>
    <w:p w14:paraId="613D5B2C" w14:textId="77777777" w:rsidR="000916D9" w:rsidRPr="00105493" w:rsidRDefault="000916D9" w:rsidP="002D5095">
      <w:pPr>
        <w:pStyle w:val="SingleTxtG"/>
        <w:ind w:left="1843"/>
        <w:jc w:val="left"/>
        <w:rPr>
          <w:i/>
          <w:iCs/>
        </w:rPr>
      </w:pPr>
      <w:r>
        <w:rPr>
          <w:b/>
          <w:bCs/>
          <w:i/>
          <w:iCs/>
        </w:rPr>
        <w:t>Примечание:</w:t>
      </w:r>
      <w:r>
        <w:rPr>
          <w:i/>
          <w:iCs/>
        </w:rPr>
        <w:t xml:space="preserve"> применительно к каждому компоненту или каждой характеристике следует понимать «если применимо».</w:t>
      </w:r>
    </w:p>
    <w:p w14:paraId="60749845" w14:textId="1D1E7AC9" w:rsidR="000916D9" w:rsidRDefault="000916D9" w:rsidP="002D4FD1">
      <w:pPr>
        <w:pStyle w:val="Bullet1G"/>
        <w:spacing w:before="240"/>
      </w:pPr>
      <w:r>
        <w:t>Перечень основных компонентов, относящихся к изоляции (см. приложение</w:t>
      </w:r>
      <w:r w:rsidR="002D5095">
        <w:t> </w:t>
      </w:r>
      <w:r>
        <w:t xml:space="preserve">1, добавление 2, образец </w:t>
      </w:r>
      <w:r>
        <w:t>№ </w:t>
      </w:r>
      <w:r>
        <w:t>1 А)</w:t>
      </w:r>
    </w:p>
    <w:p w14:paraId="74026934" w14:textId="3A1D8D8B" w:rsidR="000916D9" w:rsidRPr="009F7F79" w:rsidRDefault="000916D9" w:rsidP="002D5095">
      <w:pPr>
        <w:pStyle w:val="SingleTxtG"/>
        <w:tabs>
          <w:tab w:val="clear" w:pos="2835"/>
          <w:tab w:val="left" w:pos="4536"/>
          <w:tab w:val="right" w:pos="8505"/>
        </w:tabs>
        <w:ind w:left="4536" w:right="1133" w:hanging="2682"/>
        <w:jc w:val="left"/>
      </w:pPr>
      <w:r>
        <w:t>Основные габариты</w:t>
      </w:r>
      <w:r>
        <w:tab/>
        <w:t xml:space="preserve">Общая внутренняя поверхность </w:t>
      </w:r>
      <w:r w:rsidR="002D5095">
        <w:br/>
      </w:r>
      <w:r>
        <w:t>стенок кузова (</w:t>
      </w:r>
      <w:proofErr w:type="spellStart"/>
      <w:r>
        <w:t>Si</w:t>
      </w:r>
      <w:proofErr w:type="spellEnd"/>
      <w:r>
        <w:t>)</w:t>
      </w:r>
      <w:r>
        <w:tab/>
        <w:t>м</w:t>
      </w:r>
      <w:r w:rsidRPr="002D5095">
        <w:rPr>
          <w:vertAlign w:val="superscript"/>
        </w:rPr>
        <w:t>2</w:t>
      </w:r>
    </w:p>
    <w:p w14:paraId="1B8ADD70" w14:textId="0C5DFB9A" w:rsidR="000916D9" w:rsidRPr="009F7F79" w:rsidRDefault="000916D9" w:rsidP="002D5095">
      <w:pPr>
        <w:pStyle w:val="SingleTxtG"/>
        <w:tabs>
          <w:tab w:val="clear" w:pos="2835"/>
          <w:tab w:val="left" w:pos="4536"/>
          <w:tab w:val="right" w:pos="8505"/>
        </w:tabs>
        <w:ind w:left="4536" w:right="1133" w:hanging="2682"/>
        <w:jc w:val="left"/>
      </w:pPr>
      <w:r>
        <w:tab/>
      </w:r>
      <w:r>
        <w:tab/>
        <w:t xml:space="preserve">Общая наружная поверхность </w:t>
      </w:r>
      <w:r w:rsidR="002D5095">
        <w:br/>
      </w:r>
      <w:r>
        <w:t>стенок кузова (</w:t>
      </w:r>
      <w:proofErr w:type="spellStart"/>
      <w:r>
        <w:t>Sе</w:t>
      </w:r>
      <w:proofErr w:type="spellEnd"/>
      <w:r>
        <w:t>)</w:t>
      </w:r>
      <w:r>
        <w:tab/>
        <w:t>м</w:t>
      </w:r>
      <w:r w:rsidRPr="002D5095">
        <w:rPr>
          <w:vertAlign w:val="superscript"/>
        </w:rPr>
        <w:t>2</w:t>
      </w:r>
    </w:p>
    <w:p w14:paraId="395DDABE" w14:textId="18205BB3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 xml:space="preserve">Спецификации стенок </w:t>
      </w:r>
      <w:r w:rsidR="002D5095">
        <w:br/>
      </w:r>
      <w:proofErr w:type="spellStart"/>
      <w:r>
        <w:t>кузова</w:t>
      </w:r>
      <w:r w:rsidRPr="002D5095">
        <w:rPr>
          <w:vertAlign w:val="superscript"/>
        </w:rPr>
        <w:t>a</w:t>
      </w:r>
      <w:proofErr w:type="spellEnd"/>
      <w:r>
        <w:tab/>
        <w:t>Крыша</w:t>
      </w:r>
    </w:p>
    <w:p w14:paraId="609D88AF" w14:textId="1D766F90" w:rsidR="000916D9" w:rsidRDefault="002D5095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 w:rsidR="000916D9">
        <w:tab/>
        <w:t>Пол</w:t>
      </w:r>
    </w:p>
    <w:p w14:paraId="16917D5D" w14:textId="2DB41183" w:rsidR="000916D9" w:rsidRPr="009F7F79" w:rsidRDefault="002D5095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</w:r>
      <w:r w:rsidR="000916D9">
        <w:t>Боковые стенки</w:t>
      </w:r>
    </w:p>
    <w:p w14:paraId="66831FD1" w14:textId="3D0A710C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 xml:space="preserve">Конструкционные </w:t>
      </w:r>
      <w:r w:rsidR="002D5095">
        <w:br/>
      </w:r>
      <w:r>
        <w:t>особенности кузова</w:t>
      </w:r>
      <w:r>
        <w:tab/>
        <w:t>Число дверей</w:t>
      </w:r>
    </w:p>
    <w:p w14:paraId="4F687642" w14:textId="19E9C8B2" w:rsidR="000916D9" w:rsidRPr="009F7F7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  <w:t xml:space="preserve">Число вентиляционных отверстий </w:t>
      </w:r>
    </w:p>
    <w:p w14:paraId="758D99F0" w14:textId="7C851FD6" w:rsidR="000916D9" w:rsidRPr="009F7F79" w:rsidRDefault="002D5095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ab/>
      </w:r>
      <w:r>
        <w:tab/>
      </w:r>
      <w:r w:rsidR="000916D9">
        <w:t>Число отверстий для загрузки льда</w:t>
      </w:r>
    </w:p>
    <w:p w14:paraId="545795D4" w14:textId="661F8147" w:rsidR="000916D9" w:rsidRDefault="000916D9" w:rsidP="005249D9">
      <w:pPr>
        <w:pStyle w:val="SingleTxtG"/>
        <w:tabs>
          <w:tab w:val="clear" w:pos="2835"/>
          <w:tab w:val="left" w:pos="4536"/>
          <w:tab w:val="right" w:pos="8505"/>
        </w:tabs>
        <w:ind w:left="1854" w:right="1133"/>
        <w:jc w:val="left"/>
      </w:pPr>
      <w:r>
        <w:t xml:space="preserve">Дополнительные </w:t>
      </w:r>
      <w:r w:rsidR="002D5095">
        <w:br/>
      </w:r>
      <w:proofErr w:type="spellStart"/>
      <w:r>
        <w:t>приспособления</w:t>
      </w:r>
      <w:r w:rsidRPr="002D5095">
        <w:rPr>
          <w:vertAlign w:val="superscript"/>
        </w:rPr>
        <w:t>b</w:t>
      </w:r>
      <w:proofErr w:type="spellEnd"/>
      <w:r>
        <w:tab/>
        <w:t>Число и тип</w:t>
      </w:r>
    </w:p>
    <w:p w14:paraId="3F1BD9C8" w14:textId="5604FB0F" w:rsidR="000916D9" w:rsidRPr="00105493" w:rsidRDefault="000916D9" w:rsidP="002D5095">
      <w:pPr>
        <w:pStyle w:val="SingleTxtG"/>
        <w:spacing w:before="240" w:after="0"/>
        <w:ind w:left="1985"/>
        <w:jc w:val="left"/>
        <w:rPr>
          <w:i/>
          <w:iCs/>
        </w:rPr>
      </w:pPr>
      <w:r w:rsidRPr="00E513F3">
        <w:rPr>
          <w:i/>
          <w:iCs/>
          <w:vertAlign w:val="superscript"/>
        </w:rPr>
        <w:t>a</w:t>
      </w:r>
      <w:r>
        <w:rPr>
          <w:i/>
          <w:iCs/>
        </w:rPr>
        <w:t xml:space="preserve"> </w:t>
      </w:r>
      <w:r w:rsidR="002D5095">
        <w:rPr>
          <w:i/>
          <w:iCs/>
        </w:rPr>
        <w:t xml:space="preserve"> </w:t>
      </w:r>
      <w:r>
        <w:rPr>
          <w:i/>
          <w:iCs/>
        </w:rPr>
        <w:t>Характер и толщина основных материалов и толщина панелей, из</w:t>
      </w:r>
      <w:r w:rsidR="002D5095">
        <w:rPr>
          <w:i/>
          <w:iCs/>
        </w:rPr>
        <w:t> </w:t>
      </w:r>
      <w:r>
        <w:rPr>
          <w:i/>
          <w:iCs/>
        </w:rPr>
        <w:t>которых изготовлены стенки кузова.</w:t>
      </w:r>
    </w:p>
    <w:p w14:paraId="2A7E997C" w14:textId="673C2D6C" w:rsidR="000916D9" w:rsidRPr="00105493" w:rsidRDefault="000916D9" w:rsidP="002D5095">
      <w:pPr>
        <w:pStyle w:val="SingleTxtG"/>
        <w:ind w:left="1985"/>
        <w:jc w:val="left"/>
        <w:rPr>
          <w:i/>
          <w:iCs/>
        </w:rPr>
      </w:pPr>
      <w:r w:rsidRPr="00E513F3">
        <w:rPr>
          <w:i/>
          <w:iCs/>
          <w:vertAlign w:val="superscript"/>
        </w:rPr>
        <w:t>b</w:t>
      </w:r>
      <w:r>
        <w:rPr>
          <w:i/>
          <w:iCs/>
        </w:rPr>
        <w:t xml:space="preserve"> </w:t>
      </w:r>
      <w:r w:rsidR="002D5095">
        <w:rPr>
          <w:i/>
          <w:iCs/>
        </w:rPr>
        <w:t xml:space="preserve"> </w:t>
      </w:r>
      <w:r>
        <w:rPr>
          <w:i/>
          <w:iCs/>
        </w:rPr>
        <w:t>Дополнительные приспособления, которые могут повлиять на значение коэффициента К.</w:t>
      </w:r>
    </w:p>
    <w:p w14:paraId="55D2FCFE" w14:textId="77777777" w:rsidR="000916D9" w:rsidRPr="00105493" w:rsidRDefault="000916D9" w:rsidP="002D5095">
      <w:pPr>
        <w:pStyle w:val="SingleTxtG"/>
        <w:ind w:left="1843"/>
        <w:jc w:val="left"/>
        <w:rPr>
          <w:i/>
          <w:iCs/>
        </w:rPr>
      </w:pPr>
      <w:r>
        <w:rPr>
          <w:b/>
          <w:bCs/>
          <w:i/>
          <w:iCs/>
        </w:rPr>
        <w:t>Примечание:</w:t>
      </w:r>
      <w:r>
        <w:rPr>
          <w:i/>
          <w:iCs/>
        </w:rPr>
        <w:t xml:space="preserve"> применительно к каждому компоненту или каждой характеристике следует понимать «если применимо».</w:t>
      </w:r>
    </w:p>
    <w:p w14:paraId="55F54B96" w14:textId="77777777" w:rsidR="007A22BE" w:rsidRDefault="007A22BE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1A40790A" w14:textId="5C5C249C" w:rsidR="000916D9" w:rsidRDefault="000916D9" w:rsidP="000916D9">
      <w:pPr>
        <w:pStyle w:val="HChG"/>
      </w:pPr>
      <w:r>
        <w:lastRenderedPageBreak/>
        <w:tab/>
      </w:r>
      <w:r>
        <w:tab/>
      </w:r>
      <w:r>
        <w:rPr>
          <w:bCs/>
        </w:rPr>
        <w:t>Обоснование</w:t>
      </w:r>
    </w:p>
    <w:tbl>
      <w:tblPr>
        <w:tblW w:w="0" w:type="auto"/>
        <w:tblInd w:w="1134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278"/>
      </w:tblGrid>
      <w:tr w:rsidR="000916D9" w14:paraId="6C3D6A12" w14:textId="77777777" w:rsidTr="007A22BE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3670232A" w14:textId="77777777" w:rsidR="000916D9" w:rsidRDefault="000916D9" w:rsidP="007A22BE">
            <w:pPr>
              <w:pStyle w:val="SingleTxtG"/>
              <w:spacing w:before="60" w:after="60"/>
              <w:ind w:left="0" w:right="0"/>
            </w:pPr>
            <w:r>
              <w:t>Затраты:</w:t>
            </w:r>
          </w:p>
        </w:tc>
        <w:tc>
          <w:tcPr>
            <w:tcW w:w="5278" w:type="dxa"/>
            <w:shd w:val="clear" w:color="auto" w:fill="auto"/>
            <w:tcMar>
              <w:left w:w="57" w:type="dxa"/>
              <w:right w:w="57" w:type="dxa"/>
            </w:tcMar>
          </w:tcPr>
          <w:p w14:paraId="0701D462" w14:textId="77777777" w:rsidR="000916D9" w:rsidRDefault="000916D9" w:rsidP="007A22BE">
            <w:pPr>
              <w:pStyle w:val="SingleTxtG"/>
              <w:spacing w:before="60" w:after="60"/>
              <w:ind w:left="0" w:right="0"/>
              <w:jc w:val="left"/>
            </w:pPr>
            <w:r>
              <w:t>Отсутствие каких-либо затрат.</w:t>
            </w:r>
          </w:p>
        </w:tc>
      </w:tr>
      <w:tr w:rsidR="000916D9" w14:paraId="651CFC91" w14:textId="77777777" w:rsidTr="007A22BE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0B1B36C5" w14:textId="77777777" w:rsidR="000916D9" w:rsidRDefault="000916D9" w:rsidP="007A22BE">
            <w:pPr>
              <w:pStyle w:val="SingleTxtG"/>
              <w:spacing w:before="60" w:after="60"/>
              <w:ind w:left="0" w:right="0"/>
            </w:pPr>
            <w:r>
              <w:t>Осуществимость:</w:t>
            </w:r>
          </w:p>
        </w:tc>
        <w:tc>
          <w:tcPr>
            <w:tcW w:w="5278" w:type="dxa"/>
            <w:shd w:val="clear" w:color="auto" w:fill="auto"/>
            <w:tcMar>
              <w:left w:w="57" w:type="dxa"/>
              <w:right w:w="57" w:type="dxa"/>
            </w:tcMar>
          </w:tcPr>
          <w:p w14:paraId="2E10CB5B" w14:textId="77777777" w:rsidR="000916D9" w:rsidRDefault="000916D9" w:rsidP="007A22BE">
            <w:pPr>
              <w:pStyle w:val="SingleTxtG"/>
              <w:spacing w:before="60" w:after="60"/>
              <w:ind w:left="0" w:right="0"/>
              <w:jc w:val="left"/>
            </w:pPr>
            <w:r>
              <w:t xml:space="preserve">Предложение может быть легко реализовано в рамках СПС. </w:t>
            </w:r>
          </w:p>
          <w:p w14:paraId="555626D7" w14:textId="77777777" w:rsidR="000916D9" w:rsidRDefault="000916D9" w:rsidP="007A22BE">
            <w:pPr>
              <w:pStyle w:val="SingleTxtG"/>
              <w:spacing w:before="60" w:after="60"/>
              <w:ind w:left="0" w:right="0"/>
              <w:jc w:val="left"/>
            </w:pPr>
            <w:r>
              <w:t>Переходный период не требуется.</w:t>
            </w:r>
          </w:p>
        </w:tc>
      </w:tr>
      <w:tr w:rsidR="000916D9" w14:paraId="370858C9" w14:textId="77777777" w:rsidTr="007A22BE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2412272F" w14:textId="77777777" w:rsidR="000916D9" w:rsidRDefault="000916D9" w:rsidP="007A22BE">
            <w:pPr>
              <w:pStyle w:val="SingleTxtG"/>
              <w:spacing w:before="60" w:after="60"/>
              <w:ind w:left="0" w:right="3"/>
            </w:pPr>
            <w:r>
              <w:t>Последствия:</w:t>
            </w:r>
          </w:p>
        </w:tc>
        <w:tc>
          <w:tcPr>
            <w:tcW w:w="5278" w:type="dxa"/>
            <w:shd w:val="clear" w:color="auto" w:fill="auto"/>
            <w:tcMar>
              <w:left w:w="57" w:type="dxa"/>
              <w:right w:w="57" w:type="dxa"/>
            </w:tcMar>
          </w:tcPr>
          <w:p w14:paraId="67760E1D" w14:textId="77777777" w:rsidR="000916D9" w:rsidRDefault="000916D9" w:rsidP="007A22BE">
            <w:pPr>
              <w:pStyle w:val="SingleTxtG"/>
              <w:spacing w:before="60" w:after="60"/>
              <w:ind w:left="0" w:right="0"/>
              <w:jc w:val="left"/>
            </w:pPr>
            <w:r>
              <w:t>Благодаря этому предложению можно упростить применение СПС в случае наличия нескольких источников питания. Такие ситуации будут встречаться все чаще и чаще, поэтому важно скорректировать положения СПС.</w:t>
            </w:r>
          </w:p>
        </w:tc>
      </w:tr>
      <w:tr w:rsidR="000916D9" w14:paraId="5B4A41E1" w14:textId="77777777" w:rsidTr="007A22BE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5642E039" w14:textId="77777777" w:rsidR="000916D9" w:rsidRDefault="000916D9" w:rsidP="007A22BE">
            <w:pPr>
              <w:pStyle w:val="SingleTxtG"/>
              <w:spacing w:before="60" w:after="60"/>
              <w:ind w:left="0" w:right="0"/>
            </w:pPr>
            <w:r>
              <w:t>Обеспечение применения:</w:t>
            </w:r>
          </w:p>
        </w:tc>
        <w:tc>
          <w:tcPr>
            <w:tcW w:w="5278" w:type="dxa"/>
            <w:shd w:val="clear" w:color="auto" w:fill="auto"/>
            <w:tcMar>
              <w:left w:w="57" w:type="dxa"/>
              <w:right w:w="57" w:type="dxa"/>
            </w:tcMar>
          </w:tcPr>
          <w:p w14:paraId="5EA0D64D" w14:textId="5A767672" w:rsidR="000916D9" w:rsidRDefault="000916D9" w:rsidP="007A22BE">
            <w:pPr>
              <w:pStyle w:val="SingleTxtG"/>
              <w:spacing w:before="60" w:after="60"/>
              <w:ind w:left="0" w:right="0"/>
              <w:jc w:val="left"/>
            </w:pPr>
            <w:r>
              <w:t xml:space="preserve">Обновленные образцы </w:t>
            </w:r>
            <w:r>
              <w:t>№ </w:t>
            </w:r>
            <w:r>
              <w:t xml:space="preserve">1 А и </w:t>
            </w:r>
            <w:r>
              <w:t>№ </w:t>
            </w:r>
            <w:r>
              <w:t>12 могут контролироваться.</w:t>
            </w:r>
          </w:p>
        </w:tc>
      </w:tr>
    </w:tbl>
    <w:p w14:paraId="6FB7B98E" w14:textId="66142752" w:rsidR="00E12C5F" w:rsidRPr="000916D9" w:rsidRDefault="000916D9" w:rsidP="000916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916D9" w:rsidSect="000916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D98D" w14:textId="77777777" w:rsidR="00715032" w:rsidRPr="00A312BC" w:rsidRDefault="00715032" w:rsidP="00A312BC"/>
  </w:endnote>
  <w:endnote w:type="continuationSeparator" w:id="0">
    <w:p w14:paraId="6C916528" w14:textId="77777777" w:rsidR="00715032" w:rsidRPr="00A312BC" w:rsidRDefault="007150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A875" w14:textId="5C7347DB" w:rsidR="000916D9" w:rsidRPr="000916D9" w:rsidRDefault="000916D9">
    <w:pPr>
      <w:pStyle w:val="a8"/>
    </w:pPr>
    <w:r w:rsidRPr="000916D9">
      <w:rPr>
        <w:b/>
        <w:sz w:val="18"/>
      </w:rPr>
      <w:fldChar w:fldCharType="begin"/>
    </w:r>
    <w:r w:rsidRPr="000916D9">
      <w:rPr>
        <w:b/>
        <w:sz w:val="18"/>
      </w:rPr>
      <w:instrText xml:space="preserve"> PAGE  \* MERGEFORMAT </w:instrText>
    </w:r>
    <w:r w:rsidRPr="000916D9">
      <w:rPr>
        <w:b/>
        <w:sz w:val="18"/>
      </w:rPr>
      <w:fldChar w:fldCharType="separate"/>
    </w:r>
    <w:r w:rsidRPr="000916D9">
      <w:rPr>
        <w:b/>
        <w:noProof/>
        <w:sz w:val="18"/>
      </w:rPr>
      <w:t>2</w:t>
    </w:r>
    <w:r w:rsidRPr="000916D9">
      <w:rPr>
        <w:b/>
        <w:sz w:val="18"/>
      </w:rPr>
      <w:fldChar w:fldCharType="end"/>
    </w:r>
    <w:r>
      <w:rPr>
        <w:b/>
        <w:sz w:val="18"/>
      </w:rPr>
      <w:tab/>
    </w:r>
    <w:r>
      <w:t>GE.23-15201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32E1" w14:textId="6B8DFF37" w:rsidR="000916D9" w:rsidRPr="000916D9" w:rsidRDefault="000916D9" w:rsidP="000916D9">
    <w:pPr>
      <w:pStyle w:val="a8"/>
      <w:tabs>
        <w:tab w:val="clear" w:pos="9639"/>
        <w:tab w:val="right" w:pos="9638"/>
      </w:tabs>
      <w:rPr>
        <w:b/>
        <w:sz w:val="18"/>
      </w:rPr>
    </w:pPr>
    <w:r>
      <w:t>GE.23-15201</w:t>
    </w:r>
    <w:r>
      <w:tab/>
    </w:r>
    <w:r w:rsidRPr="000916D9">
      <w:rPr>
        <w:b/>
        <w:sz w:val="18"/>
      </w:rPr>
      <w:fldChar w:fldCharType="begin"/>
    </w:r>
    <w:r w:rsidRPr="000916D9">
      <w:rPr>
        <w:b/>
        <w:sz w:val="18"/>
      </w:rPr>
      <w:instrText xml:space="preserve"> PAGE  \* MERGEFORMAT </w:instrText>
    </w:r>
    <w:r w:rsidRPr="000916D9">
      <w:rPr>
        <w:b/>
        <w:sz w:val="18"/>
      </w:rPr>
      <w:fldChar w:fldCharType="separate"/>
    </w:r>
    <w:r w:rsidRPr="000916D9">
      <w:rPr>
        <w:b/>
        <w:noProof/>
        <w:sz w:val="18"/>
      </w:rPr>
      <w:t>3</w:t>
    </w:r>
    <w:r w:rsidRPr="000916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A2D1" w14:textId="5C57D9C9" w:rsidR="00042B72" w:rsidRPr="00CB307D" w:rsidRDefault="000916D9" w:rsidP="000916D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5CC441" wp14:editId="584561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23-15201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DB1A25" wp14:editId="46E1400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07D">
      <w:rPr>
        <w:lang w:val="en-US"/>
      </w:rPr>
      <w:t xml:space="preserve">   090823   180823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8726" w14:textId="77777777" w:rsidR="00715032" w:rsidRPr="001075E9" w:rsidRDefault="007150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D1CFC0" w14:textId="77777777" w:rsidR="00715032" w:rsidRDefault="007150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B01E" w14:textId="14C06C43" w:rsidR="000916D9" w:rsidRPr="000916D9" w:rsidRDefault="000916D9">
    <w:pPr>
      <w:pStyle w:val="a5"/>
    </w:pPr>
    <w:fldSimple w:instr=" TITLE  \* MERGEFORMAT ">
      <w:r w:rsidR="002963A4">
        <w:t>ECE/TRANS/WP.11/2023/12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BC9B" w14:textId="40E61D41" w:rsidR="000916D9" w:rsidRPr="000916D9" w:rsidRDefault="000916D9" w:rsidP="000916D9">
    <w:pPr>
      <w:pStyle w:val="a5"/>
      <w:jc w:val="right"/>
    </w:pPr>
    <w:fldSimple w:instr=" TITLE  \* MERGEFORMAT ">
      <w:r w:rsidR="002963A4">
        <w:t>ECE/TRANS/WP.11/2023/12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48754669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32"/>
    <w:rsid w:val="00012E1D"/>
    <w:rsid w:val="00033EE1"/>
    <w:rsid w:val="00042B72"/>
    <w:rsid w:val="000558BD"/>
    <w:rsid w:val="000916D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1E0"/>
    <w:rsid w:val="001B3EF6"/>
    <w:rsid w:val="001C7A89"/>
    <w:rsid w:val="00255343"/>
    <w:rsid w:val="0027151D"/>
    <w:rsid w:val="002963A4"/>
    <w:rsid w:val="002A2EFC"/>
    <w:rsid w:val="002B0106"/>
    <w:rsid w:val="002B74B1"/>
    <w:rsid w:val="002C0E18"/>
    <w:rsid w:val="002D4FD1"/>
    <w:rsid w:val="002D509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49D9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5032"/>
    <w:rsid w:val="00734ACB"/>
    <w:rsid w:val="00757357"/>
    <w:rsid w:val="00792497"/>
    <w:rsid w:val="007A22B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307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DF851"/>
  <w15:docId w15:val="{885993BA-1215-4AC7-A1E1-F0FB277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916D9"/>
    <w:rPr>
      <w:lang w:val="ru-RU" w:eastAsia="en-US"/>
    </w:rPr>
  </w:style>
  <w:style w:type="character" w:customStyle="1" w:styleId="HChGChar">
    <w:name w:val="_ H _Ch_G Char"/>
    <w:link w:val="HChG"/>
    <w:rsid w:val="000916D9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0916D9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825</Words>
  <Characters>6085</Characters>
  <Application>Microsoft Office Word</Application>
  <DocSecurity>0</DocSecurity>
  <Lines>190</Lines>
  <Paragraphs>121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ECE/TRANS/WP.11/2023/12</vt:lpstr>
      <vt:lpstr>A/</vt:lpstr>
      <vt:lpstr>A/</vt:lpstr>
    </vt:vector>
  </TitlesOfParts>
  <Company>DCM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ECE/TRANS/WP.11/2023/12</dc:title>
  <dc:subject/>
  <dc:creator>Larisa MAYKOVSKAYA</dc:creator>
  <cp:keywords/>
  <cp:lastModifiedBy>Larisa MAYKOVSKAYA</cp:lastModifiedBy>
  <cp:revision>3</cp:revision>
  <cp:lastPrinted>2023-08-18T07:42:00Z</cp:lastPrinted>
  <dcterms:created xsi:type="dcterms:W3CDTF">2023-08-18T07:42:00Z</dcterms:created>
  <dcterms:modified xsi:type="dcterms:W3CDTF">2023-08-18T07:43:00Z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