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006A40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C146B78" w14:textId="77777777" w:rsidR="00F35BAF" w:rsidRPr="00DB58B5" w:rsidRDefault="00F35BAF" w:rsidP="00E753A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66BB93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DADCFB8" w14:textId="7F221026" w:rsidR="00F35BAF" w:rsidRPr="00DB58B5" w:rsidRDefault="00E753AD" w:rsidP="00E753AD">
            <w:pPr>
              <w:jc w:val="right"/>
            </w:pPr>
            <w:r w:rsidRPr="00E753AD">
              <w:rPr>
                <w:sz w:val="40"/>
              </w:rPr>
              <w:t>ECE</w:t>
            </w:r>
            <w:r>
              <w:t>/TRANS/WP.11/2023/11</w:t>
            </w:r>
          </w:p>
        </w:tc>
      </w:tr>
      <w:tr w:rsidR="00F35BAF" w:rsidRPr="00DB58B5" w14:paraId="07D8C16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9CF86B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BF8D59D" wp14:editId="2427C42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711DF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5757541" w14:textId="77777777" w:rsidR="00F35BAF" w:rsidRDefault="00E753AD" w:rsidP="00C97039">
            <w:pPr>
              <w:spacing w:before="240"/>
            </w:pPr>
            <w:r>
              <w:t>Distr. générale</w:t>
            </w:r>
          </w:p>
          <w:p w14:paraId="0A4B2656" w14:textId="77777777" w:rsidR="00E753AD" w:rsidRDefault="00E753AD" w:rsidP="00E753AD">
            <w:pPr>
              <w:spacing w:line="240" w:lineRule="exact"/>
            </w:pPr>
            <w:r>
              <w:t>4 août 2023</w:t>
            </w:r>
          </w:p>
          <w:p w14:paraId="5CCB8042" w14:textId="77777777" w:rsidR="00E753AD" w:rsidRDefault="00E753AD" w:rsidP="00E753AD">
            <w:pPr>
              <w:spacing w:line="240" w:lineRule="exact"/>
            </w:pPr>
            <w:r>
              <w:t>Français</w:t>
            </w:r>
          </w:p>
          <w:p w14:paraId="13964B70" w14:textId="6F818188" w:rsidR="00E753AD" w:rsidRPr="00DB58B5" w:rsidRDefault="00E753AD" w:rsidP="00E753AD">
            <w:pPr>
              <w:spacing w:line="240" w:lineRule="exact"/>
            </w:pPr>
            <w:r>
              <w:t>Original : anglais</w:t>
            </w:r>
          </w:p>
        </w:tc>
      </w:tr>
    </w:tbl>
    <w:p w14:paraId="217FA13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857D7C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70741D1" w14:textId="77777777" w:rsidR="00E753AD" w:rsidRPr="00CB487F" w:rsidRDefault="00E753AD" w:rsidP="00E753AD">
      <w:pPr>
        <w:spacing w:before="120"/>
        <w:rPr>
          <w:b/>
          <w:sz w:val="32"/>
          <w:szCs w:val="32"/>
          <w:lang w:val="fr-FR"/>
        </w:rPr>
      </w:pPr>
      <w:r w:rsidRPr="00CB487F">
        <w:rPr>
          <w:b/>
          <w:bCs/>
          <w:sz w:val="24"/>
          <w:szCs w:val="24"/>
          <w:lang w:val="fr-FR"/>
        </w:rPr>
        <w:t>Groupe de travail du transport des denrées périssables</w:t>
      </w:r>
    </w:p>
    <w:p w14:paraId="1C74E64A" w14:textId="77777777" w:rsidR="00E753AD" w:rsidRPr="00CB487F" w:rsidRDefault="00E753AD" w:rsidP="00E753AD">
      <w:pPr>
        <w:spacing w:before="120"/>
        <w:rPr>
          <w:b/>
          <w:lang w:val="fr-FR"/>
        </w:rPr>
      </w:pPr>
      <w:r w:rsidRPr="00CB487F">
        <w:rPr>
          <w:b/>
          <w:bCs/>
          <w:lang w:val="fr-FR"/>
        </w:rPr>
        <w:t>Quatre-vingtième session</w:t>
      </w:r>
    </w:p>
    <w:p w14:paraId="4BB365EC" w14:textId="77777777" w:rsidR="00E753AD" w:rsidRPr="00CB487F" w:rsidRDefault="00E753AD" w:rsidP="00E753AD">
      <w:pPr>
        <w:rPr>
          <w:lang w:val="fr-FR"/>
        </w:rPr>
      </w:pPr>
      <w:r w:rsidRPr="00CB487F">
        <w:rPr>
          <w:lang w:val="fr-FR"/>
        </w:rPr>
        <w:t>Genève, 24-27 octobre 2023</w:t>
      </w:r>
    </w:p>
    <w:p w14:paraId="3C59DBB0" w14:textId="77777777" w:rsidR="00E753AD" w:rsidRPr="00CB487F" w:rsidRDefault="00E753AD" w:rsidP="00E753AD">
      <w:pPr>
        <w:rPr>
          <w:lang w:val="fr-FR"/>
        </w:rPr>
      </w:pPr>
      <w:r w:rsidRPr="00CB487F">
        <w:rPr>
          <w:lang w:val="fr-FR"/>
        </w:rPr>
        <w:t>Point 5 b) de l</w:t>
      </w:r>
      <w:r>
        <w:rPr>
          <w:lang w:val="fr-FR"/>
        </w:rPr>
        <w:t>’</w:t>
      </w:r>
      <w:r w:rsidRPr="00CB487F">
        <w:rPr>
          <w:lang w:val="fr-FR"/>
        </w:rPr>
        <w:t>ordre du jour provisoire</w:t>
      </w:r>
    </w:p>
    <w:p w14:paraId="5E4DB751" w14:textId="3C63945F" w:rsidR="00E753AD" w:rsidRDefault="00E753AD" w:rsidP="00E753AD">
      <w:pPr>
        <w:rPr>
          <w:b/>
          <w:bCs/>
          <w:lang w:val="fr-FR"/>
        </w:rPr>
      </w:pPr>
      <w:r w:rsidRPr="00CB487F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CB487F">
        <w:rPr>
          <w:b/>
          <w:bCs/>
          <w:lang w:val="fr-FR"/>
        </w:rPr>
        <w:t>amendements à l</w:t>
      </w:r>
      <w:r>
        <w:rPr>
          <w:b/>
          <w:bCs/>
          <w:lang w:val="fr-FR"/>
        </w:rPr>
        <w:t>’</w:t>
      </w:r>
      <w:r w:rsidRPr="00CB487F">
        <w:rPr>
          <w:b/>
          <w:bCs/>
          <w:lang w:val="fr-FR"/>
        </w:rPr>
        <w:t>ATP</w:t>
      </w:r>
      <w:r w:rsidR="00BB2A53">
        <w:rPr>
          <w:b/>
          <w:bCs/>
          <w:lang w:val="fr-FR"/>
        </w:rPr>
        <w:t> </w:t>
      </w:r>
      <w:r w:rsidRPr="00CB487F">
        <w:rPr>
          <w:b/>
          <w:bCs/>
          <w:lang w:val="fr-FR"/>
        </w:rPr>
        <w:t xml:space="preserve">: </w:t>
      </w:r>
    </w:p>
    <w:p w14:paraId="667E8A19" w14:textId="77777777" w:rsidR="00E753AD" w:rsidRPr="00CB487F" w:rsidRDefault="00E753AD" w:rsidP="00E753AD">
      <w:pPr>
        <w:rPr>
          <w:b/>
          <w:bCs/>
          <w:lang w:val="fr-FR"/>
        </w:rPr>
      </w:pPr>
      <w:r>
        <w:rPr>
          <w:b/>
          <w:bCs/>
          <w:lang w:val="fr-FR"/>
        </w:rPr>
        <w:t>N</w:t>
      </w:r>
      <w:r w:rsidRPr="00CB487F">
        <w:rPr>
          <w:b/>
          <w:bCs/>
          <w:lang w:val="fr-FR"/>
        </w:rPr>
        <w:t>ouvelles propositions</w:t>
      </w:r>
    </w:p>
    <w:p w14:paraId="1F84BB99" w14:textId="77777777" w:rsidR="00E753AD" w:rsidRPr="00CB487F" w:rsidRDefault="00E753AD" w:rsidP="00BB2A53">
      <w:pPr>
        <w:pStyle w:val="HChG"/>
        <w:rPr>
          <w:lang w:val="fr-FR"/>
        </w:rPr>
      </w:pPr>
      <w:r w:rsidRPr="00CB487F">
        <w:rPr>
          <w:lang w:val="fr-FR"/>
        </w:rPr>
        <w:tab/>
      </w:r>
      <w:r w:rsidRPr="00CB487F">
        <w:rPr>
          <w:lang w:val="fr-FR"/>
        </w:rPr>
        <w:tab/>
        <w:t>Proposition d</w:t>
      </w:r>
      <w:r>
        <w:rPr>
          <w:lang w:val="fr-FR"/>
        </w:rPr>
        <w:t>’</w:t>
      </w:r>
      <w:r w:rsidRPr="00CB487F">
        <w:rPr>
          <w:lang w:val="fr-FR"/>
        </w:rPr>
        <w:t>amendement au paragraphe 6.2.2</w:t>
      </w:r>
    </w:p>
    <w:p w14:paraId="421DA03E" w14:textId="77777777" w:rsidR="00E753AD" w:rsidRPr="00CB487F" w:rsidRDefault="00E753AD" w:rsidP="00BB2A53">
      <w:pPr>
        <w:pStyle w:val="H1G"/>
        <w:rPr>
          <w:lang w:val="fr-FR"/>
        </w:rPr>
      </w:pPr>
      <w:r w:rsidRPr="00CB487F">
        <w:rPr>
          <w:lang w:val="fr-FR"/>
        </w:rPr>
        <w:tab/>
      </w:r>
      <w:r w:rsidRPr="00CB487F">
        <w:rPr>
          <w:lang w:val="fr-FR"/>
        </w:rPr>
        <w:tab/>
        <w:t>Communication du Gouvernement italien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E753AD" w:rsidRPr="00CB487F" w14:paraId="64001408" w14:textId="77777777" w:rsidTr="005D3A28">
        <w:trPr>
          <w:jc w:val="center"/>
        </w:trPr>
        <w:tc>
          <w:tcPr>
            <w:tcW w:w="9629" w:type="dxa"/>
            <w:shd w:val="clear" w:color="auto" w:fill="auto"/>
          </w:tcPr>
          <w:p w14:paraId="05994531" w14:textId="77777777" w:rsidR="00E753AD" w:rsidRPr="00CB487F" w:rsidRDefault="00E753AD" w:rsidP="005D3A28">
            <w:pPr>
              <w:spacing w:before="240" w:after="120"/>
              <w:ind w:left="255"/>
              <w:rPr>
                <w:i/>
                <w:sz w:val="24"/>
                <w:lang w:val="fr-FR"/>
              </w:rPr>
            </w:pPr>
            <w:r w:rsidRPr="00BB2A53">
              <w:rPr>
                <w:i/>
                <w:iCs/>
                <w:sz w:val="24"/>
                <w:szCs w:val="24"/>
                <w:lang w:val="fr-FR"/>
              </w:rPr>
              <w:t>Résumé</w:t>
            </w:r>
          </w:p>
        </w:tc>
      </w:tr>
      <w:tr w:rsidR="00E753AD" w:rsidRPr="00CB487F" w14:paraId="4B124AF2" w14:textId="77777777" w:rsidTr="005D3A28">
        <w:trPr>
          <w:jc w:val="center"/>
        </w:trPr>
        <w:tc>
          <w:tcPr>
            <w:tcW w:w="9629" w:type="dxa"/>
            <w:shd w:val="clear" w:color="auto" w:fill="auto"/>
          </w:tcPr>
          <w:p w14:paraId="720D6FB0" w14:textId="77777777" w:rsidR="00E753AD" w:rsidRPr="00CB487F" w:rsidRDefault="00E753AD" w:rsidP="005D3A28">
            <w:pPr>
              <w:pStyle w:val="SingleTxtG"/>
              <w:ind w:left="3402" w:hanging="2268"/>
              <w:rPr>
                <w:bCs/>
                <w:lang w:val="fr-FR"/>
              </w:rPr>
            </w:pPr>
            <w:r w:rsidRPr="000052DF">
              <w:rPr>
                <w:b/>
                <w:bCs/>
                <w:lang w:val="fr-FR"/>
              </w:rPr>
              <w:t>Résumé analytique :</w:t>
            </w:r>
            <w:r w:rsidRPr="00CB487F">
              <w:rPr>
                <w:lang w:val="fr-FR"/>
              </w:rPr>
              <w:tab/>
              <w:t>La présente proposition vise à clarifier certains aspects de l</w:t>
            </w:r>
            <w:r>
              <w:rPr>
                <w:lang w:val="fr-FR"/>
              </w:rPr>
              <w:t>’</w:t>
            </w:r>
            <w:r w:rsidRPr="00CB487F">
              <w:rPr>
                <w:lang w:val="fr-FR"/>
              </w:rPr>
              <w:t>application de l</w:t>
            </w:r>
            <w:r>
              <w:rPr>
                <w:lang w:val="fr-FR"/>
              </w:rPr>
              <w:t>’</w:t>
            </w:r>
            <w:r w:rsidRPr="00CB487F">
              <w:rPr>
                <w:lang w:val="fr-FR"/>
              </w:rPr>
              <w:t>essai de descente en température décrit au paragraphe 6.2.2.</w:t>
            </w:r>
          </w:p>
          <w:p w14:paraId="0882ABA7" w14:textId="1E3A7A89" w:rsidR="00E753AD" w:rsidRPr="00CB487F" w:rsidRDefault="00E753AD" w:rsidP="005D3A28">
            <w:pPr>
              <w:pStyle w:val="SingleTxtG"/>
              <w:ind w:left="3402" w:hanging="2268"/>
              <w:rPr>
                <w:bCs/>
                <w:lang w:val="fr-FR"/>
              </w:rPr>
            </w:pPr>
            <w:r w:rsidRPr="00CB487F">
              <w:rPr>
                <w:b/>
                <w:bCs/>
                <w:lang w:val="fr-FR"/>
              </w:rPr>
              <w:t>Mesure à prendre</w:t>
            </w:r>
            <w:r w:rsidR="00BB2A53">
              <w:rPr>
                <w:b/>
                <w:bCs/>
                <w:lang w:val="fr-FR"/>
              </w:rPr>
              <w:t> :</w:t>
            </w:r>
            <w:r w:rsidRPr="00CB487F">
              <w:rPr>
                <w:lang w:val="fr-FR"/>
              </w:rPr>
              <w:tab/>
              <w:t>Paragraphe 6.2.2 de l</w:t>
            </w:r>
            <w:r>
              <w:rPr>
                <w:lang w:val="fr-FR"/>
              </w:rPr>
              <w:t>’</w:t>
            </w:r>
            <w:r w:rsidRPr="00CB487F">
              <w:rPr>
                <w:lang w:val="fr-FR"/>
              </w:rPr>
              <w:t>appendice 2 de l</w:t>
            </w:r>
            <w:r>
              <w:rPr>
                <w:lang w:val="fr-FR"/>
              </w:rPr>
              <w:t>’</w:t>
            </w:r>
            <w:r w:rsidRPr="00CB487F">
              <w:rPr>
                <w:lang w:val="fr-FR"/>
              </w:rPr>
              <w:t>annexe 1</w:t>
            </w:r>
          </w:p>
          <w:p w14:paraId="17FFCAC3" w14:textId="578F65E3" w:rsidR="00E753AD" w:rsidRPr="000052DF" w:rsidRDefault="00E753AD" w:rsidP="005D3A28">
            <w:pPr>
              <w:pStyle w:val="SingleTxtG"/>
              <w:ind w:left="3402" w:hanging="2268"/>
              <w:rPr>
                <w:b/>
                <w:bCs/>
                <w:lang w:val="fr-FR"/>
              </w:rPr>
            </w:pPr>
            <w:r w:rsidRPr="000052DF">
              <w:rPr>
                <w:b/>
                <w:bCs/>
                <w:lang w:val="fr-FR"/>
              </w:rPr>
              <w:t>Documents connexes</w:t>
            </w:r>
            <w:r w:rsidR="00BB2A53">
              <w:rPr>
                <w:b/>
                <w:bCs/>
                <w:lang w:val="fr-FR"/>
              </w:rPr>
              <w:t> </w:t>
            </w:r>
            <w:r w:rsidRPr="000052DF">
              <w:rPr>
                <w:b/>
                <w:bCs/>
                <w:lang w:val="fr-FR"/>
              </w:rPr>
              <w:t>:</w:t>
            </w:r>
          </w:p>
        </w:tc>
      </w:tr>
      <w:tr w:rsidR="00E753AD" w:rsidRPr="00CB487F" w14:paraId="6C143A64" w14:textId="77777777" w:rsidTr="005D3A28">
        <w:trPr>
          <w:jc w:val="center"/>
        </w:trPr>
        <w:tc>
          <w:tcPr>
            <w:tcW w:w="9629" w:type="dxa"/>
            <w:shd w:val="clear" w:color="auto" w:fill="auto"/>
          </w:tcPr>
          <w:p w14:paraId="17D1F0EC" w14:textId="77777777" w:rsidR="00E753AD" w:rsidRPr="00CB487F" w:rsidRDefault="00E753AD" w:rsidP="005D3A28">
            <w:pPr>
              <w:rPr>
                <w:lang w:val="fr-FR"/>
              </w:rPr>
            </w:pPr>
          </w:p>
        </w:tc>
      </w:tr>
    </w:tbl>
    <w:p w14:paraId="5F10F20E" w14:textId="77777777" w:rsidR="00E753AD" w:rsidRPr="00BB2A53" w:rsidRDefault="00E753AD" w:rsidP="00BB2A53">
      <w:pPr>
        <w:pStyle w:val="HChG"/>
        <w:rPr>
          <w:lang w:val="fr-FR"/>
        </w:rPr>
      </w:pPr>
      <w:r w:rsidRPr="00CB487F">
        <w:rPr>
          <w:lang w:val="fr-FR"/>
        </w:rPr>
        <w:tab/>
      </w:r>
      <w:r w:rsidRPr="00CB487F">
        <w:rPr>
          <w:lang w:val="fr-FR"/>
        </w:rPr>
        <w:tab/>
      </w:r>
      <w:r w:rsidRPr="00BB2A53">
        <w:t>Introduction</w:t>
      </w:r>
    </w:p>
    <w:p w14:paraId="2822FA4C" w14:textId="521682A9" w:rsidR="00E753AD" w:rsidRPr="00CB487F" w:rsidRDefault="00E753AD" w:rsidP="00BB2A53">
      <w:pPr>
        <w:pStyle w:val="SingleTxtG"/>
        <w:rPr>
          <w:lang w:val="fr-FR"/>
        </w:rPr>
      </w:pPr>
      <w:r w:rsidRPr="00CB487F">
        <w:rPr>
          <w:lang w:val="fr-FR"/>
        </w:rPr>
        <w:t>1.</w:t>
      </w:r>
      <w:r w:rsidRPr="00CB487F">
        <w:rPr>
          <w:lang w:val="fr-FR"/>
        </w:rPr>
        <w:tab/>
        <w:t>Au paragraphe 6.2.2 de l</w:t>
      </w:r>
      <w:r>
        <w:rPr>
          <w:lang w:val="fr-FR"/>
        </w:rPr>
        <w:t>’</w:t>
      </w:r>
      <w:r w:rsidRPr="00CB487F">
        <w:rPr>
          <w:lang w:val="fr-FR"/>
        </w:rPr>
        <w:t>appendice 2 de l</w:t>
      </w:r>
      <w:r>
        <w:rPr>
          <w:lang w:val="fr-FR"/>
        </w:rPr>
        <w:t>’</w:t>
      </w:r>
      <w:r w:rsidRPr="00CB487F">
        <w:rPr>
          <w:lang w:val="fr-FR"/>
        </w:rPr>
        <w:t>annexe 1 de l</w:t>
      </w:r>
      <w:r>
        <w:rPr>
          <w:lang w:val="fr-FR"/>
        </w:rPr>
        <w:t>’</w:t>
      </w:r>
      <w:r w:rsidRPr="00CB487F">
        <w:rPr>
          <w:lang w:val="fr-FR"/>
        </w:rPr>
        <w:t>Accord relatif aux transports internationaux de denrées périssables et aux engins spéciaux à utiliser pour ces transports (ATP), il est précisé qu</w:t>
      </w:r>
      <w:r>
        <w:rPr>
          <w:lang w:val="fr-FR"/>
        </w:rPr>
        <w:t>’</w:t>
      </w:r>
      <w:r w:rsidRPr="00CB487F">
        <w:rPr>
          <w:lang w:val="fr-FR"/>
        </w:rPr>
        <w:t>à partir de janvier 2024, outre l</w:t>
      </w:r>
      <w:r>
        <w:rPr>
          <w:lang w:val="fr-FR"/>
        </w:rPr>
        <w:t>’</w:t>
      </w:r>
      <w:r w:rsidRPr="00CB487F">
        <w:rPr>
          <w:lang w:val="fr-FR"/>
        </w:rPr>
        <w:t>essai de descente en température (tel</w:t>
      </w:r>
      <w:r w:rsidR="00BB2A53">
        <w:rPr>
          <w:lang w:val="fr-FR"/>
        </w:rPr>
        <w:t> </w:t>
      </w:r>
      <w:r w:rsidRPr="00CB487F">
        <w:rPr>
          <w:lang w:val="fr-FR"/>
        </w:rPr>
        <w:t xml:space="preserve">que décrit au paragraphe 6.2), il faudra prouver que les </w:t>
      </w:r>
      <w:r>
        <w:rPr>
          <w:lang w:val="fr-FR"/>
        </w:rPr>
        <w:t>engins</w:t>
      </w:r>
      <w:r w:rsidRPr="00CB487F">
        <w:rPr>
          <w:lang w:val="fr-FR"/>
        </w:rPr>
        <w:t xml:space="preserve"> réfrigérants non autonomes immatriculés après le 6</w:t>
      </w:r>
      <w:r w:rsidR="00BB2A53">
        <w:rPr>
          <w:lang w:val="fr-FR"/>
        </w:rPr>
        <w:t> </w:t>
      </w:r>
      <w:r w:rsidRPr="00CB487F">
        <w:rPr>
          <w:lang w:val="fr-FR"/>
        </w:rPr>
        <w:t>janvier 2018 maintiennent la température de classe après stabilisation en faisant tourner leur moteur au ralenti pendant 90</w:t>
      </w:r>
      <w:r w:rsidR="00BB2A53">
        <w:rPr>
          <w:lang w:val="fr-FR"/>
        </w:rPr>
        <w:t> </w:t>
      </w:r>
      <w:r w:rsidRPr="00CB487F">
        <w:rPr>
          <w:lang w:val="fr-FR"/>
        </w:rPr>
        <w:t>minutes. Trois questions sont à élucider</w:t>
      </w:r>
      <w:r>
        <w:rPr>
          <w:lang w:val="fr-FR"/>
        </w:rPr>
        <w:t> </w:t>
      </w:r>
      <w:r w:rsidRPr="00CB487F">
        <w:rPr>
          <w:lang w:val="fr-FR"/>
        </w:rPr>
        <w:t>:</w:t>
      </w:r>
    </w:p>
    <w:p w14:paraId="60E90F12" w14:textId="77777777" w:rsidR="00E753AD" w:rsidRPr="00CB487F" w:rsidRDefault="00E753AD" w:rsidP="00E753AD">
      <w:pPr>
        <w:pStyle w:val="Bullet1G"/>
        <w:numPr>
          <w:ilvl w:val="0"/>
          <w:numId w:val="1"/>
        </w:numPr>
        <w:rPr>
          <w:lang w:val="fr-FR"/>
        </w:rPr>
      </w:pPr>
      <w:r w:rsidRPr="00CB487F">
        <w:rPr>
          <w:lang w:val="fr-FR"/>
        </w:rPr>
        <w:t>Qu</w:t>
      </w:r>
      <w:r>
        <w:rPr>
          <w:lang w:val="fr-FR"/>
        </w:rPr>
        <w:t>’</w:t>
      </w:r>
      <w:r w:rsidRPr="00CB487F">
        <w:rPr>
          <w:lang w:val="fr-FR"/>
        </w:rPr>
        <w:t xml:space="preserve">entend-on par </w:t>
      </w:r>
      <w:r>
        <w:rPr>
          <w:lang w:val="fr-FR"/>
        </w:rPr>
        <w:t>« </w:t>
      </w:r>
      <w:r w:rsidRPr="00CB487F">
        <w:rPr>
          <w:lang w:val="fr-FR"/>
        </w:rPr>
        <w:t>maintenir la température de classe</w:t>
      </w:r>
      <w:r>
        <w:rPr>
          <w:lang w:val="fr-FR"/>
        </w:rPr>
        <w:t> »</w:t>
      </w:r>
      <w:r w:rsidRPr="00CB487F">
        <w:rPr>
          <w:lang w:val="fr-FR"/>
        </w:rPr>
        <w:t> ?</w:t>
      </w:r>
    </w:p>
    <w:p w14:paraId="67F42118" w14:textId="77777777" w:rsidR="00E753AD" w:rsidRPr="00CB487F" w:rsidRDefault="00E753AD" w:rsidP="00E753AD">
      <w:pPr>
        <w:pStyle w:val="Bullet1G"/>
        <w:numPr>
          <w:ilvl w:val="0"/>
          <w:numId w:val="1"/>
        </w:numPr>
        <w:rPr>
          <w:lang w:val="fr-FR"/>
        </w:rPr>
      </w:pPr>
      <w:r w:rsidRPr="00CB487F">
        <w:rPr>
          <w:lang w:val="fr-FR"/>
        </w:rPr>
        <w:t>Durant combien de temps l</w:t>
      </w:r>
      <w:r>
        <w:rPr>
          <w:lang w:val="fr-FR"/>
        </w:rPr>
        <w:t>’</w:t>
      </w:r>
      <w:r w:rsidRPr="00CB487F">
        <w:rPr>
          <w:lang w:val="fr-FR"/>
        </w:rPr>
        <w:t xml:space="preserve">engin </w:t>
      </w:r>
      <w:r>
        <w:rPr>
          <w:lang w:val="fr-FR"/>
        </w:rPr>
        <w:t>réfrigérant</w:t>
      </w:r>
      <w:r w:rsidRPr="00CB487F">
        <w:rPr>
          <w:lang w:val="fr-FR"/>
        </w:rPr>
        <w:t xml:space="preserve"> non autonome doit-il fonctionner pour que sa température intérieure se stabilise et que les panneaux qui composent la caisse isotherme puissent transférer une partie de leur chaleur résiduelle</w:t>
      </w:r>
      <w:r>
        <w:rPr>
          <w:lang w:val="fr-FR"/>
        </w:rPr>
        <w:t> </w:t>
      </w:r>
      <w:r w:rsidRPr="00CB487F">
        <w:rPr>
          <w:lang w:val="fr-FR"/>
        </w:rPr>
        <w:t>?</w:t>
      </w:r>
    </w:p>
    <w:p w14:paraId="1BA683B7" w14:textId="5ACB46B0" w:rsidR="00E753AD" w:rsidRPr="00CB487F" w:rsidRDefault="00E753AD" w:rsidP="00E753AD">
      <w:pPr>
        <w:pStyle w:val="Bullet1G"/>
        <w:numPr>
          <w:ilvl w:val="0"/>
          <w:numId w:val="1"/>
        </w:numPr>
        <w:rPr>
          <w:lang w:val="fr-FR"/>
        </w:rPr>
      </w:pPr>
      <w:r w:rsidRPr="00CB487F">
        <w:rPr>
          <w:lang w:val="fr-FR"/>
        </w:rPr>
        <w:t>Est-il normal de ne pas tenir compte de la température ambiante lors de la définition de la durée de 90</w:t>
      </w:r>
      <w:r w:rsidR="00BB6913">
        <w:rPr>
          <w:lang w:val="fr-FR"/>
        </w:rPr>
        <w:t> </w:t>
      </w:r>
      <w:r w:rsidRPr="00CB487F">
        <w:rPr>
          <w:lang w:val="fr-FR"/>
        </w:rPr>
        <w:t>minutes</w:t>
      </w:r>
      <w:r>
        <w:rPr>
          <w:lang w:val="fr-FR"/>
        </w:rPr>
        <w:t>,</w:t>
      </w:r>
      <w:r w:rsidRPr="00CB487F">
        <w:rPr>
          <w:lang w:val="fr-FR"/>
        </w:rPr>
        <w:t xml:space="preserve"> sans faire de distinction entre le cas le plus favorable </w:t>
      </w:r>
      <w:r>
        <w:rPr>
          <w:lang w:val="fr-FR"/>
        </w:rPr>
        <w:t>(</w:t>
      </w:r>
      <w:r w:rsidRPr="00CB487F">
        <w:rPr>
          <w:lang w:val="fr-FR"/>
        </w:rPr>
        <w:t>Δt</w:t>
      </w:r>
      <w:r w:rsidR="00BB6913">
        <w:rPr>
          <w:lang w:val="fr-FR"/>
        </w:rPr>
        <w:t> </w:t>
      </w:r>
      <w:r w:rsidRPr="00CB487F">
        <w:rPr>
          <w:lang w:val="fr-FR"/>
        </w:rPr>
        <w:t>15</w:t>
      </w:r>
      <w:r>
        <w:rPr>
          <w:lang w:val="fr-FR"/>
        </w:rPr>
        <w:t> </w:t>
      </w:r>
      <w:r w:rsidRPr="00CB487F">
        <w:rPr>
          <w:lang w:val="fr-FR"/>
        </w:rPr>
        <w:t>°C</w:t>
      </w:r>
      <w:r>
        <w:rPr>
          <w:lang w:val="fr-FR"/>
        </w:rPr>
        <w:t>)</w:t>
      </w:r>
      <w:r w:rsidRPr="00CB487F">
        <w:rPr>
          <w:lang w:val="fr-FR"/>
        </w:rPr>
        <w:t xml:space="preserve"> et le cas le moins favorable </w:t>
      </w:r>
      <w:r>
        <w:rPr>
          <w:lang w:val="fr-FR"/>
        </w:rPr>
        <w:t>(</w:t>
      </w:r>
      <w:r w:rsidRPr="00CB487F">
        <w:rPr>
          <w:lang w:val="fr-FR"/>
        </w:rPr>
        <w:t>Δt 50 °C</w:t>
      </w:r>
      <w:r>
        <w:rPr>
          <w:lang w:val="fr-FR"/>
        </w:rPr>
        <w:t>)</w:t>
      </w:r>
      <w:r w:rsidRPr="00CB487F">
        <w:rPr>
          <w:lang w:val="fr-FR"/>
        </w:rPr>
        <w:t> ?</w:t>
      </w:r>
    </w:p>
    <w:p w14:paraId="5E17CFD5" w14:textId="5D7D5342" w:rsidR="00E753AD" w:rsidRPr="00CB487F" w:rsidRDefault="00E753AD" w:rsidP="00BB6913">
      <w:pPr>
        <w:pStyle w:val="SingleTxtG"/>
        <w:keepNext/>
        <w:keepLines/>
        <w:rPr>
          <w:lang w:val="fr-FR"/>
        </w:rPr>
      </w:pPr>
      <w:r w:rsidRPr="00CB487F">
        <w:rPr>
          <w:lang w:val="fr-FR"/>
        </w:rPr>
        <w:lastRenderedPageBreak/>
        <w:t>2.</w:t>
      </w:r>
      <w:r w:rsidRPr="00CB487F">
        <w:rPr>
          <w:lang w:val="fr-FR"/>
        </w:rPr>
        <w:tab/>
        <w:t>Le texte sous sa forme actuelle peut être interprété au sens strict</w:t>
      </w:r>
      <w:r w:rsidR="00BB6913">
        <w:rPr>
          <w:lang w:val="fr-FR"/>
        </w:rPr>
        <w:t> </w:t>
      </w:r>
      <w:r w:rsidRPr="00CB487F">
        <w:rPr>
          <w:lang w:val="fr-FR"/>
        </w:rPr>
        <w:t>: la température intérieure mesurée par la sonde la plus chaude ne doit pas s</w:t>
      </w:r>
      <w:r>
        <w:rPr>
          <w:lang w:val="fr-FR"/>
        </w:rPr>
        <w:t>’</w:t>
      </w:r>
      <w:r w:rsidRPr="00CB487F">
        <w:rPr>
          <w:lang w:val="fr-FR"/>
        </w:rPr>
        <w:t>écarter de plus de ± 0,5</w:t>
      </w:r>
      <w:r w:rsidR="00BB6913">
        <w:rPr>
          <w:lang w:val="fr-FR"/>
        </w:rPr>
        <w:t> </w:t>
      </w:r>
      <w:r w:rsidRPr="00CB487F">
        <w:rPr>
          <w:lang w:val="fr-FR"/>
        </w:rPr>
        <w:t>°C de la température de classe. Dans ces conditions, il est presque impossible que les résultats de l</w:t>
      </w:r>
      <w:r>
        <w:rPr>
          <w:lang w:val="fr-FR"/>
        </w:rPr>
        <w:t>’</w:t>
      </w:r>
      <w:r w:rsidRPr="00CB487F">
        <w:rPr>
          <w:lang w:val="fr-FR"/>
        </w:rPr>
        <w:t>essai demandé soient positifs (excepté pour les véhicules équipés d</w:t>
      </w:r>
      <w:r>
        <w:rPr>
          <w:lang w:val="fr-FR"/>
        </w:rPr>
        <w:t>’</w:t>
      </w:r>
      <w:r w:rsidRPr="00CB487F">
        <w:rPr>
          <w:lang w:val="fr-FR"/>
        </w:rPr>
        <w:t>un alternateur au lieu d</w:t>
      </w:r>
      <w:r>
        <w:rPr>
          <w:lang w:val="fr-FR"/>
        </w:rPr>
        <w:t>’</w:t>
      </w:r>
      <w:r w:rsidRPr="00CB487F">
        <w:rPr>
          <w:lang w:val="fr-FR"/>
        </w:rPr>
        <w:t>un compresseur à entraînement direct). Il serait souhaitable de définir une tolérance de ±</w:t>
      </w:r>
      <w:r w:rsidR="00BB6913">
        <w:rPr>
          <w:lang w:val="fr-FR"/>
        </w:rPr>
        <w:t> </w:t>
      </w:r>
      <w:r w:rsidRPr="00CB487F">
        <w:rPr>
          <w:lang w:val="fr-FR"/>
        </w:rPr>
        <w:t>3</w:t>
      </w:r>
      <w:r w:rsidR="00BB6913">
        <w:rPr>
          <w:lang w:val="fr-FR"/>
        </w:rPr>
        <w:t> </w:t>
      </w:r>
      <w:r w:rsidRPr="00CB487F">
        <w:rPr>
          <w:lang w:val="fr-FR"/>
        </w:rPr>
        <w:t>°C pour les valeurs mesurées par la sonde la plus chaude, par rapport à la température de classe.</w:t>
      </w:r>
    </w:p>
    <w:p w14:paraId="528CFBBD" w14:textId="202A1122" w:rsidR="00E753AD" w:rsidRPr="00CB487F" w:rsidRDefault="00E753AD" w:rsidP="00BB6913">
      <w:pPr>
        <w:pStyle w:val="SingleTxtG"/>
        <w:rPr>
          <w:lang w:val="fr-FR"/>
        </w:rPr>
      </w:pPr>
      <w:r w:rsidRPr="00CB487F">
        <w:rPr>
          <w:lang w:val="fr-FR"/>
        </w:rPr>
        <w:t>3.</w:t>
      </w:r>
      <w:r w:rsidRPr="00CB487F">
        <w:rPr>
          <w:lang w:val="fr-FR"/>
        </w:rPr>
        <w:tab/>
        <w:t>Un autre élément à prendre en considération est que, selon la température ambiante (qui, pour la validité de l</w:t>
      </w:r>
      <w:r>
        <w:rPr>
          <w:lang w:val="fr-FR"/>
        </w:rPr>
        <w:t>’</w:t>
      </w:r>
      <w:r w:rsidRPr="00CB487F">
        <w:rPr>
          <w:lang w:val="fr-FR"/>
        </w:rPr>
        <w:t>essai, peut être comprise entre +15 °C et +30 °C), le maintien de la température de classe peut ou non être assuré avec le même véhicule (exemple</w:t>
      </w:r>
      <w:r w:rsidR="00BB6913">
        <w:rPr>
          <w:lang w:val="fr-FR"/>
        </w:rPr>
        <w:t> </w:t>
      </w:r>
      <w:r w:rsidRPr="00CB487F">
        <w:rPr>
          <w:lang w:val="fr-FR"/>
        </w:rPr>
        <w:t xml:space="preserve">: résultat positif en hiver </w:t>
      </w:r>
      <w:r>
        <w:rPr>
          <w:lang w:val="fr-FR"/>
        </w:rPr>
        <w:t>et</w:t>
      </w:r>
      <w:r w:rsidRPr="00CB487F">
        <w:rPr>
          <w:lang w:val="fr-FR"/>
        </w:rPr>
        <w:t xml:space="preserve"> résultat négatif en été). Étant donné que les véhicules concernés par cette procédure sont ceux équipés de systèmes d</w:t>
      </w:r>
      <w:r>
        <w:rPr>
          <w:lang w:val="fr-FR"/>
        </w:rPr>
        <w:t>’</w:t>
      </w:r>
      <w:r w:rsidRPr="00CB487F">
        <w:rPr>
          <w:lang w:val="fr-FR"/>
        </w:rPr>
        <w:t>échappement avec catalyseur, le fait de laisser un moteur tourner au ralenti pendant 90</w:t>
      </w:r>
      <w:r w:rsidR="00BB6913">
        <w:rPr>
          <w:lang w:val="fr-FR"/>
        </w:rPr>
        <w:t> </w:t>
      </w:r>
      <w:r w:rsidRPr="00CB487F">
        <w:rPr>
          <w:lang w:val="fr-FR"/>
        </w:rPr>
        <w:t xml:space="preserve">minutes peut </w:t>
      </w:r>
      <w:r>
        <w:rPr>
          <w:lang w:val="fr-FR"/>
        </w:rPr>
        <w:t xml:space="preserve">présenter un </w:t>
      </w:r>
      <w:r w:rsidRPr="00CB487F">
        <w:rPr>
          <w:lang w:val="fr-FR"/>
        </w:rPr>
        <w:t>danger pour le catalyseur lui</w:t>
      </w:r>
      <w:r w:rsidR="00BB6913">
        <w:rPr>
          <w:lang w:val="fr-FR"/>
        </w:rPr>
        <w:noBreakHyphen/>
      </w:r>
      <w:r w:rsidRPr="00CB487F">
        <w:rPr>
          <w:lang w:val="fr-FR"/>
        </w:rPr>
        <w:t>même, qui peut atteindre des températures très élevées et être endommagé. Par conséquent, le Gouvernement italien propose d</w:t>
      </w:r>
      <w:r>
        <w:rPr>
          <w:lang w:val="fr-FR"/>
        </w:rPr>
        <w:t>’</w:t>
      </w:r>
      <w:r w:rsidRPr="00CB487F">
        <w:rPr>
          <w:lang w:val="fr-FR"/>
        </w:rPr>
        <w:t>inclure</w:t>
      </w:r>
      <w:r>
        <w:rPr>
          <w:lang w:val="fr-FR"/>
        </w:rPr>
        <w:t>,</w:t>
      </w:r>
      <w:r w:rsidRPr="00CB487F">
        <w:rPr>
          <w:lang w:val="fr-FR"/>
        </w:rPr>
        <w:t xml:space="preserve"> </w:t>
      </w:r>
      <w:r>
        <w:rPr>
          <w:lang w:val="fr-FR"/>
        </w:rPr>
        <w:t>au</w:t>
      </w:r>
      <w:r w:rsidRPr="00CB487F">
        <w:rPr>
          <w:lang w:val="fr-FR"/>
        </w:rPr>
        <w:t xml:space="preserve"> paragraphe</w:t>
      </w:r>
      <w:r w:rsidR="00BB6913">
        <w:rPr>
          <w:lang w:val="fr-FR"/>
        </w:rPr>
        <w:t> </w:t>
      </w:r>
      <w:r w:rsidRPr="00CB487F">
        <w:rPr>
          <w:lang w:val="fr-FR"/>
        </w:rPr>
        <w:t>6.2.2</w:t>
      </w:r>
      <w:r>
        <w:rPr>
          <w:lang w:val="fr-FR"/>
        </w:rPr>
        <w:t>,</w:t>
      </w:r>
      <w:r w:rsidRPr="00CB487F">
        <w:rPr>
          <w:lang w:val="fr-FR"/>
        </w:rPr>
        <w:t xml:space="preserve"> un tableau </w:t>
      </w:r>
      <w:r>
        <w:rPr>
          <w:lang w:val="fr-FR"/>
        </w:rPr>
        <w:t>semblable</w:t>
      </w:r>
      <w:r w:rsidRPr="00CB487F">
        <w:rPr>
          <w:lang w:val="fr-FR"/>
        </w:rPr>
        <w:t xml:space="preserve"> à celui du paragraphe</w:t>
      </w:r>
      <w:r w:rsidR="00BB6913">
        <w:rPr>
          <w:lang w:val="fr-FR"/>
        </w:rPr>
        <w:t> </w:t>
      </w:r>
      <w:r w:rsidRPr="00CB487F">
        <w:rPr>
          <w:lang w:val="fr-FR"/>
        </w:rPr>
        <w:t>6.2.1 (température ambiante et délai de descente en température), qui permet</w:t>
      </w:r>
      <w:r>
        <w:rPr>
          <w:lang w:val="fr-FR"/>
        </w:rPr>
        <w:t>tra</w:t>
      </w:r>
      <w:r w:rsidRPr="00CB487F">
        <w:rPr>
          <w:lang w:val="fr-FR"/>
        </w:rPr>
        <w:t xml:space="preserve"> d</w:t>
      </w:r>
      <w:r>
        <w:rPr>
          <w:lang w:val="fr-FR"/>
        </w:rPr>
        <w:t>’</w:t>
      </w:r>
      <w:r w:rsidRPr="00CB487F">
        <w:rPr>
          <w:lang w:val="fr-FR"/>
        </w:rPr>
        <w:t>établir un lien entre la température ambiante et le temps nécessaire pour satisfaire à l</w:t>
      </w:r>
      <w:r>
        <w:rPr>
          <w:lang w:val="fr-FR"/>
        </w:rPr>
        <w:t>’</w:t>
      </w:r>
      <w:r w:rsidRPr="00CB487F">
        <w:rPr>
          <w:lang w:val="fr-FR"/>
        </w:rPr>
        <w:t xml:space="preserve">essai de </w:t>
      </w:r>
      <w:r>
        <w:rPr>
          <w:lang w:val="fr-FR"/>
        </w:rPr>
        <w:t>« </w:t>
      </w:r>
      <w:r w:rsidRPr="00CB487F">
        <w:rPr>
          <w:lang w:val="fr-FR"/>
        </w:rPr>
        <w:t>maintien</w:t>
      </w:r>
      <w:r>
        <w:rPr>
          <w:lang w:val="fr-FR"/>
        </w:rPr>
        <w:t> »</w:t>
      </w:r>
      <w:r w:rsidRPr="00CB487F">
        <w:rPr>
          <w:lang w:val="fr-FR"/>
        </w:rPr>
        <w:t xml:space="preserve"> de la température de classe.</w:t>
      </w:r>
    </w:p>
    <w:p w14:paraId="05A267F1" w14:textId="3E5AFA04" w:rsidR="00E753AD" w:rsidRPr="00CB487F" w:rsidRDefault="00E753AD" w:rsidP="00BB6913">
      <w:pPr>
        <w:pStyle w:val="SingleTxtG"/>
        <w:rPr>
          <w:lang w:val="fr-FR"/>
        </w:rPr>
      </w:pPr>
      <w:r w:rsidRPr="00CB487F">
        <w:rPr>
          <w:lang w:val="fr-FR"/>
        </w:rPr>
        <w:t>4.</w:t>
      </w:r>
      <w:r w:rsidRPr="00CB487F">
        <w:rPr>
          <w:lang w:val="fr-FR"/>
        </w:rPr>
        <w:tab/>
        <w:t>Le tableau ci-dessous est un</w:t>
      </w:r>
      <w:r>
        <w:rPr>
          <w:lang w:val="fr-FR"/>
        </w:rPr>
        <w:t xml:space="preserve"> exemple </w:t>
      </w:r>
      <w:r w:rsidRPr="00CB487F">
        <w:rPr>
          <w:lang w:val="fr-FR"/>
        </w:rPr>
        <w:t xml:space="preserve">de </w:t>
      </w:r>
      <w:r>
        <w:rPr>
          <w:lang w:val="fr-FR"/>
        </w:rPr>
        <w:t>ce</w:t>
      </w:r>
      <w:r w:rsidRPr="00CB487F">
        <w:rPr>
          <w:lang w:val="fr-FR"/>
        </w:rPr>
        <w:t xml:space="preserve"> qui pourrait être </w:t>
      </w:r>
      <w:r>
        <w:rPr>
          <w:lang w:val="fr-FR"/>
        </w:rPr>
        <w:t>ajouté</w:t>
      </w:r>
      <w:r w:rsidRPr="00CB487F">
        <w:rPr>
          <w:lang w:val="fr-FR"/>
        </w:rPr>
        <w:t xml:space="preserve"> au paragraphe</w:t>
      </w:r>
      <w:r w:rsidR="00BB6913">
        <w:rPr>
          <w:lang w:val="fr-FR"/>
        </w:rPr>
        <w:t> </w:t>
      </w:r>
      <w:r w:rsidRPr="00CB487F">
        <w:rPr>
          <w:lang w:val="fr-FR"/>
        </w:rPr>
        <w:t>6.2.2 :</w:t>
      </w:r>
    </w:p>
    <w:tbl>
      <w:tblPr>
        <w:tblW w:w="963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  <w:gridCol w:w="553"/>
        <w:gridCol w:w="552"/>
        <w:gridCol w:w="552"/>
        <w:gridCol w:w="552"/>
        <w:gridCol w:w="552"/>
        <w:gridCol w:w="553"/>
        <w:gridCol w:w="552"/>
        <w:gridCol w:w="552"/>
        <w:gridCol w:w="552"/>
        <w:gridCol w:w="552"/>
        <w:gridCol w:w="553"/>
        <w:gridCol w:w="799"/>
      </w:tblGrid>
      <w:tr w:rsidR="00E753AD" w:rsidRPr="00BB6913" w14:paraId="57D106C2" w14:textId="77777777" w:rsidTr="00BB6913">
        <w:trPr>
          <w:trHeight w:val="283"/>
        </w:trPr>
        <w:tc>
          <w:tcPr>
            <w:tcW w:w="8835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7A39B4" w14:textId="77777777" w:rsidR="00E753AD" w:rsidRPr="00BB6913" w:rsidRDefault="00E753AD" w:rsidP="00BB6913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fr-FR"/>
              </w:rPr>
            </w:pPr>
            <w:r w:rsidRPr="00FC273B">
              <w:rPr>
                <w:i/>
                <w:iCs/>
                <w:sz w:val="18"/>
                <w:szCs w:val="18"/>
                <w:lang w:val="fr-FR"/>
              </w:rPr>
              <w:t>Température extérieure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048E39" w14:textId="77777777" w:rsidR="00E753AD" w:rsidRPr="00BB6913" w:rsidRDefault="00E753AD" w:rsidP="00BB6913">
            <w:pPr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</w:tr>
      <w:tr w:rsidR="00E753AD" w:rsidRPr="00BB6913" w14:paraId="69A55C74" w14:textId="77777777" w:rsidTr="00BB6913">
        <w:trPr>
          <w:trHeight w:val="283"/>
        </w:trPr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08FD2974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7"/>
                <w:szCs w:val="17"/>
                <w:lang w:val="fr-FR"/>
              </w:rPr>
            </w:pPr>
            <w:r w:rsidRPr="00BB6913">
              <w:rPr>
                <w:i/>
                <w:iCs/>
                <w:sz w:val="17"/>
                <w:szCs w:val="17"/>
                <w:lang w:val="fr-FR"/>
              </w:rPr>
              <w:t>+30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732C0CF9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7"/>
                <w:szCs w:val="17"/>
                <w:lang w:val="fr-FR"/>
              </w:rPr>
            </w:pPr>
            <w:r w:rsidRPr="00BB6913">
              <w:rPr>
                <w:i/>
                <w:iCs/>
                <w:sz w:val="17"/>
                <w:szCs w:val="17"/>
                <w:lang w:val="fr-FR"/>
              </w:rPr>
              <w:t>+29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7BFA9162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7"/>
                <w:szCs w:val="17"/>
                <w:lang w:val="fr-FR"/>
              </w:rPr>
            </w:pPr>
            <w:r w:rsidRPr="00BB6913">
              <w:rPr>
                <w:i/>
                <w:iCs/>
                <w:sz w:val="17"/>
                <w:szCs w:val="17"/>
                <w:lang w:val="fr-FR"/>
              </w:rPr>
              <w:t>+28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56A85037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7"/>
                <w:szCs w:val="17"/>
                <w:lang w:val="fr-FR"/>
              </w:rPr>
            </w:pPr>
            <w:r w:rsidRPr="00BB6913">
              <w:rPr>
                <w:i/>
                <w:iCs/>
                <w:sz w:val="17"/>
                <w:szCs w:val="17"/>
                <w:lang w:val="fr-FR"/>
              </w:rPr>
              <w:t>+27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121A3250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7"/>
                <w:szCs w:val="17"/>
                <w:lang w:val="fr-FR"/>
              </w:rPr>
            </w:pPr>
            <w:r w:rsidRPr="00BB6913">
              <w:rPr>
                <w:i/>
                <w:iCs/>
                <w:sz w:val="17"/>
                <w:szCs w:val="17"/>
                <w:lang w:val="fr-FR"/>
              </w:rPr>
              <w:t>+26 °C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noWrap/>
            <w:hideMark/>
          </w:tcPr>
          <w:p w14:paraId="1208E2DC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7"/>
                <w:szCs w:val="17"/>
                <w:lang w:val="fr-FR"/>
              </w:rPr>
            </w:pPr>
            <w:r w:rsidRPr="00BB6913">
              <w:rPr>
                <w:i/>
                <w:iCs/>
                <w:sz w:val="17"/>
                <w:szCs w:val="17"/>
                <w:lang w:val="fr-FR"/>
              </w:rPr>
              <w:t>+25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79F3C372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7"/>
                <w:szCs w:val="17"/>
                <w:lang w:val="fr-FR"/>
              </w:rPr>
            </w:pPr>
            <w:r w:rsidRPr="00BB6913">
              <w:rPr>
                <w:i/>
                <w:iCs/>
                <w:sz w:val="17"/>
                <w:szCs w:val="17"/>
                <w:lang w:val="fr-FR"/>
              </w:rPr>
              <w:t>+24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179DEF17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7"/>
                <w:szCs w:val="17"/>
                <w:lang w:val="fr-FR"/>
              </w:rPr>
            </w:pPr>
            <w:r w:rsidRPr="00BB6913">
              <w:rPr>
                <w:i/>
                <w:iCs/>
                <w:sz w:val="17"/>
                <w:szCs w:val="17"/>
                <w:lang w:val="fr-FR"/>
              </w:rPr>
              <w:t>+23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20EA16CE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7"/>
                <w:szCs w:val="17"/>
                <w:lang w:val="fr-FR"/>
              </w:rPr>
            </w:pPr>
            <w:r w:rsidRPr="00BB6913">
              <w:rPr>
                <w:i/>
                <w:iCs/>
                <w:sz w:val="17"/>
                <w:szCs w:val="17"/>
                <w:lang w:val="fr-FR"/>
              </w:rPr>
              <w:t>+22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4F79A152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7"/>
                <w:szCs w:val="17"/>
                <w:lang w:val="fr-FR"/>
              </w:rPr>
            </w:pPr>
            <w:r w:rsidRPr="00BB6913">
              <w:rPr>
                <w:i/>
                <w:iCs/>
                <w:sz w:val="17"/>
                <w:szCs w:val="17"/>
                <w:lang w:val="fr-FR"/>
              </w:rPr>
              <w:t>+21 °C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noWrap/>
            <w:hideMark/>
          </w:tcPr>
          <w:p w14:paraId="082EA162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7"/>
                <w:szCs w:val="17"/>
                <w:lang w:val="fr-FR"/>
              </w:rPr>
            </w:pPr>
            <w:r w:rsidRPr="00BB6913">
              <w:rPr>
                <w:i/>
                <w:iCs/>
                <w:sz w:val="17"/>
                <w:szCs w:val="17"/>
                <w:lang w:val="fr-FR"/>
              </w:rPr>
              <w:t>+20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7FF1D0DD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7"/>
                <w:szCs w:val="17"/>
                <w:lang w:val="fr-FR"/>
              </w:rPr>
            </w:pPr>
            <w:r w:rsidRPr="00BB6913">
              <w:rPr>
                <w:i/>
                <w:iCs/>
                <w:sz w:val="17"/>
                <w:szCs w:val="17"/>
                <w:lang w:val="fr-FR"/>
              </w:rPr>
              <w:t>+19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7AE6AB30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7"/>
                <w:szCs w:val="17"/>
                <w:lang w:val="fr-FR"/>
              </w:rPr>
            </w:pPr>
            <w:r w:rsidRPr="00BB6913">
              <w:rPr>
                <w:i/>
                <w:iCs/>
                <w:sz w:val="17"/>
                <w:szCs w:val="17"/>
                <w:lang w:val="fr-FR"/>
              </w:rPr>
              <w:t>+18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7E4248D8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7"/>
                <w:szCs w:val="17"/>
                <w:lang w:val="fr-FR"/>
              </w:rPr>
            </w:pPr>
            <w:r w:rsidRPr="00BB6913">
              <w:rPr>
                <w:i/>
                <w:iCs/>
                <w:sz w:val="17"/>
                <w:szCs w:val="17"/>
                <w:lang w:val="fr-FR"/>
              </w:rPr>
              <w:t>+17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4FF182C6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7"/>
                <w:szCs w:val="17"/>
                <w:lang w:val="fr-FR"/>
              </w:rPr>
            </w:pPr>
            <w:r w:rsidRPr="00BB6913">
              <w:rPr>
                <w:i/>
                <w:iCs/>
                <w:sz w:val="17"/>
                <w:szCs w:val="17"/>
                <w:lang w:val="fr-FR"/>
              </w:rPr>
              <w:t>+16 °C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noWrap/>
            <w:hideMark/>
          </w:tcPr>
          <w:p w14:paraId="7F32CCF4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7"/>
                <w:szCs w:val="17"/>
                <w:lang w:val="fr-FR"/>
              </w:rPr>
            </w:pPr>
            <w:r w:rsidRPr="00BB6913">
              <w:rPr>
                <w:i/>
                <w:iCs/>
                <w:sz w:val="17"/>
                <w:szCs w:val="17"/>
                <w:lang w:val="fr-FR"/>
              </w:rPr>
              <w:t>+15 °C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hideMark/>
          </w:tcPr>
          <w:p w14:paraId="5AEDA37A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BB6913">
              <w:rPr>
                <w:i/>
                <w:iCs/>
                <w:sz w:val="18"/>
                <w:szCs w:val="18"/>
                <w:lang w:val="fr-FR"/>
              </w:rPr>
              <w:t>Point de consigne ATP</w:t>
            </w:r>
          </w:p>
        </w:tc>
      </w:tr>
      <w:tr w:rsidR="00E753AD" w:rsidRPr="00BB6913" w14:paraId="6889E177" w14:textId="77777777" w:rsidTr="00BB6913">
        <w:trPr>
          <w:trHeight w:val="283"/>
        </w:trPr>
        <w:tc>
          <w:tcPr>
            <w:tcW w:w="552" w:type="dxa"/>
            <w:noWrap/>
            <w:hideMark/>
          </w:tcPr>
          <w:p w14:paraId="07D8C5E1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552" w:type="dxa"/>
            <w:noWrap/>
            <w:hideMark/>
          </w:tcPr>
          <w:p w14:paraId="222C0642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62</w:t>
            </w:r>
          </w:p>
        </w:tc>
        <w:tc>
          <w:tcPr>
            <w:tcW w:w="552" w:type="dxa"/>
            <w:noWrap/>
            <w:hideMark/>
          </w:tcPr>
          <w:p w14:paraId="0DF8CA53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64</w:t>
            </w:r>
          </w:p>
        </w:tc>
        <w:tc>
          <w:tcPr>
            <w:tcW w:w="552" w:type="dxa"/>
            <w:noWrap/>
            <w:hideMark/>
          </w:tcPr>
          <w:p w14:paraId="1C769C69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66</w:t>
            </w:r>
          </w:p>
        </w:tc>
        <w:tc>
          <w:tcPr>
            <w:tcW w:w="552" w:type="dxa"/>
            <w:noWrap/>
            <w:hideMark/>
          </w:tcPr>
          <w:p w14:paraId="0D5B1BD9" w14:textId="77777777" w:rsidR="00E753AD" w:rsidRPr="00BB6913" w:rsidRDefault="00E753AD" w:rsidP="00C63459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68</w:t>
            </w:r>
          </w:p>
        </w:tc>
        <w:tc>
          <w:tcPr>
            <w:tcW w:w="553" w:type="dxa"/>
            <w:noWrap/>
            <w:hideMark/>
          </w:tcPr>
          <w:p w14:paraId="7B48140B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70</w:t>
            </w:r>
          </w:p>
        </w:tc>
        <w:tc>
          <w:tcPr>
            <w:tcW w:w="552" w:type="dxa"/>
            <w:noWrap/>
            <w:hideMark/>
          </w:tcPr>
          <w:p w14:paraId="1735DD63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72</w:t>
            </w:r>
          </w:p>
        </w:tc>
        <w:tc>
          <w:tcPr>
            <w:tcW w:w="552" w:type="dxa"/>
            <w:noWrap/>
            <w:hideMark/>
          </w:tcPr>
          <w:p w14:paraId="087AEE51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74</w:t>
            </w:r>
          </w:p>
        </w:tc>
        <w:tc>
          <w:tcPr>
            <w:tcW w:w="552" w:type="dxa"/>
            <w:noWrap/>
            <w:hideMark/>
          </w:tcPr>
          <w:p w14:paraId="6F155A9C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76</w:t>
            </w:r>
          </w:p>
        </w:tc>
        <w:tc>
          <w:tcPr>
            <w:tcW w:w="552" w:type="dxa"/>
            <w:noWrap/>
            <w:hideMark/>
          </w:tcPr>
          <w:p w14:paraId="214213ED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78</w:t>
            </w:r>
          </w:p>
        </w:tc>
        <w:tc>
          <w:tcPr>
            <w:tcW w:w="553" w:type="dxa"/>
            <w:noWrap/>
            <w:hideMark/>
          </w:tcPr>
          <w:p w14:paraId="7F032B4F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80</w:t>
            </w:r>
          </w:p>
        </w:tc>
        <w:tc>
          <w:tcPr>
            <w:tcW w:w="552" w:type="dxa"/>
            <w:noWrap/>
            <w:hideMark/>
          </w:tcPr>
          <w:p w14:paraId="37A16917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82</w:t>
            </w:r>
          </w:p>
        </w:tc>
        <w:tc>
          <w:tcPr>
            <w:tcW w:w="552" w:type="dxa"/>
            <w:noWrap/>
            <w:hideMark/>
          </w:tcPr>
          <w:p w14:paraId="464966B4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84</w:t>
            </w:r>
          </w:p>
        </w:tc>
        <w:tc>
          <w:tcPr>
            <w:tcW w:w="552" w:type="dxa"/>
            <w:noWrap/>
            <w:hideMark/>
          </w:tcPr>
          <w:p w14:paraId="08F5EEF2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86</w:t>
            </w:r>
          </w:p>
        </w:tc>
        <w:tc>
          <w:tcPr>
            <w:tcW w:w="552" w:type="dxa"/>
            <w:noWrap/>
            <w:hideMark/>
          </w:tcPr>
          <w:p w14:paraId="5DDC6E70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88</w:t>
            </w:r>
          </w:p>
        </w:tc>
        <w:tc>
          <w:tcPr>
            <w:tcW w:w="553" w:type="dxa"/>
            <w:noWrap/>
            <w:hideMark/>
          </w:tcPr>
          <w:p w14:paraId="6C85A530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90</w:t>
            </w:r>
          </w:p>
        </w:tc>
        <w:tc>
          <w:tcPr>
            <w:tcW w:w="799" w:type="dxa"/>
            <w:noWrap/>
            <w:hideMark/>
          </w:tcPr>
          <w:p w14:paraId="5E1F0EDB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BB6913">
              <w:rPr>
                <w:i/>
                <w:iCs/>
                <w:sz w:val="18"/>
                <w:szCs w:val="18"/>
                <w:lang w:val="fr-FR"/>
              </w:rPr>
              <w:t>0 °C</w:t>
            </w:r>
          </w:p>
        </w:tc>
      </w:tr>
      <w:tr w:rsidR="00E753AD" w:rsidRPr="00BB6913" w14:paraId="19B309CB" w14:textId="77777777" w:rsidTr="00BB6913">
        <w:trPr>
          <w:trHeight w:val="283"/>
        </w:trPr>
        <w:tc>
          <w:tcPr>
            <w:tcW w:w="552" w:type="dxa"/>
            <w:noWrap/>
            <w:hideMark/>
          </w:tcPr>
          <w:p w14:paraId="0C9B8061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50</w:t>
            </w:r>
          </w:p>
        </w:tc>
        <w:tc>
          <w:tcPr>
            <w:tcW w:w="552" w:type="dxa"/>
            <w:noWrap/>
            <w:hideMark/>
          </w:tcPr>
          <w:p w14:paraId="4498BD2A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52</w:t>
            </w:r>
          </w:p>
        </w:tc>
        <w:tc>
          <w:tcPr>
            <w:tcW w:w="552" w:type="dxa"/>
            <w:noWrap/>
            <w:hideMark/>
          </w:tcPr>
          <w:p w14:paraId="329DC961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54</w:t>
            </w:r>
          </w:p>
        </w:tc>
        <w:tc>
          <w:tcPr>
            <w:tcW w:w="552" w:type="dxa"/>
            <w:noWrap/>
            <w:hideMark/>
          </w:tcPr>
          <w:p w14:paraId="6A434EE6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56</w:t>
            </w:r>
          </w:p>
        </w:tc>
        <w:tc>
          <w:tcPr>
            <w:tcW w:w="552" w:type="dxa"/>
            <w:noWrap/>
            <w:hideMark/>
          </w:tcPr>
          <w:p w14:paraId="3336C464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58</w:t>
            </w:r>
          </w:p>
        </w:tc>
        <w:tc>
          <w:tcPr>
            <w:tcW w:w="553" w:type="dxa"/>
            <w:noWrap/>
            <w:hideMark/>
          </w:tcPr>
          <w:p w14:paraId="57190D50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552" w:type="dxa"/>
            <w:noWrap/>
            <w:hideMark/>
          </w:tcPr>
          <w:p w14:paraId="77209FDC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62</w:t>
            </w:r>
          </w:p>
        </w:tc>
        <w:tc>
          <w:tcPr>
            <w:tcW w:w="552" w:type="dxa"/>
            <w:noWrap/>
            <w:hideMark/>
          </w:tcPr>
          <w:p w14:paraId="39A1A70B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64</w:t>
            </w:r>
          </w:p>
        </w:tc>
        <w:tc>
          <w:tcPr>
            <w:tcW w:w="552" w:type="dxa"/>
            <w:noWrap/>
            <w:hideMark/>
          </w:tcPr>
          <w:p w14:paraId="09922F09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66</w:t>
            </w:r>
          </w:p>
        </w:tc>
        <w:tc>
          <w:tcPr>
            <w:tcW w:w="552" w:type="dxa"/>
            <w:noWrap/>
            <w:hideMark/>
          </w:tcPr>
          <w:p w14:paraId="48231E2C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68</w:t>
            </w:r>
          </w:p>
        </w:tc>
        <w:tc>
          <w:tcPr>
            <w:tcW w:w="553" w:type="dxa"/>
            <w:noWrap/>
            <w:hideMark/>
          </w:tcPr>
          <w:p w14:paraId="064956C7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70</w:t>
            </w:r>
          </w:p>
        </w:tc>
        <w:tc>
          <w:tcPr>
            <w:tcW w:w="552" w:type="dxa"/>
            <w:noWrap/>
            <w:hideMark/>
          </w:tcPr>
          <w:p w14:paraId="4692CD22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72</w:t>
            </w:r>
          </w:p>
        </w:tc>
        <w:tc>
          <w:tcPr>
            <w:tcW w:w="552" w:type="dxa"/>
            <w:noWrap/>
            <w:hideMark/>
          </w:tcPr>
          <w:p w14:paraId="08D47E14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74</w:t>
            </w:r>
          </w:p>
        </w:tc>
        <w:tc>
          <w:tcPr>
            <w:tcW w:w="552" w:type="dxa"/>
            <w:noWrap/>
            <w:hideMark/>
          </w:tcPr>
          <w:p w14:paraId="5AF567E2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76</w:t>
            </w:r>
          </w:p>
        </w:tc>
        <w:tc>
          <w:tcPr>
            <w:tcW w:w="552" w:type="dxa"/>
            <w:noWrap/>
            <w:hideMark/>
          </w:tcPr>
          <w:p w14:paraId="139F1FCC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78</w:t>
            </w:r>
          </w:p>
        </w:tc>
        <w:tc>
          <w:tcPr>
            <w:tcW w:w="553" w:type="dxa"/>
            <w:noWrap/>
            <w:hideMark/>
          </w:tcPr>
          <w:p w14:paraId="5A938EA7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80</w:t>
            </w:r>
          </w:p>
        </w:tc>
        <w:tc>
          <w:tcPr>
            <w:tcW w:w="799" w:type="dxa"/>
            <w:noWrap/>
            <w:hideMark/>
          </w:tcPr>
          <w:p w14:paraId="69D489B0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BB6913">
              <w:rPr>
                <w:i/>
                <w:iCs/>
                <w:sz w:val="18"/>
                <w:szCs w:val="18"/>
                <w:lang w:val="fr-FR"/>
              </w:rPr>
              <w:t>-10 °C</w:t>
            </w:r>
          </w:p>
        </w:tc>
      </w:tr>
      <w:tr w:rsidR="00E753AD" w:rsidRPr="00BB6913" w14:paraId="16D8061B" w14:textId="77777777" w:rsidTr="00FC273B">
        <w:trPr>
          <w:trHeight w:val="283"/>
        </w:trPr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048B76F5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40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755F500B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42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648EBB4B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44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52B40B7B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46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6029425A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48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noWrap/>
            <w:hideMark/>
          </w:tcPr>
          <w:p w14:paraId="29E35A47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50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120B18A2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52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4EBCB33A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54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383490A3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56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539D8B84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58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noWrap/>
            <w:hideMark/>
          </w:tcPr>
          <w:p w14:paraId="5DFE19AC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782BC9B3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62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42E5DFA6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64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07C1B475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66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2D34951E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68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noWrap/>
            <w:hideMark/>
          </w:tcPr>
          <w:p w14:paraId="5549649B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sz w:val="18"/>
                <w:szCs w:val="18"/>
                <w:lang w:val="fr-FR"/>
              </w:rPr>
            </w:pPr>
            <w:r w:rsidRPr="00BB6913">
              <w:rPr>
                <w:sz w:val="18"/>
                <w:szCs w:val="18"/>
                <w:lang w:val="fr-FR"/>
              </w:rPr>
              <w:t>70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hideMark/>
          </w:tcPr>
          <w:p w14:paraId="7BA57DCC" w14:textId="77777777" w:rsidR="00E753AD" w:rsidRPr="00BB6913" w:rsidRDefault="00E753AD" w:rsidP="00BB6913">
            <w:pPr>
              <w:spacing w:before="40" w:after="120" w:line="220" w:lineRule="atLeast"/>
              <w:jc w:val="center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BB6913">
              <w:rPr>
                <w:i/>
                <w:iCs/>
                <w:sz w:val="18"/>
                <w:szCs w:val="18"/>
                <w:lang w:val="fr-FR"/>
              </w:rPr>
              <w:t>-20 °C</w:t>
            </w:r>
          </w:p>
        </w:tc>
      </w:tr>
      <w:tr w:rsidR="00E753AD" w:rsidRPr="00BB6913" w14:paraId="30DF2B67" w14:textId="77777777" w:rsidTr="00FC273B">
        <w:trPr>
          <w:trHeight w:val="283"/>
        </w:trPr>
        <w:tc>
          <w:tcPr>
            <w:tcW w:w="8835" w:type="dxa"/>
            <w:gridSpan w:val="16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786EEB2F" w14:textId="77777777" w:rsidR="00E753AD" w:rsidRPr="00BB6913" w:rsidRDefault="00E753AD" w:rsidP="00BB6913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</w:pPr>
            <w:r w:rsidRPr="00FC273B">
              <w:rPr>
                <w:i/>
                <w:iCs/>
                <w:sz w:val="18"/>
                <w:szCs w:val="18"/>
                <w:lang w:val="fr-FR"/>
              </w:rPr>
              <w:t>Minutes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52415ED0" w14:textId="77777777" w:rsidR="00E753AD" w:rsidRPr="00BB6913" w:rsidRDefault="00E753AD" w:rsidP="00BB6913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fr-FR"/>
              </w:rPr>
            </w:pPr>
          </w:p>
        </w:tc>
      </w:tr>
    </w:tbl>
    <w:p w14:paraId="7C90E016" w14:textId="77777777" w:rsidR="00E753AD" w:rsidRPr="00CB487F" w:rsidRDefault="00E753AD" w:rsidP="001E4E7E">
      <w:pPr>
        <w:pStyle w:val="HChG"/>
        <w:rPr>
          <w:lang w:val="fr-FR"/>
        </w:rPr>
      </w:pPr>
      <w:r w:rsidRPr="00CB487F">
        <w:rPr>
          <w:lang w:val="fr-FR"/>
        </w:rPr>
        <w:tab/>
      </w:r>
      <w:r w:rsidRPr="00CB487F">
        <w:rPr>
          <w:lang w:val="fr-FR"/>
        </w:rPr>
        <w:tab/>
        <w:t>Proposition</w:t>
      </w:r>
    </w:p>
    <w:p w14:paraId="5CF1ABBE" w14:textId="77777777" w:rsidR="00E753AD" w:rsidRPr="00CB487F" w:rsidRDefault="00E753AD" w:rsidP="001E4E7E">
      <w:pPr>
        <w:pStyle w:val="H4G"/>
        <w:rPr>
          <w:lang w:val="fr-FR"/>
        </w:rPr>
      </w:pPr>
      <w:r w:rsidRPr="00CB487F">
        <w:rPr>
          <w:lang w:val="fr-FR"/>
        </w:rPr>
        <w:tab/>
      </w:r>
      <w:r w:rsidRPr="00CB487F">
        <w:rPr>
          <w:lang w:val="fr-FR"/>
        </w:rPr>
        <w:tab/>
        <w:t>Version originale :</w:t>
      </w:r>
    </w:p>
    <w:p w14:paraId="3E568CB0" w14:textId="77777777" w:rsidR="00E753AD" w:rsidRPr="00CB487F" w:rsidRDefault="00E753AD" w:rsidP="001E4E7E">
      <w:pPr>
        <w:pStyle w:val="SingleTxtG"/>
        <w:tabs>
          <w:tab w:val="left" w:pos="2268"/>
        </w:tabs>
        <w:rPr>
          <w:lang w:val="fr-FR"/>
        </w:rPr>
      </w:pPr>
      <w:r w:rsidRPr="00990D89">
        <w:rPr>
          <w:lang w:val="fr-FR"/>
        </w:rPr>
        <w:t>« </w:t>
      </w:r>
      <w:r w:rsidRPr="00CB487F">
        <w:rPr>
          <w:b/>
          <w:bCs/>
          <w:lang w:val="fr-FR"/>
        </w:rPr>
        <w:t>6.2.2</w:t>
      </w:r>
      <w:r w:rsidRPr="00CB487F">
        <w:rPr>
          <w:lang w:val="fr-FR"/>
        </w:rPr>
        <w:tab/>
      </w:r>
      <w:r w:rsidRPr="000052DF">
        <w:rPr>
          <w:u w:val="single"/>
          <w:lang w:val="fr-FR"/>
        </w:rPr>
        <w:t>Engins non autonomes</w:t>
      </w:r>
    </w:p>
    <w:p w14:paraId="19600EA9" w14:textId="77777777" w:rsidR="00E753AD" w:rsidRPr="00CB487F" w:rsidRDefault="00E753AD" w:rsidP="001E4E7E">
      <w:pPr>
        <w:pStyle w:val="SingleTxtG"/>
        <w:ind w:left="2268"/>
        <w:rPr>
          <w:lang w:val="fr-FR"/>
        </w:rPr>
      </w:pPr>
      <w:r w:rsidRPr="00CB487F">
        <w:rPr>
          <w:lang w:val="fr-FR"/>
        </w:rPr>
        <w:t>i)</w:t>
      </w:r>
      <w:r w:rsidRPr="00CB487F">
        <w:rPr>
          <w:lang w:val="fr-FR"/>
        </w:rPr>
        <w:tab/>
        <w:t>Engins non autonomes dont le groupe de réfrigération est entraîné par le moteur du véhicule</w:t>
      </w:r>
    </w:p>
    <w:p w14:paraId="151F3141" w14:textId="77777777" w:rsidR="00E753AD" w:rsidRPr="00CB487F" w:rsidRDefault="00E753AD" w:rsidP="00E753AD">
      <w:pPr>
        <w:pStyle w:val="SingleTxtG"/>
        <w:ind w:left="2268"/>
        <w:rPr>
          <w:lang w:val="fr-FR"/>
        </w:rPr>
      </w:pPr>
      <w:r w:rsidRPr="00CB487F">
        <w:rPr>
          <w:lang w:val="fr-FR"/>
        </w:rPr>
        <w:t>On vérifiera que, lorsque la température extérieure n</w:t>
      </w:r>
      <w:r>
        <w:rPr>
          <w:lang w:val="fr-FR"/>
        </w:rPr>
        <w:t>’</w:t>
      </w:r>
      <w:r w:rsidRPr="00CB487F">
        <w:rPr>
          <w:lang w:val="fr-FR"/>
        </w:rPr>
        <w:t>est pas inférieure à +15 °C, la température intérieure de l</w:t>
      </w:r>
      <w:r>
        <w:rPr>
          <w:lang w:val="fr-FR"/>
        </w:rPr>
        <w:t>’</w:t>
      </w:r>
      <w:r w:rsidRPr="00CB487F">
        <w:rPr>
          <w:lang w:val="fr-FR"/>
        </w:rPr>
        <w:t>engin vide de tout chargement peut être maintenue à la température de classe, après descente en température et stabilisation, lorsque le régime moteur du véhicule est maintenu à la valeur de ralenti définie par le constructeur (si applicable), pendant une durée minimum d</w:t>
      </w:r>
      <w:r>
        <w:rPr>
          <w:lang w:val="fr-FR"/>
        </w:rPr>
        <w:t>’</w:t>
      </w:r>
      <w:r w:rsidRPr="00CB487F">
        <w:rPr>
          <w:lang w:val="fr-FR"/>
        </w:rPr>
        <w:t>une heure trente minutes.</w:t>
      </w:r>
    </w:p>
    <w:p w14:paraId="68B14581" w14:textId="5BFD776D" w:rsidR="00E753AD" w:rsidRPr="00CB487F" w:rsidRDefault="00E753AD" w:rsidP="00E753AD">
      <w:pPr>
        <w:pStyle w:val="SingleTxtG"/>
        <w:ind w:left="2268"/>
        <w:rPr>
          <w:lang w:val="fr-FR"/>
        </w:rPr>
      </w:pPr>
      <w:r w:rsidRPr="00CB487F">
        <w:rPr>
          <w:lang w:val="fr-FR"/>
        </w:rPr>
        <w:t>Si le résultat est satisfaisant, l</w:t>
      </w:r>
      <w:r>
        <w:rPr>
          <w:lang w:val="fr-FR"/>
        </w:rPr>
        <w:t>’</w:t>
      </w:r>
      <w:r w:rsidRPr="00CB487F">
        <w:rPr>
          <w:lang w:val="fr-FR"/>
        </w:rPr>
        <w:t>engin pourra être maintenu en service comme frigorifique, dans sa classe d</w:t>
      </w:r>
      <w:r>
        <w:rPr>
          <w:lang w:val="fr-FR"/>
        </w:rPr>
        <w:t>’</w:t>
      </w:r>
      <w:r w:rsidRPr="00CB487F">
        <w:rPr>
          <w:lang w:val="fr-FR"/>
        </w:rPr>
        <w:t>origine, pour une nouvelle période d</w:t>
      </w:r>
      <w:r>
        <w:rPr>
          <w:lang w:val="fr-FR"/>
        </w:rPr>
        <w:t>’</w:t>
      </w:r>
      <w:r w:rsidRPr="00CB487F">
        <w:rPr>
          <w:lang w:val="fr-FR"/>
        </w:rPr>
        <w:t>une durée maximale de trois</w:t>
      </w:r>
      <w:r w:rsidR="001E4E7E">
        <w:rPr>
          <w:lang w:val="fr-FR"/>
        </w:rPr>
        <w:t xml:space="preserve"> </w:t>
      </w:r>
      <w:r w:rsidRPr="00CB487F">
        <w:rPr>
          <w:lang w:val="fr-FR"/>
        </w:rPr>
        <w:t>ans.</w:t>
      </w:r>
    </w:p>
    <w:p w14:paraId="73C45D39" w14:textId="71AE0CE5" w:rsidR="00E753AD" w:rsidRPr="00CB487F" w:rsidRDefault="00E753AD" w:rsidP="001E4E7E">
      <w:pPr>
        <w:pStyle w:val="SingleTxtG"/>
        <w:ind w:left="2268"/>
        <w:rPr>
          <w:lang w:val="fr-FR"/>
        </w:rPr>
      </w:pPr>
      <w:r w:rsidRPr="00CB487F">
        <w:rPr>
          <w:lang w:val="fr-FR"/>
        </w:rPr>
        <w:t>ii)</w:t>
      </w:r>
      <w:r w:rsidRPr="00CB487F">
        <w:rPr>
          <w:lang w:val="fr-FR"/>
        </w:rPr>
        <w:tab/>
        <w:t>Dispositions transitoires pour les engins non autonomes en service</w:t>
      </w:r>
      <w:r w:rsidR="001E4E7E">
        <w:rPr>
          <w:lang w:val="fr-FR"/>
        </w:rPr>
        <w:t> </w:t>
      </w:r>
      <w:r w:rsidRPr="00CB487F">
        <w:rPr>
          <w:lang w:val="fr-FR"/>
        </w:rPr>
        <w:t>:</w:t>
      </w:r>
    </w:p>
    <w:p w14:paraId="4F393B1C" w14:textId="1E61A95C" w:rsidR="00E753AD" w:rsidRPr="00CB487F" w:rsidRDefault="00E753AD" w:rsidP="00E753AD">
      <w:pPr>
        <w:pStyle w:val="SingleTxtG"/>
        <w:ind w:left="2268"/>
        <w:rPr>
          <w:lang w:val="fr-FR"/>
        </w:rPr>
      </w:pPr>
      <w:r w:rsidRPr="00CB487F">
        <w:rPr>
          <w:lang w:val="fr-FR"/>
        </w:rPr>
        <w:t>Dans le cas des engins construits avant le 6</w:t>
      </w:r>
      <w:r w:rsidR="001E4E7E">
        <w:rPr>
          <w:lang w:val="fr-FR"/>
        </w:rPr>
        <w:t> </w:t>
      </w:r>
      <w:r w:rsidRPr="00CB487F">
        <w:rPr>
          <w:lang w:val="fr-FR"/>
        </w:rPr>
        <w:t>janvier 2018, la présente disposition ne s</w:t>
      </w:r>
      <w:r>
        <w:rPr>
          <w:lang w:val="fr-FR"/>
        </w:rPr>
        <w:t>’</w:t>
      </w:r>
      <w:r w:rsidRPr="00CB487F">
        <w:rPr>
          <w:lang w:val="fr-FR"/>
        </w:rPr>
        <w:t>applique pas. Les engins concernés doivent satisfaire aux prescriptions des alinéas</w:t>
      </w:r>
      <w:r w:rsidR="001E4E7E">
        <w:rPr>
          <w:lang w:val="fr-FR"/>
        </w:rPr>
        <w:t> </w:t>
      </w:r>
      <w:r w:rsidRPr="00CB487F">
        <w:rPr>
          <w:lang w:val="fr-FR"/>
        </w:rPr>
        <w:t>i) ou ii) du présent paragraphe, en fonction de leur date de construction.</w:t>
      </w:r>
      <w:r>
        <w:rPr>
          <w:lang w:val="fr-FR"/>
        </w:rPr>
        <w:t> ».</w:t>
      </w:r>
    </w:p>
    <w:p w14:paraId="619D6E1F" w14:textId="55FFA2E1" w:rsidR="00E753AD" w:rsidRPr="00CB487F" w:rsidRDefault="00E753AD" w:rsidP="001E4E7E">
      <w:pPr>
        <w:pStyle w:val="H4G"/>
        <w:rPr>
          <w:lang w:val="fr-FR"/>
        </w:rPr>
      </w:pPr>
      <w:r w:rsidRPr="00CB487F">
        <w:rPr>
          <w:lang w:val="fr-FR"/>
        </w:rPr>
        <w:lastRenderedPageBreak/>
        <w:tab/>
      </w:r>
      <w:r w:rsidRPr="00CB487F">
        <w:rPr>
          <w:lang w:val="fr-FR"/>
        </w:rPr>
        <w:tab/>
        <w:t>Version modifiée</w:t>
      </w:r>
      <w:r w:rsidR="001E4E7E">
        <w:rPr>
          <w:lang w:val="fr-FR"/>
        </w:rPr>
        <w:t> </w:t>
      </w:r>
      <w:r w:rsidRPr="00CB487F">
        <w:rPr>
          <w:lang w:val="fr-FR"/>
        </w:rPr>
        <w:t>:</w:t>
      </w:r>
    </w:p>
    <w:p w14:paraId="6F968A01" w14:textId="77777777" w:rsidR="00E753AD" w:rsidRPr="00CB487F" w:rsidRDefault="00E753AD" w:rsidP="001E4E7E">
      <w:pPr>
        <w:pStyle w:val="SingleTxtG"/>
        <w:tabs>
          <w:tab w:val="left" w:pos="2268"/>
        </w:tabs>
        <w:rPr>
          <w:lang w:val="fr-FR"/>
        </w:rPr>
      </w:pPr>
      <w:r w:rsidRPr="00CB487F">
        <w:rPr>
          <w:lang w:val="fr-FR"/>
        </w:rPr>
        <w:t>« </w:t>
      </w:r>
      <w:r w:rsidRPr="00CB487F">
        <w:rPr>
          <w:b/>
          <w:bCs/>
          <w:lang w:val="fr-FR"/>
        </w:rPr>
        <w:t>6.2.2</w:t>
      </w:r>
      <w:r w:rsidRPr="00CB487F">
        <w:rPr>
          <w:lang w:val="fr-FR"/>
        </w:rPr>
        <w:tab/>
      </w:r>
      <w:r w:rsidRPr="00CB487F">
        <w:rPr>
          <w:lang w:val="fr-FR"/>
        </w:rPr>
        <w:tab/>
      </w:r>
      <w:r w:rsidRPr="001E4E7E">
        <w:rPr>
          <w:u w:val="single"/>
          <w:lang w:val="fr-FR"/>
        </w:rPr>
        <w:t>Engins non autonomes</w:t>
      </w:r>
    </w:p>
    <w:p w14:paraId="7D393408" w14:textId="77777777" w:rsidR="00E753AD" w:rsidRPr="00CB487F" w:rsidRDefault="00E753AD" w:rsidP="00E753AD">
      <w:pPr>
        <w:pStyle w:val="SingleTxtG"/>
        <w:ind w:left="2268"/>
        <w:rPr>
          <w:lang w:val="fr-FR"/>
        </w:rPr>
      </w:pPr>
      <w:r w:rsidRPr="00CB487F">
        <w:rPr>
          <w:lang w:val="fr-FR"/>
        </w:rPr>
        <w:t>i)</w:t>
      </w:r>
      <w:r w:rsidRPr="00CB487F">
        <w:rPr>
          <w:lang w:val="fr-FR"/>
        </w:rPr>
        <w:tab/>
        <w:t>Engins non autonomes dont le groupe de réfrigération est entraîné par le moteur du véhicule</w:t>
      </w:r>
    </w:p>
    <w:p w14:paraId="168E17DC" w14:textId="3D74ED08" w:rsidR="00E753AD" w:rsidRPr="00CB487F" w:rsidRDefault="00E753AD" w:rsidP="00E753AD">
      <w:pPr>
        <w:pStyle w:val="SingleTxtG"/>
        <w:ind w:left="2268"/>
        <w:rPr>
          <w:b/>
          <w:bCs/>
          <w:lang w:val="fr-FR"/>
        </w:rPr>
      </w:pPr>
      <w:r w:rsidRPr="00CB487F">
        <w:rPr>
          <w:lang w:val="fr-FR"/>
        </w:rPr>
        <w:t>On vérifiera que, lorsque la température extérieure n</w:t>
      </w:r>
      <w:r>
        <w:rPr>
          <w:lang w:val="fr-FR"/>
        </w:rPr>
        <w:t>’</w:t>
      </w:r>
      <w:r w:rsidRPr="00CB487F">
        <w:rPr>
          <w:lang w:val="fr-FR"/>
        </w:rPr>
        <w:t>est pas inférieure à +15</w:t>
      </w:r>
      <w:r w:rsidR="001E4E7E">
        <w:rPr>
          <w:lang w:val="fr-FR"/>
        </w:rPr>
        <w:t> </w:t>
      </w:r>
      <w:r w:rsidRPr="00CB487F">
        <w:rPr>
          <w:lang w:val="fr-FR"/>
        </w:rPr>
        <w:t>°C, la température intérieure de l</w:t>
      </w:r>
      <w:r>
        <w:rPr>
          <w:lang w:val="fr-FR"/>
        </w:rPr>
        <w:t>’</w:t>
      </w:r>
      <w:r w:rsidRPr="00CB487F">
        <w:rPr>
          <w:lang w:val="fr-FR"/>
        </w:rPr>
        <w:t>engin vide de tout chargement peut être maintenue à la température de classe, après descente en température et stabilisation, lorsque le régime moteur du véhicule est maintenu à la valeur de ralenti définie par le constructeur (si applicable), pendant une durée minimum d</w:t>
      </w:r>
      <w:r>
        <w:rPr>
          <w:lang w:val="fr-FR"/>
        </w:rPr>
        <w:t>’</w:t>
      </w:r>
      <w:r w:rsidRPr="00CB487F">
        <w:rPr>
          <w:lang w:val="fr-FR"/>
        </w:rPr>
        <w:t xml:space="preserve">une heure trente minutes. </w:t>
      </w:r>
      <w:r w:rsidRPr="00CB487F">
        <w:rPr>
          <w:b/>
          <w:bCs/>
          <w:lang w:val="fr-FR"/>
        </w:rPr>
        <w:t>Si la température extérieure est supérieure 15</w:t>
      </w:r>
      <w:r w:rsidR="00C63459">
        <w:rPr>
          <w:b/>
          <w:bCs/>
          <w:lang w:val="fr-FR"/>
        </w:rPr>
        <w:t> </w:t>
      </w:r>
      <w:r w:rsidRPr="00CB487F">
        <w:rPr>
          <w:b/>
          <w:bCs/>
          <w:lang w:val="fr-FR"/>
        </w:rPr>
        <w:t>°C, la température intérieure de l</w:t>
      </w:r>
      <w:r>
        <w:rPr>
          <w:b/>
          <w:bCs/>
          <w:lang w:val="fr-FR"/>
        </w:rPr>
        <w:t>’</w:t>
      </w:r>
      <w:r w:rsidRPr="00CB487F">
        <w:rPr>
          <w:b/>
          <w:bCs/>
          <w:lang w:val="fr-FR"/>
        </w:rPr>
        <w:t xml:space="preserve">engin vide peut être portée à la température de classe dans </w:t>
      </w:r>
      <w:r>
        <w:rPr>
          <w:b/>
          <w:bCs/>
          <w:lang w:val="fr-FR"/>
        </w:rPr>
        <w:t>le</w:t>
      </w:r>
      <w:r w:rsidRPr="00CB487F">
        <w:rPr>
          <w:b/>
          <w:bCs/>
          <w:lang w:val="fr-FR"/>
        </w:rPr>
        <w:t xml:space="preserve"> délai minimal (</w:t>
      </w:r>
      <w:r>
        <w:rPr>
          <w:b/>
          <w:bCs/>
          <w:lang w:val="fr-FR"/>
        </w:rPr>
        <w:t>en</w:t>
      </w:r>
      <w:r w:rsidRPr="00CB487F">
        <w:rPr>
          <w:b/>
          <w:bCs/>
          <w:lang w:val="fr-FR"/>
        </w:rPr>
        <w:t xml:space="preserve"> minutes) indiqué dans le tableau ci-dessous</w:t>
      </w:r>
      <w:r w:rsidR="00C63459">
        <w:rPr>
          <w:b/>
          <w:bCs/>
          <w:lang w:val="fr-FR"/>
        </w:rPr>
        <w:t> </w:t>
      </w:r>
      <w:r w:rsidRPr="00CB487F">
        <w:rPr>
          <w:b/>
          <w:bCs/>
          <w:lang w:val="fr-FR"/>
        </w:rPr>
        <w:t>:</w:t>
      </w:r>
    </w:p>
    <w:tbl>
      <w:tblPr>
        <w:tblW w:w="963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  <w:gridCol w:w="553"/>
        <w:gridCol w:w="552"/>
        <w:gridCol w:w="552"/>
        <w:gridCol w:w="552"/>
        <w:gridCol w:w="552"/>
        <w:gridCol w:w="553"/>
        <w:gridCol w:w="552"/>
        <w:gridCol w:w="552"/>
        <w:gridCol w:w="552"/>
        <w:gridCol w:w="552"/>
        <w:gridCol w:w="553"/>
        <w:gridCol w:w="799"/>
      </w:tblGrid>
      <w:tr w:rsidR="00E753AD" w:rsidRPr="00C63459" w14:paraId="34571B11" w14:textId="77777777" w:rsidTr="00E73B1E">
        <w:trPr>
          <w:trHeight w:val="283"/>
        </w:trPr>
        <w:tc>
          <w:tcPr>
            <w:tcW w:w="8835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4361DA0" w14:textId="77777777" w:rsidR="00E753AD" w:rsidRPr="00C63459" w:rsidRDefault="00E753AD" w:rsidP="00C63459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  <w:lang w:val="fr-FR"/>
              </w:rPr>
            </w:pPr>
            <w:r w:rsidRPr="00C63459">
              <w:rPr>
                <w:i/>
                <w:iCs/>
                <w:sz w:val="18"/>
                <w:szCs w:val="18"/>
                <w:lang w:val="fr-FR"/>
              </w:rPr>
              <w:t>Température extérieure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B1B60A4" w14:textId="77777777" w:rsidR="00E753AD" w:rsidRPr="00C63459" w:rsidRDefault="00E753AD" w:rsidP="00C63459">
            <w:pPr>
              <w:spacing w:before="80" w:after="80" w:line="200" w:lineRule="exac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E753AD" w:rsidRPr="00CB487F" w14:paraId="1E7F7184" w14:textId="77777777" w:rsidTr="00E73B1E">
        <w:trPr>
          <w:trHeight w:val="283"/>
        </w:trPr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0CB62A74" w14:textId="2EDBBEA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7"/>
                <w:szCs w:val="17"/>
                <w:lang w:val="fr-FR"/>
              </w:rPr>
            </w:pPr>
            <w:r w:rsidRPr="00C63459">
              <w:rPr>
                <w:i/>
                <w:iCs/>
                <w:sz w:val="17"/>
                <w:szCs w:val="17"/>
                <w:lang w:val="fr-FR"/>
              </w:rPr>
              <w:t>+30</w:t>
            </w:r>
            <w:r w:rsidR="00E73B1E">
              <w:rPr>
                <w:i/>
                <w:iCs/>
                <w:sz w:val="17"/>
                <w:szCs w:val="17"/>
                <w:lang w:val="fr-FR"/>
              </w:rPr>
              <w:t> </w:t>
            </w:r>
            <w:r w:rsidRPr="00C63459">
              <w:rPr>
                <w:i/>
                <w:iCs/>
                <w:sz w:val="17"/>
                <w:szCs w:val="17"/>
                <w:lang w:val="fr-FR"/>
              </w:rPr>
              <w:t>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43875E5C" w14:textId="5DFF65C3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7"/>
                <w:szCs w:val="17"/>
                <w:lang w:val="fr-FR"/>
              </w:rPr>
            </w:pPr>
            <w:r w:rsidRPr="00C63459">
              <w:rPr>
                <w:i/>
                <w:iCs/>
                <w:sz w:val="17"/>
                <w:szCs w:val="17"/>
                <w:lang w:val="fr-FR"/>
              </w:rPr>
              <w:t>+29</w:t>
            </w:r>
            <w:r w:rsidR="00E73B1E">
              <w:rPr>
                <w:i/>
                <w:iCs/>
                <w:sz w:val="17"/>
                <w:szCs w:val="17"/>
                <w:lang w:val="fr-FR"/>
              </w:rPr>
              <w:t> </w:t>
            </w:r>
            <w:r w:rsidRPr="00C63459">
              <w:rPr>
                <w:i/>
                <w:iCs/>
                <w:sz w:val="17"/>
                <w:szCs w:val="17"/>
                <w:lang w:val="fr-FR"/>
              </w:rPr>
              <w:t>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3B3BCE6E" w14:textId="6E43FB1B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7"/>
                <w:szCs w:val="17"/>
                <w:lang w:val="fr-FR"/>
              </w:rPr>
            </w:pPr>
            <w:r w:rsidRPr="00C63459">
              <w:rPr>
                <w:i/>
                <w:iCs/>
                <w:sz w:val="17"/>
                <w:szCs w:val="17"/>
                <w:lang w:val="fr-FR"/>
              </w:rPr>
              <w:t>+28</w:t>
            </w:r>
            <w:r w:rsidR="00E73B1E">
              <w:rPr>
                <w:i/>
                <w:iCs/>
                <w:sz w:val="17"/>
                <w:szCs w:val="17"/>
                <w:lang w:val="fr-FR"/>
              </w:rPr>
              <w:t> </w:t>
            </w:r>
            <w:r w:rsidRPr="00C63459">
              <w:rPr>
                <w:i/>
                <w:iCs/>
                <w:sz w:val="17"/>
                <w:szCs w:val="17"/>
                <w:lang w:val="fr-FR"/>
              </w:rPr>
              <w:t>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006B3818" w14:textId="7CEFDF49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7"/>
                <w:szCs w:val="17"/>
                <w:lang w:val="fr-FR"/>
              </w:rPr>
            </w:pPr>
            <w:r w:rsidRPr="00C63459">
              <w:rPr>
                <w:i/>
                <w:iCs/>
                <w:sz w:val="17"/>
                <w:szCs w:val="17"/>
                <w:lang w:val="fr-FR"/>
              </w:rPr>
              <w:t>+27</w:t>
            </w:r>
            <w:r w:rsidR="00E73B1E">
              <w:rPr>
                <w:i/>
                <w:iCs/>
                <w:sz w:val="17"/>
                <w:szCs w:val="17"/>
                <w:lang w:val="fr-FR"/>
              </w:rPr>
              <w:t> </w:t>
            </w:r>
            <w:r w:rsidRPr="00C63459">
              <w:rPr>
                <w:i/>
                <w:iCs/>
                <w:sz w:val="17"/>
                <w:szCs w:val="17"/>
                <w:lang w:val="fr-FR"/>
              </w:rPr>
              <w:t>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2C5393F0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7"/>
                <w:szCs w:val="17"/>
                <w:lang w:val="fr-FR"/>
              </w:rPr>
            </w:pPr>
            <w:r w:rsidRPr="00C63459">
              <w:rPr>
                <w:i/>
                <w:iCs/>
                <w:sz w:val="17"/>
                <w:szCs w:val="17"/>
                <w:lang w:val="fr-FR"/>
              </w:rPr>
              <w:t>+26 °C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noWrap/>
            <w:hideMark/>
          </w:tcPr>
          <w:p w14:paraId="1D5F1FE7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7"/>
                <w:szCs w:val="17"/>
                <w:lang w:val="fr-FR"/>
              </w:rPr>
            </w:pPr>
            <w:r w:rsidRPr="00C63459">
              <w:rPr>
                <w:i/>
                <w:iCs/>
                <w:sz w:val="17"/>
                <w:szCs w:val="17"/>
                <w:lang w:val="fr-FR"/>
              </w:rPr>
              <w:t>+25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6557AB5B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7"/>
                <w:szCs w:val="17"/>
                <w:lang w:val="fr-FR"/>
              </w:rPr>
            </w:pPr>
            <w:r w:rsidRPr="00C63459">
              <w:rPr>
                <w:i/>
                <w:iCs/>
                <w:sz w:val="17"/>
                <w:szCs w:val="17"/>
                <w:lang w:val="fr-FR"/>
              </w:rPr>
              <w:t>+24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6F55C0B9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7"/>
                <w:szCs w:val="17"/>
                <w:lang w:val="fr-FR"/>
              </w:rPr>
            </w:pPr>
            <w:r w:rsidRPr="00C63459">
              <w:rPr>
                <w:i/>
                <w:iCs/>
                <w:sz w:val="17"/>
                <w:szCs w:val="17"/>
                <w:lang w:val="fr-FR"/>
              </w:rPr>
              <w:t>+23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47CF68B3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7"/>
                <w:szCs w:val="17"/>
                <w:lang w:val="fr-FR"/>
              </w:rPr>
            </w:pPr>
            <w:r w:rsidRPr="00C63459">
              <w:rPr>
                <w:i/>
                <w:iCs/>
                <w:sz w:val="17"/>
                <w:szCs w:val="17"/>
                <w:lang w:val="fr-FR"/>
              </w:rPr>
              <w:t>+22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7AF07FA7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7"/>
                <w:szCs w:val="17"/>
                <w:lang w:val="fr-FR"/>
              </w:rPr>
            </w:pPr>
            <w:r w:rsidRPr="00C63459">
              <w:rPr>
                <w:i/>
                <w:iCs/>
                <w:sz w:val="17"/>
                <w:szCs w:val="17"/>
                <w:lang w:val="fr-FR"/>
              </w:rPr>
              <w:t>+21 °C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noWrap/>
            <w:hideMark/>
          </w:tcPr>
          <w:p w14:paraId="775E27B2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7"/>
                <w:szCs w:val="17"/>
                <w:lang w:val="fr-FR"/>
              </w:rPr>
            </w:pPr>
            <w:r w:rsidRPr="00C63459">
              <w:rPr>
                <w:i/>
                <w:iCs/>
                <w:sz w:val="17"/>
                <w:szCs w:val="17"/>
                <w:lang w:val="fr-FR"/>
              </w:rPr>
              <w:t>+20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7225C595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7"/>
                <w:szCs w:val="17"/>
                <w:lang w:val="fr-FR"/>
              </w:rPr>
            </w:pPr>
            <w:r w:rsidRPr="00C63459">
              <w:rPr>
                <w:i/>
                <w:iCs/>
                <w:sz w:val="17"/>
                <w:szCs w:val="17"/>
                <w:lang w:val="fr-FR"/>
              </w:rPr>
              <w:t>+19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2E19D0F4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7"/>
                <w:szCs w:val="17"/>
                <w:lang w:val="fr-FR"/>
              </w:rPr>
            </w:pPr>
            <w:r w:rsidRPr="00C63459">
              <w:rPr>
                <w:i/>
                <w:iCs/>
                <w:sz w:val="17"/>
                <w:szCs w:val="17"/>
                <w:lang w:val="fr-FR"/>
              </w:rPr>
              <w:t>+18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2F71E2CE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7"/>
                <w:szCs w:val="17"/>
                <w:lang w:val="fr-FR"/>
              </w:rPr>
            </w:pPr>
            <w:r w:rsidRPr="00C63459">
              <w:rPr>
                <w:i/>
                <w:iCs/>
                <w:sz w:val="17"/>
                <w:szCs w:val="17"/>
                <w:lang w:val="fr-FR"/>
              </w:rPr>
              <w:t>+17 °C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noWrap/>
            <w:hideMark/>
          </w:tcPr>
          <w:p w14:paraId="3F16BB39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7"/>
                <w:szCs w:val="17"/>
                <w:lang w:val="fr-FR"/>
              </w:rPr>
            </w:pPr>
            <w:r w:rsidRPr="00C63459">
              <w:rPr>
                <w:i/>
                <w:iCs/>
                <w:sz w:val="17"/>
                <w:szCs w:val="17"/>
                <w:lang w:val="fr-FR"/>
              </w:rPr>
              <w:t>+16 °C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noWrap/>
            <w:hideMark/>
          </w:tcPr>
          <w:p w14:paraId="661950FF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7"/>
                <w:szCs w:val="17"/>
                <w:lang w:val="fr-FR"/>
              </w:rPr>
            </w:pPr>
            <w:r w:rsidRPr="00C63459">
              <w:rPr>
                <w:i/>
                <w:iCs/>
                <w:sz w:val="17"/>
                <w:szCs w:val="17"/>
                <w:lang w:val="fr-FR"/>
              </w:rPr>
              <w:t>+15 °C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hideMark/>
          </w:tcPr>
          <w:p w14:paraId="744537ED" w14:textId="77777777" w:rsidR="00E753AD" w:rsidRPr="00CB487F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val="fr-FR"/>
              </w:rPr>
            </w:pPr>
            <w:r w:rsidRPr="00C63459">
              <w:rPr>
                <w:i/>
                <w:iCs/>
                <w:sz w:val="18"/>
                <w:szCs w:val="18"/>
                <w:lang w:val="fr-FR"/>
              </w:rPr>
              <w:t>Point de consigne ATP</w:t>
            </w:r>
          </w:p>
        </w:tc>
      </w:tr>
      <w:tr w:rsidR="00E753AD" w:rsidRPr="00C63459" w14:paraId="3420E5C0" w14:textId="77777777" w:rsidTr="00E73B1E">
        <w:trPr>
          <w:trHeight w:val="283"/>
        </w:trPr>
        <w:tc>
          <w:tcPr>
            <w:tcW w:w="552" w:type="dxa"/>
            <w:noWrap/>
            <w:hideMark/>
          </w:tcPr>
          <w:p w14:paraId="1A329685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552" w:type="dxa"/>
            <w:noWrap/>
            <w:hideMark/>
          </w:tcPr>
          <w:p w14:paraId="21C51D52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62</w:t>
            </w:r>
          </w:p>
        </w:tc>
        <w:tc>
          <w:tcPr>
            <w:tcW w:w="552" w:type="dxa"/>
            <w:noWrap/>
            <w:hideMark/>
          </w:tcPr>
          <w:p w14:paraId="2202A4B0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64</w:t>
            </w:r>
          </w:p>
        </w:tc>
        <w:tc>
          <w:tcPr>
            <w:tcW w:w="552" w:type="dxa"/>
            <w:noWrap/>
            <w:hideMark/>
          </w:tcPr>
          <w:p w14:paraId="5A74BBDE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66</w:t>
            </w:r>
          </w:p>
        </w:tc>
        <w:tc>
          <w:tcPr>
            <w:tcW w:w="552" w:type="dxa"/>
            <w:noWrap/>
            <w:hideMark/>
          </w:tcPr>
          <w:p w14:paraId="4B581BE0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68</w:t>
            </w:r>
          </w:p>
        </w:tc>
        <w:tc>
          <w:tcPr>
            <w:tcW w:w="553" w:type="dxa"/>
            <w:noWrap/>
            <w:hideMark/>
          </w:tcPr>
          <w:p w14:paraId="0E322D41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70</w:t>
            </w:r>
          </w:p>
        </w:tc>
        <w:tc>
          <w:tcPr>
            <w:tcW w:w="552" w:type="dxa"/>
            <w:noWrap/>
            <w:hideMark/>
          </w:tcPr>
          <w:p w14:paraId="35FED807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72</w:t>
            </w:r>
          </w:p>
        </w:tc>
        <w:tc>
          <w:tcPr>
            <w:tcW w:w="552" w:type="dxa"/>
            <w:noWrap/>
            <w:hideMark/>
          </w:tcPr>
          <w:p w14:paraId="0CB24DFA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74</w:t>
            </w:r>
          </w:p>
        </w:tc>
        <w:tc>
          <w:tcPr>
            <w:tcW w:w="552" w:type="dxa"/>
            <w:noWrap/>
            <w:hideMark/>
          </w:tcPr>
          <w:p w14:paraId="2F662399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76</w:t>
            </w:r>
          </w:p>
        </w:tc>
        <w:tc>
          <w:tcPr>
            <w:tcW w:w="552" w:type="dxa"/>
            <w:noWrap/>
            <w:hideMark/>
          </w:tcPr>
          <w:p w14:paraId="7C706BC3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78</w:t>
            </w:r>
          </w:p>
        </w:tc>
        <w:tc>
          <w:tcPr>
            <w:tcW w:w="553" w:type="dxa"/>
            <w:noWrap/>
            <w:hideMark/>
          </w:tcPr>
          <w:p w14:paraId="7FE3071B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80</w:t>
            </w:r>
          </w:p>
        </w:tc>
        <w:tc>
          <w:tcPr>
            <w:tcW w:w="552" w:type="dxa"/>
            <w:noWrap/>
            <w:hideMark/>
          </w:tcPr>
          <w:p w14:paraId="43948CF8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82</w:t>
            </w:r>
          </w:p>
        </w:tc>
        <w:tc>
          <w:tcPr>
            <w:tcW w:w="552" w:type="dxa"/>
            <w:noWrap/>
            <w:hideMark/>
          </w:tcPr>
          <w:p w14:paraId="34F0F12B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84</w:t>
            </w:r>
          </w:p>
        </w:tc>
        <w:tc>
          <w:tcPr>
            <w:tcW w:w="552" w:type="dxa"/>
            <w:noWrap/>
            <w:hideMark/>
          </w:tcPr>
          <w:p w14:paraId="1A60C7C1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86</w:t>
            </w:r>
          </w:p>
        </w:tc>
        <w:tc>
          <w:tcPr>
            <w:tcW w:w="552" w:type="dxa"/>
            <w:noWrap/>
            <w:hideMark/>
          </w:tcPr>
          <w:p w14:paraId="0DDBF562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88</w:t>
            </w:r>
          </w:p>
        </w:tc>
        <w:tc>
          <w:tcPr>
            <w:tcW w:w="553" w:type="dxa"/>
            <w:noWrap/>
            <w:hideMark/>
          </w:tcPr>
          <w:p w14:paraId="4A6161E7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90</w:t>
            </w:r>
          </w:p>
        </w:tc>
        <w:tc>
          <w:tcPr>
            <w:tcW w:w="799" w:type="dxa"/>
            <w:noWrap/>
            <w:hideMark/>
          </w:tcPr>
          <w:p w14:paraId="14F5C8B1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val="fr-FR"/>
              </w:rPr>
            </w:pPr>
            <w:r w:rsidRPr="00C63459">
              <w:rPr>
                <w:i/>
                <w:iCs/>
                <w:sz w:val="18"/>
                <w:szCs w:val="18"/>
                <w:lang w:val="fr-FR"/>
              </w:rPr>
              <w:t>0 °C</w:t>
            </w:r>
          </w:p>
        </w:tc>
      </w:tr>
      <w:tr w:rsidR="00E753AD" w:rsidRPr="00C63459" w14:paraId="33C6674C" w14:textId="77777777" w:rsidTr="00E73B1E">
        <w:trPr>
          <w:trHeight w:val="283"/>
        </w:trPr>
        <w:tc>
          <w:tcPr>
            <w:tcW w:w="552" w:type="dxa"/>
            <w:noWrap/>
            <w:hideMark/>
          </w:tcPr>
          <w:p w14:paraId="6D1ABA1C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50</w:t>
            </w:r>
          </w:p>
        </w:tc>
        <w:tc>
          <w:tcPr>
            <w:tcW w:w="552" w:type="dxa"/>
            <w:noWrap/>
            <w:hideMark/>
          </w:tcPr>
          <w:p w14:paraId="3562A953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52</w:t>
            </w:r>
          </w:p>
        </w:tc>
        <w:tc>
          <w:tcPr>
            <w:tcW w:w="552" w:type="dxa"/>
            <w:noWrap/>
            <w:hideMark/>
          </w:tcPr>
          <w:p w14:paraId="2506B763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54</w:t>
            </w:r>
          </w:p>
        </w:tc>
        <w:tc>
          <w:tcPr>
            <w:tcW w:w="552" w:type="dxa"/>
            <w:noWrap/>
            <w:hideMark/>
          </w:tcPr>
          <w:p w14:paraId="0DB60977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56</w:t>
            </w:r>
          </w:p>
        </w:tc>
        <w:tc>
          <w:tcPr>
            <w:tcW w:w="552" w:type="dxa"/>
            <w:noWrap/>
            <w:hideMark/>
          </w:tcPr>
          <w:p w14:paraId="1B95CC0F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58</w:t>
            </w:r>
          </w:p>
        </w:tc>
        <w:tc>
          <w:tcPr>
            <w:tcW w:w="553" w:type="dxa"/>
            <w:noWrap/>
            <w:hideMark/>
          </w:tcPr>
          <w:p w14:paraId="5CC22D45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552" w:type="dxa"/>
            <w:noWrap/>
            <w:hideMark/>
          </w:tcPr>
          <w:p w14:paraId="204F9765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62</w:t>
            </w:r>
          </w:p>
        </w:tc>
        <w:tc>
          <w:tcPr>
            <w:tcW w:w="552" w:type="dxa"/>
            <w:noWrap/>
            <w:hideMark/>
          </w:tcPr>
          <w:p w14:paraId="286FC3AD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64</w:t>
            </w:r>
          </w:p>
        </w:tc>
        <w:tc>
          <w:tcPr>
            <w:tcW w:w="552" w:type="dxa"/>
            <w:noWrap/>
            <w:hideMark/>
          </w:tcPr>
          <w:p w14:paraId="62B29059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66</w:t>
            </w:r>
          </w:p>
        </w:tc>
        <w:tc>
          <w:tcPr>
            <w:tcW w:w="552" w:type="dxa"/>
            <w:noWrap/>
            <w:hideMark/>
          </w:tcPr>
          <w:p w14:paraId="775891A0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68</w:t>
            </w:r>
          </w:p>
        </w:tc>
        <w:tc>
          <w:tcPr>
            <w:tcW w:w="553" w:type="dxa"/>
            <w:noWrap/>
            <w:hideMark/>
          </w:tcPr>
          <w:p w14:paraId="1BD7AB87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70</w:t>
            </w:r>
          </w:p>
        </w:tc>
        <w:tc>
          <w:tcPr>
            <w:tcW w:w="552" w:type="dxa"/>
            <w:noWrap/>
            <w:hideMark/>
          </w:tcPr>
          <w:p w14:paraId="3BDC0C05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72</w:t>
            </w:r>
          </w:p>
        </w:tc>
        <w:tc>
          <w:tcPr>
            <w:tcW w:w="552" w:type="dxa"/>
            <w:noWrap/>
            <w:hideMark/>
          </w:tcPr>
          <w:p w14:paraId="03C5FB94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74</w:t>
            </w:r>
          </w:p>
        </w:tc>
        <w:tc>
          <w:tcPr>
            <w:tcW w:w="552" w:type="dxa"/>
            <w:noWrap/>
            <w:hideMark/>
          </w:tcPr>
          <w:p w14:paraId="5D51157C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76</w:t>
            </w:r>
          </w:p>
        </w:tc>
        <w:tc>
          <w:tcPr>
            <w:tcW w:w="552" w:type="dxa"/>
            <w:noWrap/>
            <w:hideMark/>
          </w:tcPr>
          <w:p w14:paraId="0AB22325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78</w:t>
            </w:r>
          </w:p>
        </w:tc>
        <w:tc>
          <w:tcPr>
            <w:tcW w:w="553" w:type="dxa"/>
            <w:noWrap/>
            <w:hideMark/>
          </w:tcPr>
          <w:p w14:paraId="6EFB07E6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80</w:t>
            </w:r>
          </w:p>
        </w:tc>
        <w:tc>
          <w:tcPr>
            <w:tcW w:w="799" w:type="dxa"/>
            <w:noWrap/>
            <w:hideMark/>
          </w:tcPr>
          <w:p w14:paraId="2F6AEB02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val="fr-FR"/>
              </w:rPr>
            </w:pPr>
            <w:r w:rsidRPr="00C63459">
              <w:rPr>
                <w:i/>
                <w:iCs/>
                <w:sz w:val="18"/>
                <w:szCs w:val="18"/>
                <w:lang w:val="fr-FR"/>
              </w:rPr>
              <w:t>-10 °C</w:t>
            </w:r>
          </w:p>
        </w:tc>
      </w:tr>
      <w:tr w:rsidR="00E753AD" w:rsidRPr="00C63459" w14:paraId="1CF578F5" w14:textId="77777777" w:rsidTr="00E73B1E">
        <w:trPr>
          <w:trHeight w:val="283"/>
        </w:trPr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5D759198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40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025F5CE6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42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1F7B8D84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44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61F0D001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46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6E68990B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48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noWrap/>
            <w:hideMark/>
          </w:tcPr>
          <w:p w14:paraId="3DC41D4D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50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27A4F8CD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52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7EE9A48A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54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645A3AB1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56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748A7C2D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58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noWrap/>
            <w:hideMark/>
          </w:tcPr>
          <w:p w14:paraId="7FCACF6B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22842C7E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62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43AB918D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64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27FB9568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66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  <w:hideMark/>
          </w:tcPr>
          <w:p w14:paraId="799F7FAF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68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noWrap/>
            <w:hideMark/>
          </w:tcPr>
          <w:p w14:paraId="76F252A8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63459">
              <w:rPr>
                <w:sz w:val="18"/>
                <w:szCs w:val="18"/>
                <w:lang w:val="fr-FR"/>
              </w:rPr>
              <w:t>70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hideMark/>
          </w:tcPr>
          <w:p w14:paraId="495A016C" w14:textId="77777777" w:rsidR="00E753AD" w:rsidRPr="00C63459" w:rsidRDefault="00E753AD" w:rsidP="00C63459">
            <w:pPr>
              <w:spacing w:before="40" w:after="120" w:line="220" w:lineRule="atLeast"/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val="fr-FR"/>
              </w:rPr>
            </w:pPr>
            <w:r w:rsidRPr="00C63459">
              <w:rPr>
                <w:i/>
                <w:iCs/>
                <w:sz w:val="18"/>
                <w:szCs w:val="18"/>
                <w:lang w:val="fr-FR"/>
              </w:rPr>
              <w:t>-20 °C</w:t>
            </w:r>
          </w:p>
        </w:tc>
      </w:tr>
      <w:tr w:rsidR="00E753AD" w:rsidRPr="00C63459" w14:paraId="637F0511" w14:textId="77777777" w:rsidTr="00E73B1E">
        <w:trPr>
          <w:trHeight w:val="283"/>
        </w:trPr>
        <w:tc>
          <w:tcPr>
            <w:tcW w:w="8835" w:type="dxa"/>
            <w:gridSpan w:val="16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102E17FD" w14:textId="77777777" w:rsidR="00E753AD" w:rsidRPr="00C63459" w:rsidRDefault="00E753AD" w:rsidP="00C63459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C63459">
              <w:rPr>
                <w:i/>
                <w:iCs/>
                <w:sz w:val="18"/>
                <w:szCs w:val="18"/>
                <w:lang w:val="fr-FR"/>
              </w:rPr>
              <w:t>Minutes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535AF53D" w14:textId="77777777" w:rsidR="00E753AD" w:rsidRPr="00C63459" w:rsidRDefault="00E753AD" w:rsidP="00C63459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fr-FR"/>
              </w:rPr>
            </w:pPr>
          </w:p>
        </w:tc>
      </w:tr>
    </w:tbl>
    <w:p w14:paraId="5C154504" w14:textId="77777777" w:rsidR="00E753AD" w:rsidRPr="00CB487F" w:rsidRDefault="00E753AD" w:rsidP="006E2289">
      <w:pPr>
        <w:pStyle w:val="SingleTxtG"/>
        <w:spacing w:before="240"/>
        <w:ind w:left="2268"/>
        <w:rPr>
          <w:b/>
          <w:bCs/>
          <w:lang w:val="fr-FR"/>
        </w:rPr>
      </w:pPr>
      <w:r w:rsidRPr="00CB487F">
        <w:rPr>
          <w:b/>
          <w:bCs/>
          <w:lang w:val="fr-FR"/>
        </w:rPr>
        <w:t>La température intérieure considéré</w:t>
      </w:r>
      <w:r>
        <w:rPr>
          <w:b/>
          <w:bCs/>
          <w:lang w:val="fr-FR"/>
        </w:rPr>
        <w:t>e</w:t>
      </w:r>
      <w:r w:rsidRPr="00CB487F">
        <w:rPr>
          <w:b/>
          <w:bCs/>
          <w:lang w:val="fr-FR"/>
        </w:rPr>
        <w:t xml:space="preserve"> est la température moyenne des deux capteurs mesurée pendant la période choisie pour l</w:t>
      </w:r>
      <w:r>
        <w:rPr>
          <w:b/>
          <w:bCs/>
          <w:lang w:val="fr-FR"/>
        </w:rPr>
        <w:t>’</w:t>
      </w:r>
      <w:r w:rsidRPr="00CB487F">
        <w:rPr>
          <w:b/>
          <w:bCs/>
          <w:lang w:val="fr-FR"/>
        </w:rPr>
        <w:t>essai.</w:t>
      </w:r>
      <w:r w:rsidRPr="00CB487F">
        <w:rPr>
          <w:lang w:val="fr-FR"/>
        </w:rPr>
        <w:t xml:space="preserve"> </w:t>
      </w:r>
      <w:r w:rsidRPr="00CB487F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CB487F">
        <w:rPr>
          <w:b/>
          <w:bCs/>
          <w:lang w:val="fr-FR"/>
        </w:rPr>
        <w:t xml:space="preserve">engin est </w:t>
      </w:r>
      <w:r>
        <w:rPr>
          <w:b/>
          <w:bCs/>
          <w:lang w:val="fr-FR"/>
        </w:rPr>
        <w:t>réputé</w:t>
      </w:r>
      <w:r w:rsidRPr="00CB487F">
        <w:rPr>
          <w:b/>
          <w:bCs/>
          <w:lang w:val="fr-FR"/>
        </w:rPr>
        <w:t xml:space="preserve"> conforme s</w:t>
      </w:r>
      <w:r>
        <w:rPr>
          <w:b/>
          <w:bCs/>
          <w:lang w:val="fr-FR"/>
        </w:rPr>
        <w:t>’</w:t>
      </w:r>
      <w:r w:rsidRPr="00CB487F">
        <w:rPr>
          <w:b/>
          <w:bCs/>
          <w:lang w:val="fr-FR"/>
        </w:rPr>
        <w:t>il satisfait aux conditions suivantes :</w:t>
      </w:r>
    </w:p>
    <w:p w14:paraId="37059706" w14:textId="77777777" w:rsidR="00E753AD" w:rsidRPr="00CB487F" w:rsidRDefault="00E753AD" w:rsidP="006E2289">
      <w:pPr>
        <w:pStyle w:val="SingleTxtG"/>
        <w:ind w:left="2552"/>
        <w:rPr>
          <w:b/>
          <w:bCs/>
          <w:lang w:val="fr-FR"/>
        </w:rPr>
      </w:pPr>
      <w:r w:rsidRPr="00CB487F">
        <w:rPr>
          <w:b/>
          <w:bCs/>
          <w:lang w:val="fr-FR"/>
        </w:rPr>
        <w:t>La température intérieure moyenne est comprise dans les plages définies ci-dessus ;</w:t>
      </w:r>
    </w:p>
    <w:p w14:paraId="6C7FA296" w14:textId="77777777" w:rsidR="00E753AD" w:rsidRPr="00CB487F" w:rsidRDefault="00E753AD" w:rsidP="00E753AD">
      <w:pPr>
        <w:pStyle w:val="SingleTxtG"/>
        <w:ind w:left="2552"/>
        <w:rPr>
          <w:b/>
          <w:bCs/>
          <w:lang w:val="fr-FR"/>
        </w:rPr>
      </w:pPr>
      <w:r w:rsidRPr="00CB487F">
        <w:rPr>
          <w:b/>
          <w:bCs/>
          <w:lang w:val="fr-FR"/>
        </w:rPr>
        <w:t>Les écarts par rapport à la température de classe sont compris entre +3 °C et -3 °C.</w:t>
      </w:r>
    </w:p>
    <w:p w14:paraId="778D336C" w14:textId="77777777" w:rsidR="00E753AD" w:rsidRPr="00CB487F" w:rsidRDefault="00E753AD" w:rsidP="00E753AD">
      <w:pPr>
        <w:pStyle w:val="SingleTxtG"/>
        <w:ind w:left="2268"/>
        <w:rPr>
          <w:lang w:val="fr-FR"/>
        </w:rPr>
      </w:pPr>
      <w:r w:rsidRPr="00CB487F">
        <w:rPr>
          <w:lang w:val="fr-FR"/>
        </w:rPr>
        <w:t>Si le résultat est satisfaisant, l</w:t>
      </w:r>
      <w:r>
        <w:rPr>
          <w:lang w:val="fr-FR"/>
        </w:rPr>
        <w:t>’</w:t>
      </w:r>
      <w:r w:rsidRPr="00CB487F">
        <w:rPr>
          <w:lang w:val="fr-FR"/>
        </w:rPr>
        <w:t>engin pourra être maintenu en service comme frigorifique, dans sa classe d</w:t>
      </w:r>
      <w:r>
        <w:rPr>
          <w:lang w:val="fr-FR"/>
        </w:rPr>
        <w:t>’</w:t>
      </w:r>
      <w:r w:rsidRPr="00CB487F">
        <w:rPr>
          <w:lang w:val="fr-FR"/>
        </w:rPr>
        <w:t>origine, pour une nouvelle période d</w:t>
      </w:r>
      <w:r>
        <w:rPr>
          <w:lang w:val="fr-FR"/>
        </w:rPr>
        <w:t>’</w:t>
      </w:r>
      <w:r w:rsidRPr="00CB487F">
        <w:rPr>
          <w:lang w:val="fr-FR"/>
        </w:rPr>
        <w:t>une durée maximale de trois ans.</w:t>
      </w:r>
    </w:p>
    <w:p w14:paraId="7EFABBD4" w14:textId="53405E12" w:rsidR="00E753AD" w:rsidRPr="00CB487F" w:rsidRDefault="00E753AD" w:rsidP="00E753AD">
      <w:pPr>
        <w:pStyle w:val="SingleTxtG"/>
        <w:ind w:left="2268"/>
        <w:rPr>
          <w:lang w:val="fr-FR"/>
        </w:rPr>
      </w:pPr>
      <w:r w:rsidRPr="00CB487F">
        <w:rPr>
          <w:lang w:val="fr-FR"/>
        </w:rPr>
        <w:t>ii)</w:t>
      </w:r>
      <w:r w:rsidRPr="00CB487F">
        <w:rPr>
          <w:lang w:val="fr-FR"/>
        </w:rPr>
        <w:tab/>
        <w:t>Dispositions transitoires pour les engins non autonomes en service</w:t>
      </w:r>
      <w:r w:rsidR="00774FD0">
        <w:rPr>
          <w:lang w:val="fr-FR"/>
        </w:rPr>
        <w:t> </w:t>
      </w:r>
      <w:r w:rsidRPr="00CB487F">
        <w:rPr>
          <w:lang w:val="fr-FR"/>
        </w:rPr>
        <w:t>:</w:t>
      </w:r>
    </w:p>
    <w:p w14:paraId="7404AF1F" w14:textId="7EC78939" w:rsidR="00E753AD" w:rsidRPr="00CB487F" w:rsidRDefault="00E753AD" w:rsidP="00E753AD">
      <w:pPr>
        <w:pStyle w:val="SingleTxtG"/>
        <w:ind w:left="2268"/>
        <w:rPr>
          <w:lang w:val="fr-FR"/>
        </w:rPr>
      </w:pPr>
      <w:r w:rsidRPr="00CB487F">
        <w:rPr>
          <w:lang w:val="fr-FR"/>
        </w:rPr>
        <w:t>Dans le cas des engins construits avant le 6</w:t>
      </w:r>
      <w:r w:rsidR="00774FD0">
        <w:rPr>
          <w:lang w:val="fr-FR"/>
        </w:rPr>
        <w:t> </w:t>
      </w:r>
      <w:r w:rsidRPr="00CB487F">
        <w:rPr>
          <w:lang w:val="fr-FR"/>
        </w:rPr>
        <w:t>janvier 2018, la présente disposition ne s</w:t>
      </w:r>
      <w:r>
        <w:rPr>
          <w:lang w:val="fr-FR"/>
        </w:rPr>
        <w:t>’</w:t>
      </w:r>
      <w:r w:rsidRPr="00CB487F">
        <w:rPr>
          <w:lang w:val="fr-FR"/>
        </w:rPr>
        <w:t>applique pas. Les engins concernés doivent satisfaire aux prescriptions des alinéas</w:t>
      </w:r>
      <w:r w:rsidR="00774FD0">
        <w:rPr>
          <w:lang w:val="fr-FR"/>
        </w:rPr>
        <w:t> </w:t>
      </w:r>
      <w:r w:rsidRPr="00CB487F">
        <w:rPr>
          <w:lang w:val="fr-FR"/>
        </w:rPr>
        <w:t>i) ou ii) du présent paragraphe, en fonction de leur date de construction. ».</w:t>
      </w:r>
    </w:p>
    <w:p w14:paraId="72BF22E2" w14:textId="77777777" w:rsidR="00E753AD" w:rsidRPr="00CB487F" w:rsidRDefault="00E753AD" w:rsidP="00774FD0">
      <w:pPr>
        <w:pStyle w:val="HChG"/>
        <w:rPr>
          <w:lang w:val="fr-FR"/>
        </w:rPr>
      </w:pPr>
      <w:r w:rsidRPr="00CB487F">
        <w:rPr>
          <w:lang w:val="fr-FR"/>
        </w:rPr>
        <w:tab/>
      </w:r>
      <w:r w:rsidRPr="00CB487F">
        <w:rPr>
          <w:lang w:val="fr-FR"/>
        </w:rPr>
        <w:tab/>
        <w:t>Justification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5700"/>
      </w:tblGrid>
      <w:tr w:rsidR="00E753AD" w:rsidRPr="00CB487F" w14:paraId="4E8A5D4A" w14:textId="77777777" w:rsidTr="005D3A28">
        <w:tc>
          <w:tcPr>
            <w:tcW w:w="1421" w:type="dxa"/>
            <w:shd w:val="clear" w:color="auto" w:fill="auto"/>
          </w:tcPr>
          <w:p w14:paraId="29AA243A" w14:textId="77777777" w:rsidR="00E753AD" w:rsidRPr="00CB487F" w:rsidRDefault="00E753AD" w:rsidP="005D3A28">
            <w:pPr>
              <w:pStyle w:val="SingleTxtG"/>
              <w:ind w:left="0" w:right="0"/>
              <w:rPr>
                <w:lang w:val="fr-FR"/>
              </w:rPr>
            </w:pPr>
            <w:r w:rsidRPr="00CB487F">
              <w:rPr>
                <w:lang w:val="fr-FR"/>
              </w:rPr>
              <w:t>Coût :</w:t>
            </w:r>
          </w:p>
        </w:tc>
        <w:tc>
          <w:tcPr>
            <w:tcW w:w="5700" w:type="dxa"/>
            <w:shd w:val="clear" w:color="auto" w:fill="auto"/>
          </w:tcPr>
          <w:p w14:paraId="7F3C7CBD" w14:textId="77777777" w:rsidR="00E753AD" w:rsidRPr="00CB487F" w:rsidRDefault="00E753AD" w:rsidP="005D3A28">
            <w:pPr>
              <w:pStyle w:val="SingleTxtG"/>
              <w:ind w:left="0"/>
              <w:rPr>
                <w:lang w:val="fr-FR"/>
              </w:rPr>
            </w:pPr>
            <w:r w:rsidRPr="00CB487F">
              <w:rPr>
                <w:lang w:val="fr-FR"/>
              </w:rPr>
              <w:t>Aucune incidence</w:t>
            </w:r>
          </w:p>
        </w:tc>
      </w:tr>
      <w:tr w:rsidR="00E753AD" w:rsidRPr="000052DF" w14:paraId="1C6EFD71" w14:textId="77777777" w:rsidTr="005D3A28">
        <w:tc>
          <w:tcPr>
            <w:tcW w:w="1421" w:type="dxa"/>
            <w:shd w:val="clear" w:color="auto" w:fill="auto"/>
          </w:tcPr>
          <w:p w14:paraId="2D29B8D3" w14:textId="77777777" w:rsidR="00E753AD" w:rsidRPr="00CB487F" w:rsidRDefault="00E753AD" w:rsidP="005D3A28">
            <w:pPr>
              <w:pStyle w:val="SingleTxtG"/>
              <w:ind w:left="0" w:right="0"/>
              <w:rPr>
                <w:lang w:val="fr-FR"/>
              </w:rPr>
            </w:pPr>
            <w:r w:rsidRPr="00CB487F">
              <w:rPr>
                <w:lang w:val="fr-FR"/>
              </w:rPr>
              <w:t>Faisabilité :</w:t>
            </w:r>
          </w:p>
        </w:tc>
        <w:tc>
          <w:tcPr>
            <w:tcW w:w="5700" w:type="dxa"/>
            <w:shd w:val="clear" w:color="auto" w:fill="auto"/>
          </w:tcPr>
          <w:p w14:paraId="34A4416F" w14:textId="77777777" w:rsidR="00E753AD" w:rsidRPr="00CB487F" w:rsidRDefault="00E753AD" w:rsidP="005D3A28">
            <w:pPr>
              <w:pStyle w:val="SingleTxtG"/>
              <w:ind w:left="0" w:right="0"/>
              <w:rPr>
                <w:lang w:val="fr-FR"/>
              </w:rPr>
            </w:pPr>
            <w:r w:rsidRPr="00CB487F">
              <w:rPr>
                <w:lang w:val="fr-FR"/>
              </w:rPr>
              <w:t>Réduction des coûts énergétiques et, partant, des émissions de CO</w:t>
            </w:r>
            <w:r w:rsidRPr="00CB487F">
              <w:rPr>
                <w:vertAlign w:val="subscript"/>
                <w:lang w:val="fr-FR"/>
              </w:rPr>
              <w:t>2</w:t>
            </w:r>
            <w:r w:rsidRPr="00CB487F">
              <w:rPr>
                <w:lang w:val="fr-FR"/>
              </w:rPr>
              <w:t xml:space="preserve"> du moteur du véhicule soumis à l</w:t>
            </w:r>
            <w:r>
              <w:rPr>
                <w:lang w:val="fr-FR"/>
              </w:rPr>
              <w:t>’</w:t>
            </w:r>
            <w:r w:rsidRPr="00CB487F">
              <w:rPr>
                <w:lang w:val="fr-FR"/>
              </w:rPr>
              <w:t>essai</w:t>
            </w:r>
          </w:p>
        </w:tc>
      </w:tr>
      <w:tr w:rsidR="00E753AD" w:rsidRPr="000052DF" w14:paraId="1FF07976" w14:textId="77777777" w:rsidTr="005D3A28">
        <w:tc>
          <w:tcPr>
            <w:tcW w:w="1421" w:type="dxa"/>
            <w:shd w:val="clear" w:color="auto" w:fill="auto"/>
          </w:tcPr>
          <w:p w14:paraId="68FDA1C7" w14:textId="77777777" w:rsidR="00E753AD" w:rsidRPr="00CB487F" w:rsidRDefault="00E753AD" w:rsidP="005D3A28">
            <w:pPr>
              <w:pStyle w:val="SingleTxtG"/>
              <w:ind w:left="0"/>
              <w:rPr>
                <w:lang w:val="fr-FR"/>
              </w:rPr>
            </w:pPr>
          </w:p>
        </w:tc>
        <w:tc>
          <w:tcPr>
            <w:tcW w:w="5700" w:type="dxa"/>
            <w:shd w:val="clear" w:color="auto" w:fill="auto"/>
          </w:tcPr>
          <w:p w14:paraId="6534454E" w14:textId="77777777" w:rsidR="00E753AD" w:rsidRPr="00CB487F" w:rsidRDefault="00E753AD" w:rsidP="005D3A28">
            <w:pPr>
              <w:pStyle w:val="SingleTxtG"/>
              <w:ind w:left="0" w:right="0"/>
              <w:rPr>
                <w:lang w:val="fr-FR"/>
              </w:rPr>
            </w:pPr>
            <w:r w:rsidRPr="00CB487F">
              <w:rPr>
                <w:lang w:val="fr-FR"/>
              </w:rPr>
              <w:t>La proposition peut aisément être introduite dans l</w:t>
            </w:r>
            <w:r>
              <w:rPr>
                <w:lang w:val="fr-FR"/>
              </w:rPr>
              <w:t>’</w:t>
            </w:r>
            <w:r w:rsidRPr="00CB487F">
              <w:rPr>
                <w:lang w:val="fr-FR"/>
              </w:rPr>
              <w:t xml:space="preserve">ATP. </w:t>
            </w:r>
          </w:p>
          <w:p w14:paraId="21539E66" w14:textId="77777777" w:rsidR="00E753AD" w:rsidRPr="00CB487F" w:rsidRDefault="00E753AD" w:rsidP="005D3A28">
            <w:pPr>
              <w:pStyle w:val="SingleTxtG"/>
              <w:ind w:left="0" w:right="0"/>
              <w:rPr>
                <w:lang w:val="fr-FR"/>
              </w:rPr>
            </w:pPr>
            <w:r w:rsidRPr="00CB487F">
              <w:rPr>
                <w:lang w:val="fr-FR"/>
              </w:rPr>
              <w:t>Il n</w:t>
            </w:r>
            <w:r>
              <w:rPr>
                <w:lang w:val="fr-FR"/>
              </w:rPr>
              <w:t>’</w:t>
            </w:r>
            <w:r w:rsidRPr="00CB487F">
              <w:rPr>
                <w:lang w:val="fr-FR"/>
              </w:rPr>
              <w:t>est pas nécessaire de prévoir une période de transition.</w:t>
            </w:r>
          </w:p>
        </w:tc>
      </w:tr>
      <w:tr w:rsidR="00E753AD" w:rsidRPr="000052DF" w14:paraId="4A29464D" w14:textId="77777777" w:rsidTr="005D3A28">
        <w:tc>
          <w:tcPr>
            <w:tcW w:w="1421" w:type="dxa"/>
            <w:shd w:val="clear" w:color="auto" w:fill="auto"/>
          </w:tcPr>
          <w:p w14:paraId="67706581" w14:textId="77777777" w:rsidR="00E753AD" w:rsidRPr="00CB487F" w:rsidRDefault="00E753AD" w:rsidP="005D3A28">
            <w:pPr>
              <w:pStyle w:val="SingleTxtG"/>
              <w:ind w:left="0"/>
              <w:rPr>
                <w:lang w:val="fr-FR"/>
              </w:rPr>
            </w:pPr>
          </w:p>
        </w:tc>
        <w:tc>
          <w:tcPr>
            <w:tcW w:w="5700" w:type="dxa"/>
            <w:shd w:val="clear" w:color="auto" w:fill="auto"/>
          </w:tcPr>
          <w:p w14:paraId="5DF2E432" w14:textId="77777777" w:rsidR="00E753AD" w:rsidRPr="00CB487F" w:rsidRDefault="00E753AD" w:rsidP="005D3A28">
            <w:pPr>
              <w:pStyle w:val="SingleTxtG"/>
              <w:ind w:left="0"/>
              <w:rPr>
                <w:lang w:val="fr-FR"/>
              </w:rPr>
            </w:pPr>
          </w:p>
        </w:tc>
      </w:tr>
      <w:tr w:rsidR="00E753AD" w:rsidRPr="000052DF" w14:paraId="49D0D6CA" w14:textId="77777777" w:rsidTr="005D3A28">
        <w:tc>
          <w:tcPr>
            <w:tcW w:w="1421" w:type="dxa"/>
            <w:shd w:val="clear" w:color="auto" w:fill="auto"/>
          </w:tcPr>
          <w:p w14:paraId="2C7AE6A5" w14:textId="77777777" w:rsidR="00E753AD" w:rsidRPr="00CB487F" w:rsidRDefault="00E753AD" w:rsidP="005D3A28">
            <w:pPr>
              <w:pStyle w:val="SingleTxtG"/>
              <w:ind w:left="0" w:right="3"/>
              <w:rPr>
                <w:lang w:val="fr-FR"/>
              </w:rPr>
            </w:pPr>
            <w:r w:rsidRPr="00CB487F">
              <w:rPr>
                <w:lang w:val="fr-FR"/>
              </w:rPr>
              <w:lastRenderedPageBreak/>
              <w:t>Résultats :</w:t>
            </w:r>
          </w:p>
        </w:tc>
        <w:tc>
          <w:tcPr>
            <w:tcW w:w="5700" w:type="dxa"/>
            <w:shd w:val="clear" w:color="auto" w:fill="auto"/>
          </w:tcPr>
          <w:p w14:paraId="01EF0649" w14:textId="77777777" w:rsidR="00E753AD" w:rsidRPr="00CB487F" w:rsidRDefault="00E753AD" w:rsidP="005D3A28">
            <w:pPr>
              <w:pStyle w:val="SingleTxtG"/>
              <w:ind w:left="0"/>
              <w:rPr>
                <w:lang w:val="fr-FR"/>
              </w:rPr>
            </w:pPr>
            <w:r w:rsidRPr="00CB487F">
              <w:rPr>
                <w:lang w:val="fr-FR"/>
              </w:rPr>
              <w:t>Réduction de la consommation de carburant et du risque de défaillance mécanique du moteur des véhicules soumis à l</w:t>
            </w:r>
            <w:r>
              <w:rPr>
                <w:lang w:val="fr-FR"/>
              </w:rPr>
              <w:t>’</w:t>
            </w:r>
            <w:r w:rsidRPr="00CB487F">
              <w:rPr>
                <w:lang w:val="fr-FR"/>
              </w:rPr>
              <w:t>essai</w:t>
            </w:r>
          </w:p>
        </w:tc>
      </w:tr>
      <w:tr w:rsidR="00E753AD" w:rsidRPr="000052DF" w14:paraId="4B0412DB" w14:textId="77777777" w:rsidTr="005D3A28">
        <w:tc>
          <w:tcPr>
            <w:tcW w:w="1421" w:type="dxa"/>
            <w:shd w:val="clear" w:color="auto" w:fill="auto"/>
          </w:tcPr>
          <w:p w14:paraId="6BCCED08" w14:textId="77777777" w:rsidR="00E753AD" w:rsidRPr="00CB487F" w:rsidRDefault="00E753AD" w:rsidP="005D3A28">
            <w:pPr>
              <w:pStyle w:val="SingleTxtG"/>
              <w:ind w:left="0" w:right="0"/>
              <w:rPr>
                <w:lang w:val="fr-FR"/>
              </w:rPr>
            </w:pPr>
            <w:r w:rsidRPr="00CB487F">
              <w:rPr>
                <w:lang w:val="fr-FR"/>
              </w:rPr>
              <w:t>Applicabilité :</w:t>
            </w:r>
          </w:p>
        </w:tc>
        <w:tc>
          <w:tcPr>
            <w:tcW w:w="5700" w:type="dxa"/>
            <w:shd w:val="clear" w:color="auto" w:fill="auto"/>
          </w:tcPr>
          <w:p w14:paraId="2FAE4118" w14:textId="77777777" w:rsidR="00E753AD" w:rsidRPr="00CB487F" w:rsidRDefault="00E753AD" w:rsidP="005D3A28">
            <w:pPr>
              <w:pStyle w:val="SingleTxtG"/>
              <w:ind w:left="0" w:right="0"/>
              <w:rPr>
                <w:lang w:val="fr-FR"/>
              </w:rPr>
            </w:pPr>
            <w:r w:rsidRPr="00CB487F">
              <w:rPr>
                <w:lang w:val="fr-FR"/>
              </w:rPr>
              <w:t>Aucune difficulté n</w:t>
            </w:r>
            <w:r>
              <w:rPr>
                <w:lang w:val="fr-FR"/>
              </w:rPr>
              <w:t>’</w:t>
            </w:r>
            <w:r w:rsidRPr="00CB487F">
              <w:rPr>
                <w:lang w:val="fr-FR"/>
              </w:rPr>
              <w:t>est à prévoir.</w:t>
            </w:r>
          </w:p>
        </w:tc>
      </w:tr>
    </w:tbl>
    <w:p w14:paraId="335DBEFE" w14:textId="1BFE9225" w:rsidR="00F9573C" w:rsidRPr="00774FD0" w:rsidRDefault="00774FD0" w:rsidP="00774FD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774FD0" w:rsidSect="00E753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787A" w14:textId="77777777" w:rsidR="003E062B" w:rsidRDefault="003E062B" w:rsidP="00F95C08">
      <w:pPr>
        <w:spacing w:line="240" w:lineRule="auto"/>
      </w:pPr>
    </w:p>
  </w:endnote>
  <w:endnote w:type="continuationSeparator" w:id="0">
    <w:p w14:paraId="4106F550" w14:textId="77777777" w:rsidR="003E062B" w:rsidRPr="00AC3823" w:rsidRDefault="003E062B" w:rsidP="00AC3823">
      <w:pPr>
        <w:pStyle w:val="Pieddepage"/>
      </w:pPr>
    </w:p>
  </w:endnote>
  <w:endnote w:type="continuationNotice" w:id="1">
    <w:p w14:paraId="2036803F" w14:textId="77777777" w:rsidR="003E062B" w:rsidRDefault="003E06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7749" w14:textId="427C60D2" w:rsidR="00E753AD" w:rsidRPr="00E753AD" w:rsidRDefault="00E753AD" w:rsidP="00E753AD">
    <w:pPr>
      <w:pStyle w:val="Pieddepage"/>
      <w:tabs>
        <w:tab w:val="right" w:pos="9638"/>
      </w:tabs>
    </w:pPr>
    <w:r w:rsidRPr="00E753AD">
      <w:rPr>
        <w:b/>
        <w:sz w:val="18"/>
      </w:rPr>
      <w:fldChar w:fldCharType="begin"/>
    </w:r>
    <w:r w:rsidRPr="00E753AD">
      <w:rPr>
        <w:b/>
        <w:sz w:val="18"/>
      </w:rPr>
      <w:instrText xml:space="preserve"> PAGE  \* MERGEFORMAT </w:instrText>
    </w:r>
    <w:r w:rsidRPr="00E753AD">
      <w:rPr>
        <w:b/>
        <w:sz w:val="18"/>
      </w:rPr>
      <w:fldChar w:fldCharType="separate"/>
    </w:r>
    <w:r w:rsidRPr="00E753AD">
      <w:rPr>
        <w:b/>
        <w:noProof/>
        <w:sz w:val="18"/>
      </w:rPr>
      <w:t>2</w:t>
    </w:r>
    <w:r w:rsidRPr="00E753AD">
      <w:rPr>
        <w:b/>
        <w:sz w:val="18"/>
      </w:rPr>
      <w:fldChar w:fldCharType="end"/>
    </w:r>
    <w:r>
      <w:rPr>
        <w:b/>
        <w:sz w:val="18"/>
      </w:rPr>
      <w:tab/>
    </w:r>
    <w:r>
      <w:t>GE.23-15199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1C5C" w14:textId="7730B627" w:rsidR="00E753AD" w:rsidRPr="00E753AD" w:rsidRDefault="00E753AD" w:rsidP="00E753AD">
    <w:pPr>
      <w:pStyle w:val="Pieddepage"/>
      <w:tabs>
        <w:tab w:val="right" w:pos="9638"/>
      </w:tabs>
      <w:rPr>
        <w:b/>
        <w:sz w:val="18"/>
      </w:rPr>
    </w:pPr>
    <w:r>
      <w:t>GE.23-15199</w:t>
    </w:r>
    <w:r>
      <w:tab/>
    </w:r>
    <w:r w:rsidRPr="00E753AD">
      <w:rPr>
        <w:b/>
        <w:sz w:val="18"/>
      </w:rPr>
      <w:fldChar w:fldCharType="begin"/>
    </w:r>
    <w:r w:rsidRPr="00E753AD">
      <w:rPr>
        <w:b/>
        <w:sz w:val="18"/>
      </w:rPr>
      <w:instrText xml:space="preserve"> PAGE  \* MERGEFORMAT </w:instrText>
    </w:r>
    <w:r w:rsidRPr="00E753AD">
      <w:rPr>
        <w:b/>
        <w:sz w:val="18"/>
      </w:rPr>
      <w:fldChar w:fldCharType="separate"/>
    </w:r>
    <w:r w:rsidRPr="00E753AD">
      <w:rPr>
        <w:b/>
        <w:noProof/>
        <w:sz w:val="18"/>
      </w:rPr>
      <w:t>3</w:t>
    </w:r>
    <w:r w:rsidRPr="00E753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FB55" w14:textId="7B6F2945" w:rsidR="007F20FA" w:rsidRPr="00E753AD" w:rsidRDefault="00E753AD" w:rsidP="00E753A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B87DA2A" wp14:editId="2609671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23-15199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76E475B" wp14:editId="65C9EF2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05576296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310823    310823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BC2B" w14:textId="77777777" w:rsidR="003E062B" w:rsidRPr="00AC3823" w:rsidRDefault="003E062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FC6B0F" w14:textId="77777777" w:rsidR="003E062B" w:rsidRPr="00AC3823" w:rsidRDefault="003E062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C6C893" w14:textId="77777777" w:rsidR="003E062B" w:rsidRPr="00AC3823" w:rsidRDefault="003E062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1C82" w14:textId="252A2109" w:rsidR="00E753AD" w:rsidRPr="00E753AD" w:rsidRDefault="00E753AD">
    <w:pPr>
      <w:pStyle w:val="En-tte"/>
    </w:pPr>
    <w:fldSimple w:instr=" TITLE  \* MERGEFORMAT ">
      <w:r w:rsidR="00B7035E">
        <w:t>ECE/TRANS/WP.11/2023/11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0313" w14:textId="6CB073BA" w:rsidR="00E753AD" w:rsidRPr="00E753AD" w:rsidRDefault="00E753AD" w:rsidP="00E753AD">
    <w:pPr>
      <w:pStyle w:val="En-tte"/>
      <w:jc w:val="right"/>
    </w:pPr>
    <w:fldSimple w:instr=" TITLE  \* MERGEFORMAT ">
      <w:r w:rsidR="00B7035E">
        <w:t>ECE/TRANS/WP.11/2023/11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633973147">
    <w:abstractNumId w:val="13"/>
  </w:num>
  <w:num w:numId="2" w16cid:durableId="1642224679">
    <w:abstractNumId w:val="12"/>
  </w:num>
  <w:num w:numId="3" w16cid:durableId="1865358156">
    <w:abstractNumId w:val="10"/>
  </w:num>
  <w:num w:numId="4" w16cid:durableId="798884843">
    <w:abstractNumId w:val="8"/>
  </w:num>
  <w:num w:numId="5" w16cid:durableId="1827277487">
    <w:abstractNumId w:val="3"/>
  </w:num>
  <w:num w:numId="6" w16cid:durableId="1263681659">
    <w:abstractNumId w:val="2"/>
  </w:num>
  <w:num w:numId="7" w16cid:durableId="1673869336">
    <w:abstractNumId w:val="1"/>
  </w:num>
  <w:num w:numId="8" w16cid:durableId="436828363">
    <w:abstractNumId w:val="0"/>
  </w:num>
  <w:num w:numId="9" w16cid:durableId="687609111">
    <w:abstractNumId w:val="9"/>
  </w:num>
  <w:num w:numId="10" w16cid:durableId="1645232429">
    <w:abstractNumId w:val="7"/>
  </w:num>
  <w:num w:numId="11" w16cid:durableId="2071153912">
    <w:abstractNumId w:val="6"/>
  </w:num>
  <w:num w:numId="12" w16cid:durableId="1140540516">
    <w:abstractNumId w:val="5"/>
  </w:num>
  <w:num w:numId="13" w16cid:durableId="457993779">
    <w:abstractNumId w:val="4"/>
  </w:num>
  <w:num w:numId="14" w16cid:durableId="1706636088">
    <w:abstractNumId w:val="13"/>
  </w:num>
  <w:num w:numId="15" w16cid:durableId="1044981341">
    <w:abstractNumId w:val="12"/>
  </w:num>
  <w:num w:numId="16" w16cid:durableId="1106340457">
    <w:abstractNumId w:val="10"/>
  </w:num>
  <w:num w:numId="17" w16cid:durableId="9767618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2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4E7E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E062B"/>
    <w:rsid w:val="00421996"/>
    <w:rsid w:val="00441259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662EC"/>
    <w:rsid w:val="006E2289"/>
    <w:rsid w:val="0071601D"/>
    <w:rsid w:val="00774FD0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035E"/>
    <w:rsid w:val="00B765F7"/>
    <w:rsid w:val="00B77993"/>
    <w:rsid w:val="00BA0CA9"/>
    <w:rsid w:val="00BB2A53"/>
    <w:rsid w:val="00BB6913"/>
    <w:rsid w:val="00C02897"/>
    <w:rsid w:val="00C63459"/>
    <w:rsid w:val="00C97039"/>
    <w:rsid w:val="00D3439C"/>
    <w:rsid w:val="00D7622E"/>
    <w:rsid w:val="00DB1831"/>
    <w:rsid w:val="00DD3BFD"/>
    <w:rsid w:val="00DF6678"/>
    <w:rsid w:val="00E0299A"/>
    <w:rsid w:val="00E73B1E"/>
    <w:rsid w:val="00E753AD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ECE80"/>
  <w15:docId w15:val="{351B8BEF-3139-42D1-9C36-7C0D678C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E753A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E753AD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96917-E956-492E-A13F-AAF02D907F3C}"/>
</file>

<file path=customXml/itemProps2.xml><?xml version="1.0" encoding="utf-8"?>
<ds:datastoreItem xmlns:ds="http://schemas.openxmlformats.org/officeDocument/2006/customXml" ds:itemID="{2DFB781A-7970-4FD3-B861-BE838CBF29D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4</Pages>
  <Words>1224</Words>
  <Characters>6061</Characters>
  <Application>Microsoft Office Word</Application>
  <DocSecurity>0</DocSecurity>
  <Lines>273</Lines>
  <Paragraphs>198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ECE/TRANS/WP.11/2023/11</vt:lpstr>
    </vt:vector>
  </TitlesOfParts>
  <Company>DCM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ECE/TRANS/WP.11/2023/11</dc:title>
  <dc:subject/>
  <dc:creator>Christine CHAUTAGNAT</dc:creator>
  <cp:keywords/>
  <cp:lastModifiedBy>Christine Chautagnat</cp:lastModifiedBy>
  <cp:revision>3</cp:revision>
  <cp:lastPrinted>2023-08-31T15:00:00Z</cp:lastPrinted>
  <dcterms:created xsi:type="dcterms:W3CDTF">2023-08-31T15:00:00Z</dcterms:created>
  <dcterms:modified xsi:type="dcterms:W3CDTF">2023-08-31T15:01:00Z</dcterms:modified>
</cp:coreProperties>
</file>