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80EE0" w14:paraId="64963C89" w14:textId="77777777" w:rsidTr="00B20551">
        <w:trPr>
          <w:cantSplit/>
          <w:trHeight w:hRule="exact" w:val="851"/>
        </w:trPr>
        <w:tc>
          <w:tcPr>
            <w:tcW w:w="1276" w:type="dxa"/>
            <w:tcBorders>
              <w:bottom w:val="single" w:sz="4" w:space="0" w:color="auto"/>
            </w:tcBorders>
            <w:vAlign w:val="bottom"/>
          </w:tcPr>
          <w:p w14:paraId="6B1AA480" w14:textId="77777777" w:rsidR="009E6CB7" w:rsidRPr="00280EE0" w:rsidRDefault="009E6CB7" w:rsidP="00B20551">
            <w:pPr>
              <w:spacing w:after="80"/>
            </w:pPr>
          </w:p>
        </w:tc>
        <w:tc>
          <w:tcPr>
            <w:tcW w:w="2268" w:type="dxa"/>
            <w:tcBorders>
              <w:bottom w:val="single" w:sz="4" w:space="0" w:color="auto"/>
            </w:tcBorders>
            <w:vAlign w:val="bottom"/>
          </w:tcPr>
          <w:p w14:paraId="7825B630" w14:textId="77777777" w:rsidR="009E6CB7" w:rsidRPr="00280EE0" w:rsidRDefault="009E6CB7" w:rsidP="00B20551">
            <w:pPr>
              <w:spacing w:after="80" w:line="300" w:lineRule="exact"/>
              <w:rPr>
                <w:b/>
                <w:sz w:val="24"/>
                <w:szCs w:val="24"/>
              </w:rPr>
            </w:pPr>
            <w:r w:rsidRPr="00280EE0">
              <w:rPr>
                <w:sz w:val="28"/>
                <w:szCs w:val="28"/>
              </w:rPr>
              <w:t>United Nations</w:t>
            </w:r>
          </w:p>
        </w:tc>
        <w:tc>
          <w:tcPr>
            <w:tcW w:w="6095" w:type="dxa"/>
            <w:gridSpan w:val="2"/>
            <w:tcBorders>
              <w:bottom w:val="single" w:sz="4" w:space="0" w:color="auto"/>
            </w:tcBorders>
            <w:vAlign w:val="bottom"/>
          </w:tcPr>
          <w:p w14:paraId="59CB3AA9" w14:textId="7F9E2A00" w:rsidR="009E6CB7" w:rsidRPr="00280EE0" w:rsidRDefault="00530315" w:rsidP="00530315">
            <w:pPr>
              <w:jc w:val="right"/>
            </w:pPr>
            <w:r w:rsidRPr="00280EE0">
              <w:rPr>
                <w:sz w:val="40"/>
              </w:rPr>
              <w:t>ECE</w:t>
            </w:r>
            <w:r w:rsidRPr="00280EE0">
              <w:t>/TRANS/WP.15/2023/13</w:t>
            </w:r>
          </w:p>
        </w:tc>
      </w:tr>
      <w:tr w:rsidR="009E6CB7" w:rsidRPr="00280EE0" w14:paraId="6953A944" w14:textId="77777777" w:rsidTr="00B20551">
        <w:trPr>
          <w:cantSplit/>
          <w:trHeight w:hRule="exact" w:val="2835"/>
        </w:trPr>
        <w:tc>
          <w:tcPr>
            <w:tcW w:w="1276" w:type="dxa"/>
            <w:tcBorders>
              <w:top w:val="single" w:sz="4" w:space="0" w:color="auto"/>
              <w:bottom w:val="single" w:sz="12" w:space="0" w:color="auto"/>
            </w:tcBorders>
          </w:tcPr>
          <w:p w14:paraId="729D371F" w14:textId="77777777" w:rsidR="009E6CB7" w:rsidRPr="00280EE0" w:rsidRDefault="00686A48" w:rsidP="00B20551">
            <w:pPr>
              <w:spacing w:before="120"/>
            </w:pPr>
            <w:r w:rsidRPr="00280EE0">
              <w:rPr>
                <w:noProof/>
                <w:lang w:eastAsia="fr-CH"/>
              </w:rPr>
              <w:drawing>
                <wp:inline distT="0" distB="0" distL="0" distR="0" wp14:anchorId="706D3FBF" wp14:editId="2A33677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589AEC" w14:textId="77777777" w:rsidR="009E6CB7" w:rsidRPr="00280EE0" w:rsidRDefault="009E6CB7" w:rsidP="00B20551">
            <w:pPr>
              <w:spacing w:before="120" w:line="420" w:lineRule="exact"/>
              <w:rPr>
                <w:sz w:val="40"/>
                <w:szCs w:val="40"/>
              </w:rPr>
            </w:pPr>
            <w:r w:rsidRPr="00280EE0">
              <w:rPr>
                <w:b/>
                <w:sz w:val="40"/>
                <w:szCs w:val="40"/>
              </w:rPr>
              <w:t>Economic and Social Council</w:t>
            </w:r>
          </w:p>
        </w:tc>
        <w:tc>
          <w:tcPr>
            <w:tcW w:w="2835" w:type="dxa"/>
            <w:tcBorders>
              <w:top w:val="single" w:sz="4" w:space="0" w:color="auto"/>
              <w:bottom w:val="single" w:sz="12" w:space="0" w:color="auto"/>
            </w:tcBorders>
          </w:tcPr>
          <w:p w14:paraId="13806323" w14:textId="77777777" w:rsidR="009E6CB7" w:rsidRPr="00280EE0" w:rsidRDefault="00530315" w:rsidP="00530315">
            <w:pPr>
              <w:spacing w:before="240" w:line="240" w:lineRule="exact"/>
            </w:pPr>
            <w:r w:rsidRPr="00280EE0">
              <w:t>Distr.: General</w:t>
            </w:r>
          </w:p>
          <w:p w14:paraId="7EFE3EB1" w14:textId="51BEF6E6" w:rsidR="00530315" w:rsidRPr="00280EE0" w:rsidRDefault="00124CB1" w:rsidP="00530315">
            <w:pPr>
              <w:spacing w:line="240" w:lineRule="exact"/>
            </w:pPr>
            <w:r w:rsidRPr="00280EE0">
              <w:t>16</w:t>
            </w:r>
            <w:r w:rsidR="00530315" w:rsidRPr="00280EE0">
              <w:t xml:space="preserve"> August 2023</w:t>
            </w:r>
          </w:p>
          <w:p w14:paraId="01CD224D" w14:textId="77777777" w:rsidR="00530315" w:rsidRPr="00280EE0" w:rsidRDefault="00530315" w:rsidP="00530315">
            <w:pPr>
              <w:spacing w:line="240" w:lineRule="exact"/>
            </w:pPr>
          </w:p>
          <w:p w14:paraId="263C108D" w14:textId="35A998A6" w:rsidR="00530315" w:rsidRPr="00280EE0" w:rsidRDefault="00530315" w:rsidP="00530315">
            <w:pPr>
              <w:spacing w:line="240" w:lineRule="exact"/>
            </w:pPr>
            <w:r w:rsidRPr="00280EE0">
              <w:t>Original: English</w:t>
            </w:r>
          </w:p>
        </w:tc>
      </w:tr>
    </w:tbl>
    <w:p w14:paraId="27CD0747" w14:textId="77777777" w:rsidR="00A515DB" w:rsidRPr="00280EE0" w:rsidRDefault="00A515DB" w:rsidP="00C411EB">
      <w:pPr>
        <w:spacing w:before="120"/>
        <w:rPr>
          <w:b/>
          <w:sz w:val="28"/>
          <w:szCs w:val="28"/>
        </w:rPr>
      </w:pPr>
      <w:r w:rsidRPr="00280EE0">
        <w:rPr>
          <w:b/>
          <w:sz w:val="28"/>
          <w:szCs w:val="28"/>
        </w:rPr>
        <w:t>Economic Commission for Europe</w:t>
      </w:r>
    </w:p>
    <w:p w14:paraId="7F9CE5A3" w14:textId="77777777" w:rsidR="00A515DB" w:rsidRPr="00280EE0" w:rsidRDefault="00A515DB" w:rsidP="00C411EB">
      <w:pPr>
        <w:spacing w:before="120"/>
        <w:rPr>
          <w:sz w:val="28"/>
          <w:szCs w:val="28"/>
        </w:rPr>
      </w:pPr>
      <w:r w:rsidRPr="00280EE0">
        <w:rPr>
          <w:sz w:val="28"/>
          <w:szCs w:val="28"/>
        </w:rPr>
        <w:t>Inland Transport Committee</w:t>
      </w:r>
    </w:p>
    <w:p w14:paraId="41229CEB" w14:textId="77777777" w:rsidR="00A515DB" w:rsidRPr="00280EE0" w:rsidRDefault="00A515DB" w:rsidP="00C411EB">
      <w:pPr>
        <w:spacing w:before="120"/>
        <w:rPr>
          <w:b/>
          <w:sz w:val="24"/>
          <w:szCs w:val="24"/>
        </w:rPr>
      </w:pPr>
      <w:r w:rsidRPr="00280EE0">
        <w:rPr>
          <w:b/>
          <w:sz w:val="24"/>
          <w:szCs w:val="24"/>
        </w:rPr>
        <w:t>Working Party on the Transport of Dangerous Goods</w:t>
      </w:r>
    </w:p>
    <w:p w14:paraId="67EAC334" w14:textId="0CC1FCB3" w:rsidR="00A515DB" w:rsidRPr="00280EE0" w:rsidRDefault="00A515DB" w:rsidP="00C411EB">
      <w:pPr>
        <w:spacing w:before="120"/>
        <w:rPr>
          <w:rFonts w:eastAsia="SimSun"/>
          <w:b/>
        </w:rPr>
      </w:pPr>
      <w:r w:rsidRPr="00280EE0">
        <w:rPr>
          <w:rFonts w:eastAsia="SimSun"/>
          <w:b/>
        </w:rPr>
        <w:t xml:space="preserve">114th session </w:t>
      </w:r>
    </w:p>
    <w:p w14:paraId="344F87F2" w14:textId="0158C5DA" w:rsidR="00A515DB" w:rsidRPr="00280EE0" w:rsidRDefault="00A515DB" w:rsidP="00C411EB">
      <w:pPr>
        <w:rPr>
          <w:rFonts w:eastAsia="SimSun"/>
        </w:rPr>
      </w:pPr>
      <w:r w:rsidRPr="00280EE0">
        <w:rPr>
          <w:rFonts w:eastAsia="SimSun"/>
        </w:rPr>
        <w:t>Geneva, 6-10 November 2023</w:t>
      </w:r>
    </w:p>
    <w:p w14:paraId="6A1F1186" w14:textId="3484305D" w:rsidR="00A515DB" w:rsidRPr="00280EE0" w:rsidRDefault="00A515DB" w:rsidP="00C411EB">
      <w:pPr>
        <w:autoSpaceDE w:val="0"/>
        <w:autoSpaceDN w:val="0"/>
        <w:adjustRightInd w:val="0"/>
      </w:pPr>
      <w:r w:rsidRPr="00280EE0">
        <w:t>Item 5 (a) of the provisional agenda</w:t>
      </w:r>
    </w:p>
    <w:p w14:paraId="57F7F6EB" w14:textId="77777777" w:rsidR="00F445C3" w:rsidRPr="00280EE0" w:rsidRDefault="00F445C3" w:rsidP="00C411EB">
      <w:pPr>
        <w:rPr>
          <w:b/>
        </w:rPr>
      </w:pPr>
      <w:r w:rsidRPr="00280EE0">
        <w:rPr>
          <w:b/>
        </w:rPr>
        <w:t>Proposals for amendments to annexes A and B of ADR:</w:t>
      </w:r>
    </w:p>
    <w:p w14:paraId="65D65149" w14:textId="5EC88D1B" w:rsidR="001C6663" w:rsidRPr="00280EE0" w:rsidRDefault="00F445C3" w:rsidP="00C411EB">
      <w:pPr>
        <w:rPr>
          <w:b/>
        </w:rPr>
      </w:pPr>
      <w:r w:rsidRPr="00280EE0">
        <w:rPr>
          <w:b/>
        </w:rPr>
        <w:t>Construction and approval of vehicles</w:t>
      </w:r>
    </w:p>
    <w:p w14:paraId="2257C6A6" w14:textId="44433A54" w:rsidR="00F445C3" w:rsidRPr="00280EE0" w:rsidRDefault="00D175AD" w:rsidP="001302CA">
      <w:pPr>
        <w:pStyle w:val="HChG"/>
      </w:pPr>
      <w:r w:rsidRPr="00280EE0">
        <w:tab/>
      </w:r>
      <w:r w:rsidRPr="00280EE0">
        <w:tab/>
        <w:t>Section 9.7.6 – Rear protection of vehicles</w:t>
      </w:r>
    </w:p>
    <w:p w14:paraId="2B28FFF5" w14:textId="21997C6C" w:rsidR="00EE0D92" w:rsidRPr="00280EE0" w:rsidRDefault="00EE0D92" w:rsidP="00EE0D92">
      <w:pPr>
        <w:pStyle w:val="H1G"/>
        <w:rPr>
          <w:sz w:val="20"/>
          <w:lang w:eastAsia="ru-RU"/>
        </w:rPr>
      </w:pPr>
      <w:r w:rsidRPr="00280EE0">
        <w:tab/>
      </w:r>
      <w:r w:rsidRPr="00280EE0">
        <w:tab/>
      </w:r>
      <w:r w:rsidRPr="00280EE0">
        <w:rPr>
          <w:lang w:eastAsia="ru-RU"/>
        </w:rPr>
        <w:t>Transmitted by the Government of the United Kingdom</w:t>
      </w:r>
      <w:r w:rsidRPr="00280EE0">
        <w:rPr>
          <w:rStyle w:val="FootnoteReference"/>
          <w:sz w:val="20"/>
          <w:vertAlign w:val="baseline"/>
          <w:lang w:eastAsia="ru-RU"/>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F0447" w:rsidRPr="00280EE0" w14:paraId="6D76FA5A" w14:textId="77777777" w:rsidTr="007B0B51">
        <w:trPr>
          <w:jc w:val="center"/>
        </w:trPr>
        <w:tc>
          <w:tcPr>
            <w:tcW w:w="9629" w:type="dxa"/>
            <w:shd w:val="clear" w:color="auto" w:fill="auto"/>
          </w:tcPr>
          <w:p w14:paraId="2C4BA7F4" w14:textId="77777777" w:rsidR="003F0447" w:rsidRPr="00280EE0" w:rsidRDefault="003F0447" w:rsidP="006E5E26">
            <w:pPr>
              <w:spacing w:before="240" w:after="120"/>
              <w:ind w:left="255"/>
              <w:rPr>
                <w:i/>
                <w:sz w:val="24"/>
              </w:rPr>
            </w:pPr>
            <w:r w:rsidRPr="00280EE0">
              <w:rPr>
                <w:i/>
                <w:sz w:val="24"/>
              </w:rPr>
              <w:t>Summary</w:t>
            </w:r>
          </w:p>
        </w:tc>
      </w:tr>
      <w:tr w:rsidR="007B0B51" w:rsidRPr="00280EE0" w14:paraId="31637D07" w14:textId="77777777" w:rsidTr="007B0B51">
        <w:trPr>
          <w:jc w:val="center"/>
        </w:trPr>
        <w:tc>
          <w:tcPr>
            <w:tcW w:w="9629" w:type="dxa"/>
            <w:shd w:val="clear" w:color="auto" w:fill="auto"/>
          </w:tcPr>
          <w:p w14:paraId="086F502D" w14:textId="3C9A10CE" w:rsidR="007B0B51" w:rsidRPr="00280EE0" w:rsidRDefault="007B0B51" w:rsidP="00473BEA">
            <w:pPr>
              <w:pStyle w:val="SingleTxtG"/>
              <w:ind w:left="3252" w:hanging="2118"/>
            </w:pPr>
            <w:r w:rsidRPr="00280EE0">
              <w:rPr>
                <w:b/>
              </w:rPr>
              <w:t>Executive summary:</w:t>
            </w:r>
            <w:r w:rsidRPr="00280EE0">
              <w:tab/>
              <w:t>Proposals to clarify the requirements of ADR 9.7.6. in respect to rear protection of vehicles and the minimum distance required between the rear of a tank and the rear of the bumper to ensure a uniform interpretation.</w:t>
            </w:r>
          </w:p>
        </w:tc>
      </w:tr>
      <w:tr w:rsidR="007B0B51" w:rsidRPr="00280EE0" w14:paraId="7DA0C989" w14:textId="77777777" w:rsidTr="007B0B51">
        <w:trPr>
          <w:jc w:val="center"/>
        </w:trPr>
        <w:tc>
          <w:tcPr>
            <w:tcW w:w="9629" w:type="dxa"/>
            <w:shd w:val="clear" w:color="auto" w:fill="auto"/>
          </w:tcPr>
          <w:p w14:paraId="6462DEDA" w14:textId="77777777" w:rsidR="007B0B51" w:rsidRPr="00280EE0" w:rsidRDefault="007B0B51" w:rsidP="001302CA">
            <w:pPr>
              <w:tabs>
                <w:tab w:val="left" w:pos="3260"/>
              </w:tabs>
              <w:ind w:left="3555" w:right="856" w:hanging="2421"/>
            </w:pPr>
            <w:r w:rsidRPr="00280EE0">
              <w:rPr>
                <w:b/>
              </w:rPr>
              <w:t>Action to be taken:</w:t>
            </w:r>
            <w:r w:rsidRPr="00280EE0">
              <w:rPr>
                <w:b/>
              </w:rPr>
              <w:tab/>
            </w:r>
            <w:r w:rsidRPr="00280EE0">
              <w:rPr>
                <w:bCs/>
              </w:rPr>
              <w:t>Amend ADR 9.7.6.</w:t>
            </w:r>
          </w:p>
          <w:p w14:paraId="50C0559A" w14:textId="77777777" w:rsidR="007B0B51" w:rsidRPr="00280EE0" w:rsidRDefault="007B0B51" w:rsidP="007B0B51"/>
        </w:tc>
      </w:tr>
      <w:tr w:rsidR="007B0B51" w:rsidRPr="00280EE0" w14:paraId="4BF44536" w14:textId="77777777" w:rsidTr="007B0B51">
        <w:trPr>
          <w:jc w:val="center"/>
        </w:trPr>
        <w:tc>
          <w:tcPr>
            <w:tcW w:w="9629" w:type="dxa"/>
            <w:shd w:val="clear" w:color="auto" w:fill="auto"/>
          </w:tcPr>
          <w:p w14:paraId="4BDEFEC7" w14:textId="277675D8" w:rsidR="007B0B51" w:rsidRPr="00280EE0" w:rsidRDefault="007B0B51" w:rsidP="001302CA">
            <w:pPr>
              <w:tabs>
                <w:tab w:val="left" w:pos="3260"/>
              </w:tabs>
              <w:ind w:left="3252" w:right="856" w:hanging="2127"/>
            </w:pPr>
            <w:r w:rsidRPr="00280EE0">
              <w:rPr>
                <w:b/>
              </w:rPr>
              <w:t>Related documents:</w:t>
            </w:r>
            <w:r w:rsidRPr="00280EE0">
              <w:rPr>
                <w:b/>
              </w:rPr>
              <w:tab/>
            </w:r>
            <w:r w:rsidRPr="00280EE0">
              <w:rPr>
                <w:bCs/>
              </w:rPr>
              <w:t xml:space="preserve">ECE/TRANS/WP.15/2020/5 </w:t>
            </w:r>
            <w:r w:rsidR="00CA46E6" w:rsidRPr="00280EE0">
              <w:rPr>
                <w:bCs/>
              </w:rPr>
              <w:t xml:space="preserve">and informal document INF.16 </w:t>
            </w:r>
            <w:r w:rsidR="00AB1654" w:rsidRPr="00280EE0">
              <w:rPr>
                <w:bCs/>
              </w:rPr>
              <w:t>(</w:t>
            </w:r>
            <w:r w:rsidR="00CA46E6" w:rsidRPr="00280EE0">
              <w:rPr>
                <w:bCs/>
              </w:rPr>
              <w:t>108</w:t>
            </w:r>
            <w:r w:rsidR="00CA46E6" w:rsidRPr="00280EE0">
              <w:rPr>
                <w:bCs/>
                <w:vertAlign w:val="superscript"/>
              </w:rPr>
              <w:t>th</w:t>
            </w:r>
            <w:r w:rsidR="001B2CE5" w:rsidRPr="00280EE0">
              <w:rPr>
                <w:bCs/>
                <w:vertAlign w:val="superscript"/>
              </w:rPr>
              <w:t> </w:t>
            </w:r>
            <w:r w:rsidR="00CA46E6" w:rsidRPr="00280EE0">
              <w:rPr>
                <w:bCs/>
              </w:rPr>
              <w:t>session</w:t>
            </w:r>
            <w:r w:rsidR="00AB1654" w:rsidRPr="00280EE0">
              <w:rPr>
                <w:bCs/>
              </w:rPr>
              <w:t>)</w:t>
            </w:r>
            <w:r w:rsidR="00217E9A" w:rsidRPr="00280EE0">
              <w:rPr>
                <w:bCs/>
              </w:rPr>
              <w:t>;</w:t>
            </w:r>
            <w:r w:rsidRPr="00280EE0">
              <w:rPr>
                <w:bCs/>
              </w:rPr>
              <w:t xml:space="preserve"> ECE-TRANS</w:t>
            </w:r>
            <w:r w:rsidR="00217E9A" w:rsidRPr="00280EE0">
              <w:rPr>
                <w:bCs/>
              </w:rPr>
              <w:t>/</w:t>
            </w:r>
            <w:r w:rsidRPr="00280EE0">
              <w:rPr>
                <w:bCs/>
              </w:rPr>
              <w:t>WP</w:t>
            </w:r>
            <w:r w:rsidR="00217E9A" w:rsidRPr="00280EE0">
              <w:rPr>
                <w:bCs/>
              </w:rPr>
              <w:t>.</w:t>
            </w:r>
            <w:r w:rsidRPr="00280EE0">
              <w:rPr>
                <w:bCs/>
              </w:rPr>
              <w:t>15</w:t>
            </w:r>
            <w:r w:rsidR="00217E9A" w:rsidRPr="00280EE0">
              <w:rPr>
                <w:bCs/>
              </w:rPr>
              <w:t>/</w:t>
            </w:r>
            <w:r w:rsidRPr="00280EE0">
              <w:rPr>
                <w:bCs/>
              </w:rPr>
              <w:t>2021</w:t>
            </w:r>
            <w:r w:rsidR="00217E9A" w:rsidRPr="00280EE0">
              <w:rPr>
                <w:bCs/>
              </w:rPr>
              <w:t>/</w:t>
            </w:r>
            <w:r w:rsidRPr="00280EE0">
              <w:rPr>
                <w:bCs/>
              </w:rPr>
              <w:t xml:space="preserve">7 </w:t>
            </w:r>
            <w:r w:rsidR="00217E9A" w:rsidRPr="00280EE0">
              <w:rPr>
                <w:bCs/>
              </w:rPr>
              <w:t xml:space="preserve">and informal document INF.5 </w:t>
            </w:r>
            <w:r w:rsidR="00AB1654" w:rsidRPr="00280EE0">
              <w:rPr>
                <w:bCs/>
              </w:rPr>
              <w:t>(</w:t>
            </w:r>
            <w:r w:rsidR="00217E9A" w:rsidRPr="00280EE0">
              <w:rPr>
                <w:bCs/>
              </w:rPr>
              <w:t>109</w:t>
            </w:r>
            <w:r w:rsidR="00217E9A" w:rsidRPr="00280EE0">
              <w:rPr>
                <w:bCs/>
                <w:vertAlign w:val="superscript"/>
              </w:rPr>
              <w:t>th</w:t>
            </w:r>
            <w:r w:rsidR="00217E9A" w:rsidRPr="00280EE0">
              <w:rPr>
                <w:bCs/>
              </w:rPr>
              <w:t xml:space="preserve"> sess</w:t>
            </w:r>
            <w:r w:rsidR="00211F38" w:rsidRPr="00280EE0">
              <w:rPr>
                <w:bCs/>
              </w:rPr>
              <w:t>ion</w:t>
            </w:r>
            <w:r w:rsidR="00AB1654" w:rsidRPr="00280EE0">
              <w:rPr>
                <w:bCs/>
              </w:rPr>
              <w:t>)</w:t>
            </w:r>
            <w:r w:rsidR="00211F38" w:rsidRPr="00280EE0">
              <w:rPr>
                <w:bCs/>
              </w:rPr>
              <w:t>;</w:t>
            </w:r>
            <w:r w:rsidRPr="00280EE0">
              <w:rPr>
                <w:bCs/>
              </w:rPr>
              <w:t xml:space="preserve"> ECE</w:t>
            </w:r>
            <w:r w:rsidR="00211F38" w:rsidRPr="00280EE0">
              <w:rPr>
                <w:bCs/>
              </w:rPr>
              <w:t>/</w:t>
            </w:r>
            <w:r w:rsidRPr="00280EE0">
              <w:rPr>
                <w:bCs/>
              </w:rPr>
              <w:t xml:space="preserve">TRANS/WP.15/253 </w:t>
            </w:r>
            <w:r w:rsidR="00AB1654" w:rsidRPr="00280EE0">
              <w:rPr>
                <w:bCs/>
              </w:rPr>
              <w:t xml:space="preserve">paragraphs </w:t>
            </w:r>
            <w:r w:rsidRPr="00280EE0">
              <w:rPr>
                <w:bCs/>
              </w:rPr>
              <w:t>19-22</w:t>
            </w:r>
            <w:r w:rsidR="00AB1654" w:rsidRPr="00280EE0">
              <w:rPr>
                <w:bCs/>
              </w:rPr>
              <w:t>;</w:t>
            </w:r>
            <w:r w:rsidRPr="00280EE0">
              <w:rPr>
                <w:bCs/>
              </w:rPr>
              <w:t xml:space="preserve"> ECE/TRANS/WP.15/AC.1/158/Add.1 (item 9)</w:t>
            </w:r>
            <w:r w:rsidR="00AB1654" w:rsidRPr="00280EE0">
              <w:rPr>
                <w:bCs/>
              </w:rPr>
              <w:t>;</w:t>
            </w:r>
            <w:r w:rsidRPr="00280EE0">
              <w:rPr>
                <w:bCs/>
              </w:rPr>
              <w:t xml:space="preserve"> ECE/TRANS/WP.15/2023/1 </w:t>
            </w:r>
            <w:r w:rsidR="00AB1654" w:rsidRPr="00280EE0">
              <w:rPr>
                <w:bCs/>
              </w:rPr>
              <w:t xml:space="preserve">and informal document </w:t>
            </w:r>
            <w:r w:rsidRPr="00280EE0">
              <w:rPr>
                <w:bCs/>
              </w:rPr>
              <w:t>INF.9 (113</w:t>
            </w:r>
            <w:r w:rsidRPr="00280EE0">
              <w:rPr>
                <w:bCs/>
                <w:vertAlign w:val="superscript"/>
              </w:rPr>
              <w:t>th</w:t>
            </w:r>
            <w:r w:rsidRPr="00280EE0">
              <w:rPr>
                <w:bCs/>
              </w:rPr>
              <w:t xml:space="preserve"> session)</w:t>
            </w:r>
            <w:r w:rsidR="00AB1654" w:rsidRPr="00280EE0">
              <w:rPr>
                <w:bCs/>
              </w:rPr>
              <w:t>;</w:t>
            </w:r>
            <w:r w:rsidRPr="00280EE0">
              <w:rPr>
                <w:bCs/>
              </w:rPr>
              <w:t xml:space="preserve"> </w:t>
            </w:r>
            <w:r w:rsidRPr="00280EE0">
              <w:t>ECE/TRANS/WP.15/262</w:t>
            </w:r>
          </w:p>
          <w:p w14:paraId="2F939628" w14:textId="77AD3BE0" w:rsidR="0093156F" w:rsidRPr="00280EE0" w:rsidRDefault="0093156F" w:rsidP="007B0B51">
            <w:pPr>
              <w:tabs>
                <w:tab w:val="left" w:pos="3260"/>
              </w:tabs>
              <w:ind w:left="3260" w:right="858" w:hanging="2419"/>
              <w:rPr>
                <w:b/>
              </w:rPr>
            </w:pPr>
          </w:p>
        </w:tc>
      </w:tr>
    </w:tbl>
    <w:p w14:paraId="560737E4" w14:textId="1316C385" w:rsidR="0093156F" w:rsidRPr="00280EE0" w:rsidRDefault="0093156F" w:rsidP="003F0447">
      <w:pPr>
        <w:rPr>
          <w:lang w:eastAsia="ru-RU"/>
        </w:rPr>
      </w:pPr>
    </w:p>
    <w:p w14:paraId="6B5772DF" w14:textId="77777777" w:rsidR="0093156F" w:rsidRPr="00280EE0" w:rsidRDefault="0093156F">
      <w:pPr>
        <w:rPr>
          <w:lang w:eastAsia="ru-RU"/>
        </w:rPr>
      </w:pPr>
      <w:r w:rsidRPr="00280EE0">
        <w:rPr>
          <w:lang w:eastAsia="ru-RU"/>
        </w:rPr>
        <w:br w:type="page"/>
      </w:r>
    </w:p>
    <w:p w14:paraId="6A205466" w14:textId="48416E83" w:rsidR="001B1D09" w:rsidRPr="00280EE0" w:rsidRDefault="001B1D09" w:rsidP="001B1D09">
      <w:pPr>
        <w:pStyle w:val="HChG"/>
      </w:pPr>
      <w:r w:rsidRPr="00280EE0">
        <w:lastRenderedPageBreak/>
        <w:tab/>
      </w:r>
      <w:r w:rsidRPr="00280EE0">
        <w:tab/>
        <w:t xml:space="preserve">Background </w:t>
      </w:r>
    </w:p>
    <w:p w14:paraId="04CA0C74" w14:textId="70EB5347" w:rsidR="001B1D09" w:rsidRPr="00280EE0" w:rsidRDefault="001B1D09" w:rsidP="001B1D09">
      <w:pPr>
        <w:pStyle w:val="SingleTxtG"/>
      </w:pPr>
      <w:r w:rsidRPr="00280EE0">
        <w:t>1.</w:t>
      </w:r>
      <w:r w:rsidRPr="00280EE0">
        <w:tab/>
        <w:t>Proposals submitted to the 108</w:t>
      </w:r>
      <w:r w:rsidRPr="00280EE0">
        <w:rPr>
          <w:vertAlign w:val="superscript"/>
        </w:rPr>
        <w:t>th</w:t>
      </w:r>
      <w:r w:rsidRPr="00280EE0">
        <w:t>, 109</w:t>
      </w:r>
      <w:r w:rsidRPr="00280EE0">
        <w:rPr>
          <w:vertAlign w:val="superscript"/>
        </w:rPr>
        <w:t>th</w:t>
      </w:r>
      <w:r w:rsidRPr="00280EE0">
        <w:t xml:space="preserve"> and 113</w:t>
      </w:r>
      <w:r w:rsidRPr="00280EE0">
        <w:rPr>
          <w:vertAlign w:val="superscript"/>
        </w:rPr>
        <w:t>th</w:t>
      </w:r>
      <w:r w:rsidRPr="00280EE0">
        <w:t xml:space="preserve"> sessions sought to clarify the reference points for measurement of the distance required between the rear of a tank and the rear of the bumper which is set out in ADR 9.7.6. We also note previous attempts at clarification dating back over many years.</w:t>
      </w:r>
    </w:p>
    <w:p w14:paraId="4EA10135" w14:textId="227CA175" w:rsidR="001B1D09" w:rsidRPr="00280EE0" w:rsidRDefault="001B1D09" w:rsidP="003B45F3">
      <w:pPr>
        <w:pStyle w:val="SingleTxtG"/>
      </w:pPr>
      <w:r w:rsidRPr="00280EE0">
        <w:t>2.</w:t>
      </w:r>
      <w:r w:rsidRPr="00280EE0">
        <w:tab/>
        <w:t>The report of the 113</w:t>
      </w:r>
      <w:r w:rsidRPr="00280EE0">
        <w:rPr>
          <w:vertAlign w:val="superscript"/>
        </w:rPr>
        <w:t>th</w:t>
      </w:r>
      <w:r w:rsidRPr="00280EE0">
        <w:t xml:space="preserve"> session (ECE/TRANS/WP.15/262) </w:t>
      </w:r>
      <w:r w:rsidR="002A46E7" w:rsidRPr="00280EE0">
        <w:t>(</w:t>
      </w:r>
      <w:r w:rsidRPr="00280EE0">
        <w:t>May 2023</w:t>
      </w:r>
      <w:r w:rsidR="002A46E7" w:rsidRPr="00280EE0">
        <w:t>)</w:t>
      </w:r>
      <w:r w:rsidRPr="00280EE0">
        <w:t xml:space="preserve"> includes the following:</w:t>
      </w:r>
    </w:p>
    <w:p w14:paraId="60B334B7" w14:textId="194C3414" w:rsidR="001B1D09" w:rsidRPr="00280EE0" w:rsidRDefault="001B1D09" w:rsidP="00B36644">
      <w:pPr>
        <w:pStyle w:val="SingleTxtG"/>
        <w:ind w:left="1701"/>
        <w:rPr>
          <w:i/>
          <w:iCs/>
        </w:rPr>
      </w:pPr>
      <w:r w:rsidRPr="00280EE0">
        <w:rPr>
          <w:i/>
          <w:iCs/>
        </w:rPr>
        <w:t>“Rear protection of vehicles - Document: ECE/TRANS/WP.15/2023/1 (United Kingdom) Informal document: INF.9 (Netherlands).</w:t>
      </w:r>
    </w:p>
    <w:p w14:paraId="7E83206A" w14:textId="50BAF7AB" w:rsidR="001B1D09" w:rsidRPr="00280EE0" w:rsidRDefault="001B1D09" w:rsidP="00B36644">
      <w:pPr>
        <w:pStyle w:val="SingleTxtG"/>
        <w:ind w:left="1701"/>
      </w:pPr>
      <w:r w:rsidRPr="00280EE0">
        <w:rPr>
          <w:i/>
          <w:iCs/>
        </w:rPr>
        <w:t xml:space="preserve">Several delegations were in favour of the proposal of the United Kingdom. Several delegations supported the comments of the Netherlands contained in informal document INF.9 and preferred to continue the discussion at the next session </w:t>
      </w:r>
      <w:proofErr w:type="gramStart"/>
      <w:r w:rsidRPr="00280EE0">
        <w:rPr>
          <w:i/>
          <w:iCs/>
        </w:rPr>
        <w:t>on the basis of</w:t>
      </w:r>
      <w:proofErr w:type="gramEnd"/>
      <w:r w:rsidRPr="00280EE0">
        <w:rPr>
          <w:i/>
          <w:iCs/>
        </w:rPr>
        <w:t xml:space="preserve"> a revised proposal to take account of those comments. The Working Party invited delegations who so wished to send their comments to the representatives of the United Kingdom and the Netherlands, who would prepare a revised proposal for the next session.”</w:t>
      </w:r>
    </w:p>
    <w:p w14:paraId="4369FEFC" w14:textId="117DD94F" w:rsidR="001B1D09" w:rsidRPr="00280EE0" w:rsidRDefault="001B1D09" w:rsidP="00DC280C">
      <w:pPr>
        <w:pStyle w:val="SingleTxtG"/>
      </w:pPr>
      <w:r w:rsidRPr="00280EE0">
        <w:t>3.</w:t>
      </w:r>
      <w:r w:rsidRPr="00280EE0">
        <w:tab/>
        <w:t>This proposal has therefore been developed jointly by the United Kingdom and the Netherlands.</w:t>
      </w:r>
    </w:p>
    <w:p w14:paraId="2D9720A7" w14:textId="6F6E401C" w:rsidR="001B1D09" w:rsidRPr="00280EE0" w:rsidRDefault="001B1D09" w:rsidP="001B1D09">
      <w:pPr>
        <w:pStyle w:val="HChG"/>
      </w:pPr>
      <w:r w:rsidRPr="00280EE0">
        <w:tab/>
      </w:r>
      <w:r w:rsidRPr="00280EE0">
        <w:tab/>
        <w:t>Justification</w:t>
      </w:r>
    </w:p>
    <w:p w14:paraId="510C9F35" w14:textId="1CEAE0D6" w:rsidR="001B1D09" w:rsidRPr="00280EE0" w:rsidRDefault="001B1D09" w:rsidP="001B1D09">
      <w:pPr>
        <w:pStyle w:val="SingleTxtG"/>
      </w:pPr>
      <w:r w:rsidRPr="00280EE0">
        <w:t>4.</w:t>
      </w:r>
      <w:r w:rsidRPr="00280EE0">
        <w:tab/>
      </w:r>
      <w:r w:rsidR="00DF375B" w:rsidRPr="00280EE0">
        <w:t>For more than 20 years</w:t>
      </w:r>
      <w:r w:rsidR="00E72B03" w:rsidRPr="00280EE0">
        <w:t xml:space="preserve"> </w:t>
      </w:r>
      <w:r w:rsidRPr="00280EE0">
        <w:t>advances have occurred in both vehicle and tank technology. Advanced Emergency Braking Systems (AEBS) and Rear Underrun Protection Device (RUPD) regulations have both offered a significant increase in rear protection. Tank materials, design and regulation have also moved on considerably to assist the bumper in ensuring that impact protection is increased, and risk of leakage is reduced.</w:t>
      </w:r>
    </w:p>
    <w:p w14:paraId="6C448579" w14:textId="4E36E7E8" w:rsidR="001B1D09" w:rsidRPr="00280EE0" w:rsidRDefault="001B1D09" w:rsidP="001B1D09">
      <w:pPr>
        <w:pStyle w:val="SingleTxtG"/>
      </w:pPr>
      <w:r w:rsidRPr="00280EE0">
        <w:t>5.</w:t>
      </w:r>
      <w:r w:rsidRPr="00280EE0">
        <w:tab/>
        <w:t>Previous research identified the frequency of rear impacts to tank vehicles. This has resulted in enhancements to improve the overall resistance of certain tanks to rear impact, but whilst these improvements have been made, we believe there remains a need for impact protection to be provided by a rear bumper of sufficient strength.</w:t>
      </w:r>
    </w:p>
    <w:p w14:paraId="45099A9F" w14:textId="2AEEA118" w:rsidR="001B1D09" w:rsidRPr="00280EE0" w:rsidRDefault="001B1D09" w:rsidP="001B1D09">
      <w:pPr>
        <w:pStyle w:val="SingleTxtG"/>
      </w:pPr>
      <w:r w:rsidRPr="00280EE0">
        <w:t>6.</w:t>
      </w:r>
      <w:r w:rsidRPr="00280EE0">
        <w:tab/>
        <w:t xml:space="preserve">To set a clear requirement for resistance to impact it is proposed that the provisions of </w:t>
      </w:r>
      <w:r w:rsidR="00C94B36" w:rsidRPr="00280EE0">
        <w:t>revision 3 of</w:t>
      </w:r>
      <w:r w:rsidRPr="00280EE0">
        <w:t xml:space="preserve"> UN Regulation No. 58 (Rear Underrun Protection Device) are applied by ADR 9.7.6 to introduce an agreed technical standard.</w:t>
      </w:r>
    </w:p>
    <w:p w14:paraId="1AD96330" w14:textId="5BF19F68" w:rsidR="001B1D09" w:rsidRPr="00280EE0" w:rsidRDefault="001B1D09" w:rsidP="001B1D09">
      <w:pPr>
        <w:pStyle w:val="SingleTxtG"/>
      </w:pPr>
      <w:r w:rsidRPr="00280EE0">
        <w:t>7.</w:t>
      </w:r>
      <w:r w:rsidRPr="00280EE0">
        <w:tab/>
        <w:t xml:space="preserve">Taking into consideration the progress highlighted above, it would seem a strong case exists for the bumper position to be based on type of tank. To enable consistent interpretation the proposal is for the reference points to be from the rearmost part of the bumper to the rearmost part of the tank (in both cases the rearmost part is the part furthest from the front of the vehicle). </w:t>
      </w:r>
      <w:r w:rsidR="00280EE0" w:rsidRPr="00280EE0">
        <w:t>The rearmost face of the bumper should be positioned at least [100] mm from the rearmost part of the tank, but for tanks constructed to 6.8.2.1.14.(a) which are aluminium alloy, this distance should be increased to at least [200/150] mm to offer increased protection.</w:t>
      </w:r>
    </w:p>
    <w:p w14:paraId="57C4D21F" w14:textId="7D863B1C" w:rsidR="001B1D09" w:rsidRPr="00280EE0" w:rsidRDefault="001B1D09" w:rsidP="001B1D09">
      <w:pPr>
        <w:pStyle w:val="SingleTxtG"/>
      </w:pPr>
      <w:r w:rsidRPr="00280EE0">
        <w:t>8.</w:t>
      </w:r>
      <w:r w:rsidRPr="00280EE0">
        <w:tab/>
        <w:t xml:space="preserve">For tanks with additional protection by their design the distance may be reduced to at least 50 mm, provided the distance to the shell respects the minimum values given in paragraph </w:t>
      </w:r>
      <w:r w:rsidR="00987204" w:rsidRPr="00280EE0">
        <w:t>7</w:t>
      </w:r>
      <w:r w:rsidR="00280EE0" w:rsidRPr="00280EE0">
        <w:t xml:space="preserve"> above</w:t>
      </w:r>
      <w:r w:rsidRPr="00280EE0">
        <w:t>.</w:t>
      </w:r>
    </w:p>
    <w:p w14:paraId="7450C8A5" w14:textId="1FC2275A" w:rsidR="001B1D09" w:rsidRPr="00280EE0" w:rsidRDefault="001B1D09" w:rsidP="0078339D">
      <w:pPr>
        <w:pStyle w:val="SingleTxtG"/>
      </w:pPr>
      <w:r w:rsidRPr="00280EE0">
        <w:t>9.</w:t>
      </w:r>
      <w:r w:rsidRPr="00280EE0">
        <w:tab/>
        <w:t>It should be noted that the proposed amendments use the term ‘Tank’ in describing the reference point. The intention of this is to ensure that the shell and any service equipment are always afforded protection by the rear bumper. We believe the use of this term gives a clear understanding of the requirements.</w:t>
      </w:r>
    </w:p>
    <w:p w14:paraId="3C1129E2" w14:textId="6417F85C" w:rsidR="001B1D09" w:rsidRPr="00280EE0" w:rsidRDefault="001B1D09" w:rsidP="001B1D09">
      <w:pPr>
        <w:pStyle w:val="HChG"/>
      </w:pPr>
      <w:r w:rsidRPr="00280EE0">
        <w:tab/>
      </w:r>
      <w:r w:rsidRPr="00280EE0">
        <w:tab/>
        <w:t>Proposal 1</w:t>
      </w:r>
    </w:p>
    <w:p w14:paraId="57ACA8BA" w14:textId="6AA9189C" w:rsidR="001B1D09" w:rsidRPr="00280EE0" w:rsidRDefault="00A248D1" w:rsidP="00A248D1">
      <w:pPr>
        <w:pStyle w:val="SingleTxtG"/>
        <w:rPr>
          <w:noProof/>
        </w:rPr>
      </w:pPr>
      <w:r w:rsidRPr="00280EE0">
        <w:t>10.</w:t>
      </w:r>
      <w:r w:rsidRPr="00280EE0">
        <w:tab/>
      </w:r>
      <w:r w:rsidR="001B1D09" w:rsidRPr="00280EE0">
        <w:t xml:space="preserve">Amend </w:t>
      </w:r>
      <w:r w:rsidR="004E5586" w:rsidRPr="00280EE0">
        <w:t xml:space="preserve">the text in </w:t>
      </w:r>
      <w:r w:rsidR="001B1D09" w:rsidRPr="00280EE0">
        <w:rPr>
          <w:noProof/>
        </w:rPr>
        <w:t>ADR 9.7.6 to read as follows</w:t>
      </w:r>
      <w:r w:rsidR="004E5586" w:rsidRPr="00280EE0">
        <w:rPr>
          <w:noProof/>
        </w:rPr>
        <w:t xml:space="preserve"> (heading </w:t>
      </w:r>
      <w:r w:rsidR="005C71B2" w:rsidRPr="00280EE0">
        <w:rPr>
          <w:noProof/>
        </w:rPr>
        <w:t xml:space="preserve">and notes 1 and 2 </w:t>
      </w:r>
      <w:r w:rsidR="004E5586" w:rsidRPr="00280EE0">
        <w:rPr>
          <w:noProof/>
        </w:rPr>
        <w:t>unchanged)</w:t>
      </w:r>
      <w:r w:rsidR="001B1D09" w:rsidRPr="00280EE0">
        <w:rPr>
          <w:noProof/>
        </w:rPr>
        <w:t>:</w:t>
      </w:r>
    </w:p>
    <w:p w14:paraId="2E93412D" w14:textId="069FDA0F" w:rsidR="001B1D09" w:rsidRPr="00280EE0" w:rsidRDefault="0078339D" w:rsidP="00B36644">
      <w:pPr>
        <w:pStyle w:val="SingleTxtG"/>
        <w:ind w:left="1701"/>
      </w:pPr>
      <w:r w:rsidRPr="00280EE0">
        <w:lastRenderedPageBreak/>
        <w:t>“</w:t>
      </w:r>
      <w:r w:rsidR="001B1D09" w:rsidRPr="00280EE0">
        <w:t xml:space="preserve">The rear of the tank shall be protected against impacts to the rear by a bumper. The bumper shall meet </w:t>
      </w:r>
      <w:bookmarkStart w:id="0" w:name="_Hlk141106117"/>
      <w:r w:rsidR="001B1D09" w:rsidRPr="00280EE0">
        <w:t xml:space="preserve">the technical requirements of at least </w:t>
      </w:r>
      <w:r w:rsidR="005C71B2" w:rsidRPr="00280EE0">
        <w:t>revision 3 of</w:t>
      </w:r>
      <w:r w:rsidR="001B1D09" w:rsidRPr="00280EE0">
        <w:t xml:space="preserve"> UN Regulation No. 58</w:t>
      </w:r>
      <w:r w:rsidR="003D68A6" w:rsidRPr="00280EE0">
        <w:rPr>
          <w:vertAlign w:val="superscript"/>
        </w:rPr>
        <w:t>3</w:t>
      </w:r>
      <w:r w:rsidR="001B1D09" w:rsidRPr="00280EE0">
        <w:t xml:space="preserve"> (Rear Underrun Protection Device) [or most recent revision at the time of registration, or when entered service if registration is not mandatory]</w:t>
      </w:r>
      <w:bookmarkEnd w:id="0"/>
      <w:r w:rsidR="001B1D09" w:rsidRPr="00280EE0">
        <w:t>. No structures shall be attached to the rear of the shell that could cause rupture to the shell in an impact (e.g., fixings of ladders, camera systems).</w:t>
      </w:r>
    </w:p>
    <w:p w14:paraId="1DE7EBF2" w14:textId="74E3C907" w:rsidR="001B1D09" w:rsidRPr="00280EE0" w:rsidRDefault="001B1D09" w:rsidP="00B36644">
      <w:pPr>
        <w:pStyle w:val="SingleTxtG"/>
        <w:ind w:left="1701"/>
      </w:pPr>
      <w:r w:rsidRPr="00280EE0">
        <w:t>The rearmost face of the bumper shall be positioned at least [100] mm from the rearmost part of the tank.  For tanks constructed to 6.8.2.1.14.(a) [constructed of aluminium alloy] distance shall be at least [200/150] mm.</w:t>
      </w:r>
    </w:p>
    <w:p w14:paraId="49934716" w14:textId="327C6F75" w:rsidR="001B1D09" w:rsidRPr="00280EE0" w:rsidRDefault="001B1D09" w:rsidP="00B36644">
      <w:pPr>
        <w:pStyle w:val="SingleTxtG"/>
        <w:ind w:left="1701"/>
      </w:pPr>
      <w:bookmarkStart w:id="1" w:name="_Hlk142403058"/>
      <w:r w:rsidRPr="00280EE0">
        <w:t xml:space="preserve">In cases where additional tank protection is provided the distance may be reduced to at least [50] mm, provided the distance to the shell respects the minimum values given above. </w:t>
      </w:r>
      <w:bookmarkEnd w:id="1"/>
      <w:r w:rsidRPr="00280EE0">
        <w:t>Examples of additional protection are:</w:t>
      </w:r>
    </w:p>
    <w:p w14:paraId="321AED3C" w14:textId="4A8F400E" w:rsidR="001B1D09" w:rsidRPr="00280EE0" w:rsidRDefault="001B1D09" w:rsidP="00B36644">
      <w:pPr>
        <w:pStyle w:val="Bullet1G"/>
        <w:tabs>
          <w:tab w:val="clear" w:pos="1701"/>
          <w:tab w:val="num" w:pos="2268"/>
        </w:tabs>
        <w:ind w:left="2268"/>
      </w:pPr>
      <w:r w:rsidRPr="00280EE0">
        <w:t>Tanks with double ends,</w:t>
      </w:r>
    </w:p>
    <w:p w14:paraId="4E0BF342" w14:textId="2BDD50DC" w:rsidR="001B1D09" w:rsidRPr="00280EE0" w:rsidRDefault="001B1D09" w:rsidP="00B36644">
      <w:pPr>
        <w:pStyle w:val="Bullet1G"/>
        <w:tabs>
          <w:tab w:val="clear" w:pos="1701"/>
          <w:tab w:val="num" w:pos="2268"/>
        </w:tabs>
        <w:ind w:left="2268"/>
      </w:pPr>
      <w:r w:rsidRPr="00280EE0">
        <w:t>Tanks with empty compartments used for service equipment,</w:t>
      </w:r>
    </w:p>
    <w:p w14:paraId="3B800A5C" w14:textId="2B91E91E" w:rsidR="001B1D09" w:rsidRPr="00280EE0" w:rsidRDefault="001B1D09" w:rsidP="00B36644">
      <w:pPr>
        <w:pStyle w:val="Bullet1G"/>
        <w:tabs>
          <w:tab w:val="clear" w:pos="1701"/>
          <w:tab w:val="num" w:pos="2268"/>
        </w:tabs>
        <w:ind w:left="2268"/>
      </w:pPr>
      <w:r w:rsidRPr="00280EE0">
        <w:t>Tanks with thermal insulation.</w:t>
      </w:r>
    </w:p>
    <w:p w14:paraId="1E303DE2" w14:textId="2FF2D5F8" w:rsidR="001B1D09" w:rsidRPr="00280EE0" w:rsidRDefault="001B1D09" w:rsidP="00B36644">
      <w:pPr>
        <w:pStyle w:val="SingleTxtG"/>
        <w:ind w:left="1701"/>
      </w:pPr>
      <w:r w:rsidRPr="00280EE0">
        <w:t>For tanks so constructed, the additional tank protection shall be constructed in a way that penetration of the shell of the shell in an impact is likely to be prevented or there shall be a distance of at least [100] mm to the shell.</w:t>
      </w:r>
    </w:p>
    <w:p w14:paraId="3AE695A2" w14:textId="79F883C3" w:rsidR="001B1D09" w:rsidRPr="00280EE0" w:rsidRDefault="001B1D09" w:rsidP="00B36644">
      <w:pPr>
        <w:pStyle w:val="SingleTxtG"/>
        <w:ind w:left="1701"/>
      </w:pPr>
      <w:r w:rsidRPr="00280EE0">
        <w:t>For battery vehicles bumper positioning of 100 mm shall be applied from the rearmost part of any shell of the elements of the battery, or the most rearward part of any valve or its operating mechanism to the rearmost face of the bumper.</w:t>
      </w:r>
    </w:p>
    <w:p w14:paraId="1FD1DC16" w14:textId="30724170" w:rsidR="001B1D09" w:rsidRPr="00280EE0" w:rsidRDefault="001B1D09" w:rsidP="00B36644">
      <w:pPr>
        <w:pStyle w:val="SingleTxtG"/>
        <w:ind w:left="1701"/>
      </w:pPr>
      <w:r w:rsidRPr="00280EE0">
        <w:t xml:space="preserve">Vehicles with a tilting tank for the carriage of powdery or granular substances, and vehicles with a tilting vacuum operated waste tank with rear discharge do not require a bumper if the rear fittings of the tank are provided with protection which provides equivalent protection to that provided by a bumper as described above. </w:t>
      </w:r>
    </w:p>
    <w:p w14:paraId="1067FA1D" w14:textId="52455B66" w:rsidR="001B1D09" w:rsidRPr="00280EE0" w:rsidRDefault="001B1D09" w:rsidP="0078339D">
      <w:pPr>
        <w:pStyle w:val="SingleTxtG"/>
        <w:ind w:left="1701"/>
      </w:pPr>
      <w:r w:rsidRPr="00280EE0">
        <w:t xml:space="preserve">Vehicles with bodywork equivalent protection to that of a bumper (as per </w:t>
      </w:r>
      <w:r w:rsidR="005C71B2" w:rsidRPr="00280EE0">
        <w:t>Rear Underrun Protection Device</w:t>
      </w:r>
      <w:r w:rsidRPr="00280EE0">
        <w:t xml:space="preserve"> technical specifications) need not comply with this provision.</w:t>
      </w:r>
      <w:bookmarkStart w:id="2" w:name="_Hlk118446542"/>
      <w:r w:rsidR="0078339D" w:rsidRPr="00280EE0">
        <w:t>”</w:t>
      </w:r>
    </w:p>
    <w:p w14:paraId="59AD3881" w14:textId="77777777" w:rsidR="00F20C07" w:rsidRPr="00280EE0" w:rsidRDefault="00D030F3" w:rsidP="003D68A6">
      <w:pPr>
        <w:pStyle w:val="SingleTxtG"/>
        <w:ind w:left="1701"/>
      </w:pPr>
      <w:r w:rsidRPr="00280EE0">
        <w:t>Fo</w:t>
      </w:r>
      <w:r w:rsidR="0061079A" w:rsidRPr="00280EE0">
        <w:t>otnote 3 reads:</w:t>
      </w:r>
    </w:p>
    <w:p w14:paraId="63A02116" w14:textId="3DF8BDC3" w:rsidR="003D68A6" w:rsidRPr="00280EE0" w:rsidRDefault="0061079A" w:rsidP="003D68A6">
      <w:pPr>
        <w:pStyle w:val="SingleTxtG"/>
        <w:ind w:left="1701"/>
        <w:rPr>
          <w:i/>
          <w:iCs/>
        </w:rPr>
      </w:pPr>
      <w:r w:rsidRPr="00280EE0">
        <w:t>“</w:t>
      </w:r>
      <w:r w:rsidRPr="00280EE0">
        <w:rPr>
          <w:vertAlign w:val="superscript"/>
        </w:rPr>
        <w:t>3</w:t>
      </w:r>
      <w:r w:rsidRPr="00280EE0">
        <w:tab/>
      </w:r>
      <w:r w:rsidR="003D68A6" w:rsidRPr="00280EE0">
        <w:rPr>
          <w:i/>
          <w:iCs/>
        </w:rPr>
        <w:t>UN Regulation No. 58 (Uniform provisions concerning the approval of:</w:t>
      </w:r>
    </w:p>
    <w:p w14:paraId="11222F33" w14:textId="77777777" w:rsidR="003D68A6" w:rsidRPr="00280EE0" w:rsidRDefault="003D68A6" w:rsidP="00B36644">
      <w:pPr>
        <w:pStyle w:val="SingleTxtG"/>
        <w:ind w:left="2268"/>
        <w:rPr>
          <w:i/>
          <w:iCs/>
        </w:rPr>
      </w:pPr>
      <w:r w:rsidRPr="00280EE0">
        <w:rPr>
          <w:i/>
          <w:iCs/>
        </w:rPr>
        <w:t>I. Rear underrun protective devices (RUPDs)</w:t>
      </w:r>
    </w:p>
    <w:p w14:paraId="36A66713" w14:textId="243E6D78" w:rsidR="003D68A6" w:rsidRPr="00280EE0" w:rsidRDefault="003D68A6" w:rsidP="00B36644">
      <w:pPr>
        <w:pStyle w:val="SingleTxtG"/>
        <w:ind w:left="2268"/>
        <w:rPr>
          <w:i/>
          <w:iCs/>
        </w:rPr>
      </w:pPr>
      <w:r w:rsidRPr="00280EE0">
        <w:rPr>
          <w:i/>
          <w:iCs/>
        </w:rPr>
        <w:t xml:space="preserve">II. Vehicles </w:t>
      </w:r>
      <w:proofErr w:type="gramStart"/>
      <w:r w:rsidRPr="00280EE0">
        <w:rPr>
          <w:i/>
          <w:iCs/>
        </w:rPr>
        <w:t>with regard to</w:t>
      </w:r>
      <w:proofErr w:type="gramEnd"/>
      <w:r w:rsidRPr="00280EE0">
        <w:rPr>
          <w:i/>
          <w:iCs/>
        </w:rPr>
        <w:t xml:space="preserve"> the installation of an RUPD of an approved type</w:t>
      </w:r>
    </w:p>
    <w:p w14:paraId="7E1BA3E4" w14:textId="67F9DC03" w:rsidR="00D030F3" w:rsidRPr="00280EE0" w:rsidRDefault="003D68A6" w:rsidP="00B36644">
      <w:pPr>
        <w:pStyle w:val="SingleTxtG"/>
        <w:ind w:left="2268"/>
      </w:pPr>
      <w:r w:rsidRPr="00280EE0">
        <w:rPr>
          <w:i/>
          <w:iCs/>
        </w:rPr>
        <w:t xml:space="preserve">III. Vehicles </w:t>
      </w:r>
      <w:proofErr w:type="gramStart"/>
      <w:r w:rsidRPr="00280EE0">
        <w:rPr>
          <w:i/>
          <w:iCs/>
        </w:rPr>
        <w:t>with regard to</w:t>
      </w:r>
      <w:proofErr w:type="gramEnd"/>
      <w:r w:rsidRPr="00280EE0">
        <w:rPr>
          <w:i/>
          <w:iCs/>
        </w:rPr>
        <w:t xml:space="preserve"> their rear underrun protection (RUP)</w:t>
      </w:r>
      <w:r w:rsidR="00F20C07" w:rsidRPr="00280EE0">
        <w:rPr>
          <w:i/>
          <w:iCs/>
        </w:rPr>
        <w:t>)</w:t>
      </w:r>
      <w:r w:rsidR="00DF1C99" w:rsidRPr="00280EE0">
        <w:t>”</w:t>
      </w:r>
    </w:p>
    <w:p w14:paraId="24E277C1" w14:textId="009BD1E8" w:rsidR="001B1D09" w:rsidRPr="00280EE0" w:rsidRDefault="00A248D1" w:rsidP="00A248D1">
      <w:pPr>
        <w:pStyle w:val="HChG"/>
        <w:rPr>
          <w:sz w:val="22"/>
          <w:szCs w:val="22"/>
        </w:rPr>
      </w:pPr>
      <w:r w:rsidRPr="00280EE0">
        <w:tab/>
      </w:r>
      <w:r w:rsidRPr="00280EE0">
        <w:tab/>
      </w:r>
      <w:r w:rsidR="001B1D09" w:rsidRPr="00280EE0">
        <w:t>Proposal 2</w:t>
      </w:r>
      <w:r w:rsidR="001B1D09" w:rsidRPr="00280EE0">
        <w:rPr>
          <w:sz w:val="22"/>
          <w:szCs w:val="22"/>
        </w:rPr>
        <w:t xml:space="preserve"> </w:t>
      </w:r>
    </w:p>
    <w:p w14:paraId="18ABD757" w14:textId="49D047D9" w:rsidR="001B1D09" w:rsidRPr="00280EE0" w:rsidRDefault="0011260D" w:rsidP="00A248D1">
      <w:pPr>
        <w:pStyle w:val="SingleTxtG"/>
      </w:pPr>
      <w:r w:rsidRPr="00280EE0">
        <w:t>11.</w:t>
      </w:r>
      <w:r w:rsidRPr="00280EE0">
        <w:tab/>
      </w:r>
      <w:r w:rsidR="001B1D09" w:rsidRPr="00280EE0">
        <w:t>Provide the following transitional measure in section 1.6.5</w:t>
      </w:r>
      <w:r w:rsidR="00682D55" w:rsidRPr="00280EE0">
        <w:t>:</w:t>
      </w:r>
      <w:r w:rsidR="001B1D09" w:rsidRPr="00280EE0">
        <w:t xml:space="preserve"> </w:t>
      </w:r>
      <w:r w:rsidR="00682D55" w:rsidRPr="00280EE0">
        <w:t>“</w:t>
      </w:r>
      <w:r w:rsidR="001B1D09" w:rsidRPr="00280EE0">
        <w:t>Vehicles registered (or entering into service if registration is not mandatory) before 1 July 2027 which do not meet the rear protection requirements of 9.7.6 applicable from 1 January 2025 may continue to be used.</w:t>
      </w:r>
      <w:r w:rsidR="00682D55" w:rsidRPr="00280EE0">
        <w:t>”.</w:t>
      </w:r>
    </w:p>
    <w:p w14:paraId="1370D948" w14:textId="1A7964FE" w:rsidR="001B1D09" w:rsidRPr="00280EE0" w:rsidRDefault="00A248D1" w:rsidP="00A248D1">
      <w:pPr>
        <w:pStyle w:val="HChG"/>
      </w:pPr>
      <w:r w:rsidRPr="00280EE0">
        <w:tab/>
      </w:r>
      <w:r w:rsidRPr="00280EE0">
        <w:tab/>
      </w:r>
      <w:r w:rsidR="001B1D09" w:rsidRPr="00280EE0">
        <w:t>Conclusion</w:t>
      </w:r>
    </w:p>
    <w:bookmarkEnd w:id="2"/>
    <w:p w14:paraId="072E3793" w14:textId="4073AD4A" w:rsidR="003F0447" w:rsidRPr="00280EE0" w:rsidRDefault="001B1D09" w:rsidP="00A248D1">
      <w:pPr>
        <w:pStyle w:val="SingleTxtG"/>
      </w:pPr>
      <w:r w:rsidRPr="00280EE0">
        <w:t>1</w:t>
      </w:r>
      <w:r w:rsidR="0011260D" w:rsidRPr="00280EE0">
        <w:t>2</w:t>
      </w:r>
      <w:r w:rsidRPr="00280EE0">
        <w:t>.</w:t>
      </w:r>
      <w:r w:rsidR="00A248D1" w:rsidRPr="00280EE0">
        <w:tab/>
      </w:r>
      <w:r w:rsidRPr="00280EE0">
        <w:t xml:space="preserve">These amendments will ensure a uniform interpretation of the measurement that is required between the rear of the tank and the rear bumper. It will also apply </w:t>
      </w:r>
      <w:r w:rsidR="00682D55" w:rsidRPr="00280EE0">
        <w:t>revision 3</w:t>
      </w:r>
      <w:r w:rsidRPr="00280EE0">
        <w:t xml:space="preserve"> UN Regulation No. 58 (Rear Underrun Protection Device) technical requirements and therefore ensure that the rear bumper meets specific strength requirements. As new technical specifications are being applied, and likely to have been previous misinterpretations, a transitional measure is proposed to enable existing vehicles to continue to be used.</w:t>
      </w:r>
    </w:p>
    <w:p w14:paraId="3F03F0D2" w14:textId="153A6D4D" w:rsidR="00A248D1" w:rsidRPr="00280EE0" w:rsidRDefault="00A248D1" w:rsidP="00A248D1">
      <w:pPr>
        <w:spacing w:before="240"/>
        <w:jc w:val="center"/>
        <w:rPr>
          <w:u w:val="single"/>
          <w:lang w:eastAsia="ru-RU"/>
        </w:rPr>
      </w:pPr>
      <w:r w:rsidRPr="00280EE0">
        <w:rPr>
          <w:u w:val="single"/>
          <w:lang w:eastAsia="ru-RU"/>
        </w:rPr>
        <w:tab/>
      </w:r>
      <w:r w:rsidRPr="00280EE0">
        <w:rPr>
          <w:u w:val="single"/>
          <w:lang w:eastAsia="ru-RU"/>
        </w:rPr>
        <w:tab/>
      </w:r>
      <w:r w:rsidRPr="00280EE0">
        <w:rPr>
          <w:u w:val="single"/>
          <w:lang w:eastAsia="ru-RU"/>
        </w:rPr>
        <w:tab/>
      </w:r>
    </w:p>
    <w:sectPr w:rsidR="00A248D1" w:rsidRPr="00280EE0" w:rsidSect="00530315">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8174" w14:textId="77777777" w:rsidR="00A711E0" w:rsidRDefault="00A711E0"/>
  </w:endnote>
  <w:endnote w:type="continuationSeparator" w:id="0">
    <w:p w14:paraId="2560F312" w14:textId="77777777" w:rsidR="00A711E0" w:rsidRDefault="00A711E0"/>
  </w:endnote>
  <w:endnote w:type="continuationNotice" w:id="1">
    <w:p w14:paraId="757CBF86" w14:textId="77777777" w:rsidR="00A711E0" w:rsidRDefault="00A71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DFF4" w14:textId="350F36F0" w:rsidR="00530315" w:rsidRPr="00530315" w:rsidRDefault="00530315" w:rsidP="00530315">
    <w:pPr>
      <w:pStyle w:val="Footer"/>
      <w:tabs>
        <w:tab w:val="right" w:pos="9638"/>
      </w:tabs>
      <w:rPr>
        <w:sz w:val="18"/>
      </w:rPr>
    </w:pPr>
    <w:r w:rsidRPr="00530315">
      <w:rPr>
        <w:b/>
        <w:sz w:val="18"/>
      </w:rPr>
      <w:fldChar w:fldCharType="begin"/>
    </w:r>
    <w:r w:rsidRPr="00530315">
      <w:rPr>
        <w:b/>
        <w:sz w:val="18"/>
      </w:rPr>
      <w:instrText xml:space="preserve"> PAGE  \* MERGEFORMAT </w:instrText>
    </w:r>
    <w:r w:rsidRPr="00530315">
      <w:rPr>
        <w:b/>
        <w:sz w:val="18"/>
      </w:rPr>
      <w:fldChar w:fldCharType="separate"/>
    </w:r>
    <w:r w:rsidRPr="00530315">
      <w:rPr>
        <w:b/>
        <w:noProof/>
        <w:sz w:val="18"/>
      </w:rPr>
      <w:t>2</w:t>
    </w:r>
    <w:r w:rsidRPr="0053031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8DB2" w14:textId="50ED4BC4" w:rsidR="00530315" w:rsidRPr="00530315" w:rsidRDefault="00530315" w:rsidP="00530315">
    <w:pPr>
      <w:pStyle w:val="Footer"/>
      <w:tabs>
        <w:tab w:val="right" w:pos="9638"/>
      </w:tabs>
      <w:rPr>
        <w:b/>
        <w:sz w:val="18"/>
      </w:rPr>
    </w:pPr>
    <w:r>
      <w:tab/>
    </w:r>
    <w:r w:rsidRPr="00530315">
      <w:rPr>
        <w:b/>
        <w:sz w:val="18"/>
      </w:rPr>
      <w:fldChar w:fldCharType="begin"/>
    </w:r>
    <w:r w:rsidRPr="00530315">
      <w:rPr>
        <w:b/>
        <w:sz w:val="18"/>
      </w:rPr>
      <w:instrText xml:space="preserve"> PAGE  \* MERGEFORMAT </w:instrText>
    </w:r>
    <w:r w:rsidRPr="00530315">
      <w:rPr>
        <w:b/>
        <w:sz w:val="18"/>
      </w:rPr>
      <w:fldChar w:fldCharType="separate"/>
    </w:r>
    <w:r w:rsidRPr="00530315">
      <w:rPr>
        <w:b/>
        <w:noProof/>
        <w:sz w:val="18"/>
      </w:rPr>
      <w:t>3</w:t>
    </w:r>
    <w:r w:rsidRPr="005303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AF13" w14:textId="7FE4CA1D" w:rsidR="00AF01E5" w:rsidRDefault="00AF01E5" w:rsidP="00AF01E5">
    <w:pPr>
      <w:pStyle w:val="Footer"/>
    </w:pPr>
    <w:r w:rsidRPr="0027112F">
      <w:rPr>
        <w:noProof/>
        <w:lang w:val="en-US"/>
      </w:rPr>
      <w:drawing>
        <wp:anchor distT="0" distB="0" distL="114300" distR="114300" simplePos="0" relativeHeight="251659264" behindDoc="0" locked="1" layoutInCell="1" allowOverlap="1" wp14:anchorId="06604B1C" wp14:editId="372E224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72AA4B6" w14:textId="65599A8D" w:rsidR="00AF01E5" w:rsidRPr="00AF01E5" w:rsidRDefault="00AF01E5" w:rsidP="00AF01E5">
    <w:pPr>
      <w:pStyle w:val="Footer"/>
      <w:ind w:right="1134"/>
      <w:rPr>
        <w:sz w:val="20"/>
      </w:rPr>
    </w:pPr>
    <w:r>
      <w:rPr>
        <w:sz w:val="20"/>
      </w:rPr>
      <w:t>GE.23-15835(E)</w:t>
    </w:r>
    <w:r>
      <w:rPr>
        <w:noProof/>
        <w:sz w:val="20"/>
      </w:rPr>
      <w:drawing>
        <wp:anchor distT="0" distB="0" distL="114300" distR="114300" simplePos="0" relativeHeight="251660288" behindDoc="0" locked="0" layoutInCell="1" allowOverlap="1" wp14:anchorId="257B6A34" wp14:editId="49E5761C">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B9E8" w14:textId="77777777" w:rsidR="00A711E0" w:rsidRPr="000B175B" w:rsidRDefault="00A711E0" w:rsidP="000B175B">
      <w:pPr>
        <w:tabs>
          <w:tab w:val="right" w:pos="2155"/>
        </w:tabs>
        <w:spacing w:after="80"/>
        <w:ind w:left="680"/>
        <w:rPr>
          <w:u w:val="single"/>
        </w:rPr>
      </w:pPr>
      <w:r>
        <w:rPr>
          <w:u w:val="single"/>
        </w:rPr>
        <w:tab/>
      </w:r>
    </w:p>
  </w:footnote>
  <w:footnote w:type="continuationSeparator" w:id="0">
    <w:p w14:paraId="0BB3D7A9" w14:textId="77777777" w:rsidR="00A711E0" w:rsidRPr="00FC68B7" w:rsidRDefault="00A711E0" w:rsidP="00FC68B7">
      <w:pPr>
        <w:tabs>
          <w:tab w:val="left" w:pos="2155"/>
        </w:tabs>
        <w:spacing w:after="80"/>
        <w:ind w:left="680"/>
        <w:rPr>
          <w:u w:val="single"/>
        </w:rPr>
      </w:pPr>
      <w:r>
        <w:rPr>
          <w:u w:val="single"/>
        </w:rPr>
        <w:tab/>
      </w:r>
    </w:p>
  </w:footnote>
  <w:footnote w:type="continuationNotice" w:id="1">
    <w:p w14:paraId="7A4A4B45" w14:textId="77777777" w:rsidR="00A711E0" w:rsidRDefault="00A711E0"/>
  </w:footnote>
  <w:footnote w:id="2">
    <w:p w14:paraId="184707E4" w14:textId="07345706" w:rsidR="00EE0D92" w:rsidRPr="00EE0D92" w:rsidRDefault="00EE0D92">
      <w:pPr>
        <w:pStyle w:val="FootnoteText"/>
        <w:rPr>
          <w:lang w:val="fr-CH"/>
        </w:rPr>
      </w:pPr>
      <w:r>
        <w:rPr>
          <w:rStyle w:val="FootnoteReference"/>
        </w:rPr>
        <w:tab/>
      </w:r>
      <w:r w:rsidRPr="00EE0D92">
        <w:rPr>
          <w:rStyle w:val="FootnoteReference"/>
          <w:sz w:val="20"/>
          <w:vertAlign w:val="baseline"/>
        </w:rPr>
        <w:t>*</w:t>
      </w:r>
      <w:r>
        <w:rPr>
          <w:rStyle w:val="FootnoteReference"/>
          <w:sz w:val="20"/>
          <w:vertAlign w:val="baseline"/>
        </w:rPr>
        <w:tab/>
      </w:r>
      <w:r w:rsidR="002E5409" w:rsidRPr="006F2BB7">
        <w:rPr>
          <w:sz w:val="20"/>
        </w:rPr>
        <w:t>A/77/6 (Sect. 20), table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AA84" w14:textId="53FBADBB" w:rsidR="00530315" w:rsidRPr="00530315" w:rsidRDefault="00530315">
    <w:pPr>
      <w:pStyle w:val="Header"/>
    </w:pPr>
    <w:r>
      <w:t>ECE/TRANS/WP.15/2023/13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2C74" w14:textId="7872714F" w:rsidR="00530315" w:rsidRPr="00530315" w:rsidRDefault="00530315" w:rsidP="00530315">
    <w:pPr>
      <w:pStyle w:val="Header"/>
      <w:jc w:val="right"/>
    </w:pPr>
    <w:r>
      <w:t>ECE/TRANS/WP.15/2023/13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1F181B"/>
    <w:multiLevelType w:val="hybridMultilevel"/>
    <w:tmpl w:val="561E50B4"/>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1925494A"/>
    <w:multiLevelType w:val="hybridMultilevel"/>
    <w:tmpl w:val="91B0B124"/>
    <w:lvl w:ilvl="0" w:tplc="22F8D426">
      <w:start w:val="1"/>
      <w:numFmt w:val="decimal"/>
      <w:lvlText w:val="%1."/>
      <w:lvlJc w:val="left"/>
      <w:pPr>
        <w:ind w:left="5815" w:hanging="57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965267">
    <w:abstractNumId w:val="1"/>
  </w:num>
  <w:num w:numId="2" w16cid:durableId="1193611891">
    <w:abstractNumId w:val="0"/>
  </w:num>
  <w:num w:numId="3" w16cid:durableId="1661038671">
    <w:abstractNumId w:val="2"/>
  </w:num>
  <w:num w:numId="4" w16cid:durableId="1670014440">
    <w:abstractNumId w:val="3"/>
  </w:num>
  <w:num w:numId="5" w16cid:durableId="555354874">
    <w:abstractNumId w:val="8"/>
  </w:num>
  <w:num w:numId="6" w16cid:durableId="925268870">
    <w:abstractNumId w:val="9"/>
  </w:num>
  <w:num w:numId="7" w16cid:durableId="1689211325">
    <w:abstractNumId w:val="7"/>
  </w:num>
  <w:num w:numId="8" w16cid:durableId="962617184">
    <w:abstractNumId w:val="6"/>
  </w:num>
  <w:num w:numId="9" w16cid:durableId="1316687166">
    <w:abstractNumId w:val="5"/>
  </w:num>
  <w:num w:numId="10" w16cid:durableId="1752005145">
    <w:abstractNumId w:val="4"/>
  </w:num>
  <w:num w:numId="11" w16cid:durableId="90440525">
    <w:abstractNumId w:val="17"/>
  </w:num>
  <w:num w:numId="12" w16cid:durableId="1531840942">
    <w:abstractNumId w:val="16"/>
  </w:num>
  <w:num w:numId="13" w16cid:durableId="240649973">
    <w:abstractNumId w:val="10"/>
  </w:num>
  <w:num w:numId="14" w16cid:durableId="2000842898">
    <w:abstractNumId w:val="14"/>
  </w:num>
  <w:num w:numId="15" w16cid:durableId="2136749277">
    <w:abstractNumId w:val="18"/>
  </w:num>
  <w:num w:numId="16" w16cid:durableId="10449176">
    <w:abstractNumId w:val="15"/>
  </w:num>
  <w:num w:numId="17" w16cid:durableId="1777555954">
    <w:abstractNumId w:val="19"/>
  </w:num>
  <w:num w:numId="18" w16cid:durableId="1686903056">
    <w:abstractNumId w:val="20"/>
  </w:num>
  <w:num w:numId="19" w16cid:durableId="1952475770">
    <w:abstractNumId w:val="11"/>
  </w:num>
  <w:num w:numId="20" w16cid:durableId="971251589">
    <w:abstractNumId w:val="11"/>
  </w:num>
  <w:num w:numId="21" w16cid:durableId="780338084">
    <w:abstractNumId w:val="13"/>
  </w:num>
  <w:num w:numId="22" w16cid:durableId="137457754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15"/>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1260D"/>
    <w:rsid w:val="00124CB1"/>
    <w:rsid w:val="001302CA"/>
    <w:rsid w:val="001462F8"/>
    <w:rsid w:val="00156B99"/>
    <w:rsid w:val="00166124"/>
    <w:rsid w:val="00177DD6"/>
    <w:rsid w:val="00184DDA"/>
    <w:rsid w:val="001900CD"/>
    <w:rsid w:val="001A0452"/>
    <w:rsid w:val="001B1D09"/>
    <w:rsid w:val="001B2CE5"/>
    <w:rsid w:val="001B4B04"/>
    <w:rsid w:val="001B5875"/>
    <w:rsid w:val="001C4B9C"/>
    <w:rsid w:val="001C6663"/>
    <w:rsid w:val="001C7895"/>
    <w:rsid w:val="001D26DF"/>
    <w:rsid w:val="001E555D"/>
    <w:rsid w:val="001F1599"/>
    <w:rsid w:val="001F19C4"/>
    <w:rsid w:val="002043F0"/>
    <w:rsid w:val="00211E0B"/>
    <w:rsid w:val="00211F38"/>
    <w:rsid w:val="00217E9A"/>
    <w:rsid w:val="00223639"/>
    <w:rsid w:val="00232575"/>
    <w:rsid w:val="00234326"/>
    <w:rsid w:val="00247258"/>
    <w:rsid w:val="00257CAC"/>
    <w:rsid w:val="00264441"/>
    <w:rsid w:val="0027237A"/>
    <w:rsid w:val="00280EE0"/>
    <w:rsid w:val="002845B1"/>
    <w:rsid w:val="002974E9"/>
    <w:rsid w:val="002A46E7"/>
    <w:rsid w:val="002A7F94"/>
    <w:rsid w:val="002B109A"/>
    <w:rsid w:val="002C6D45"/>
    <w:rsid w:val="002D6E53"/>
    <w:rsid w:val="002E5409"/>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B45F3"/>
    <w:rsid w:val="003C2CC4"/>
    <w:rsid w:val="003D4B23"/>
    <w:rsid w:val="003D68A6"/>
    <w:rsid w:val="003E278A"/>
    <w:rsid w:val="003F0447"/>
    <w:rsid w:val="00413520"/>
    <w:rsid w:val="00430D57"/>
    <w:rsid w:val="004325CB"/>
    <w:rsid w:val="00440A07"/>
    <w:rsid w:val="00461B1B"/>
    <w:rsid w:val="00462880"/>
    <w:rsid w:val="00473BEA"/>
    <w:rsid w:val="00476F24"/>
    <w:rsid w:val="00497C4D"/>
    <w:rsid w:val="004C55B0"/>
    <w:rsid w:val="004E5586"/>
    <w:rsid w:val="004F6BA0"/>
    <w:rsid w:val="00503BEA"/>
    <w:rsid w:val="00530315"/>
    <w:rsid w:val="00533616"/>
    <w:rsid w:val="00535ABA"/>
    <w:rsid w:val="0053768B"/>
    <w:rsid w:val="005420F2"/>
    <w:rsid w:val="0054285C"/>
    <w:rsid w:val="00556D92"/>
    <w:rsid w:val="00584173"/>
    <w:rsid w:val="00595520"/>
    <w:rsid w:val="005A2ABF"/>
    <w:rsid w:val="005A44B9"/>
    <w:rsid w:val="005B1BA0"/>
    <w:rsid w:val="005B3DB3"/>
    <w:rsid w:val="005C71B2"/>
    <w:rsid w:val="005D15CA"/>
    <w:rsid w:val="005D7969"/>
    <w:rsid w:val="005F08DF"/>
    <w:rsid w:val="005F3066"/>
    <w:rsid w:val="005F3E61"/>
    <w:rsid w:val="00604DDD"/>
    <w:rsid w:val="0061079A"/>
    <w:rsid w:val="006115CC"/>
    <w:rsid w:val="00611FC4"/>
    <w:rsid w:val="006176FB"/>
    <w:rsid w:val="00630FCB"/>
    <w:rsid w:val="00640B26"/>
    <w:rsid w:val="0065766B"/>
    <w:rsid w:val="006770B2"/>
    <w:rsid w:val="00682D55"/>
    <w:rsid w:val="00686A48"/>
    <w:rsid w:val="006940E1"/>
    <w:rsid w:val="006A3C72"/>
    <w:rsid w:val="006A7392"/>
    <w:rsid w:val="006B03A1"/>
    <w:rsid w:val="006B67D9"/>
    <w:rsid w:val="006C5535"/>
    <w:rsid w:val="006D0589"/>
    <w:rsid w:val="006E564B"/>
    <w:rsid w:val="006E7154"/>
    <w:rsid w:val="007003CD"/>
    <w:rsid w:val="0070701E"/>
    <w:rsid w:val="00712649"/>
    <w:rsid w:val="007173E0"/>
    <w:rsid w:val="0072632A"/>
    <w:rsid w:val="007358E8"/>
    <w:rsid w:val="00736ECE"/>
    <w:rsid w:val="0074533B"/>
    <w:rsid w:val="007643BC"/>
    <w:rsid w:val="007801C5"/>
    <w:rsid w:val="00780C68"/>
    <w:rsid w:val="0078339D"/>
    <w:rsid w:val="007959FE"/>
    <w:rsid w:val="007A0CF1"/>
    <w:rsid w:val="007A478E"/>
    <w:rsid w:val="007B0B51"/>
    <w:rsid w:val="007B6BA5"/>
    <w:rsid w:val="007C3390"/>
    <w:rsid w:val="007C42D8"/>
    <w:rsid w:val="007C4F4B"/>
    <w:rsid w:val="007D35B1"/>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3156F"/>
    <w:rsid w:val="00947162"/>
    <w:rsid w:val="0094746F"/>
    <w:rsid w:val="009610D0"/>
    <w:rsid w:val="0096375C"/>
    <w:rsid w:val="009662E6"/>
    <w:rsid w:val="0097095E"/>
    <w:rsid w:val="0098592B"/>
    <w:rsid w:val="00985FC4"/>
    <w:rsid w:val="0098720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248D1"/>
    <w:rsid w:val="00A425EB"/>
    <w:rsid w:val="00A515DB"/>
    <w:rsid w:val="00A711E0"/>
    <w:rsid w:val="00A72F22"/>
    <w:rsid w:val="00A733BC"/>
    <w:rsid w:val="00A748A6"/>
    <w:rsid w:val="00A76A69"/>
    <w:rsid w:val="00A879A4"/>
    <w:rsid w:val="00AA0FF8"/>
    <w:rsid w:val="00AB1654"/>
    <w:rsid w:val="00AC0F2C"/>
    <w:rsid w:val="00AC502A"/>
    <w:rsid w:val="00AF01E5"/>
    <w:rsid w:val="00AF58C1"/>
    <w:rsid w:val="00B04A3F"/>
    <w:rsid w:val="00B06643"/>
    <w:rsid w:val="00B15055"/>
    <w:rsid w:val="00B20551"/>
    <w:rsid w:val="00B23D55"/>
    <w:rsid w:val="00B30179"/>
    <w:rsid w:val="00B30B52"/>
    <w:rsid w:val="00B33FC7"/>
    <w:rsid w:val="00B36644"/>
    <w:rsid w:val="00B37B15"/>
    <w:rsid w:val="00B438F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4B36"/>
    <w:rsid w:val="00C978F5"/>
    <w:rsid w:val="00CA24A4"/>
    <w:rsid w:val="00CA46E6"/>
    <w:rsid w:val="00CB348D"/>
    <w:rsid w:val="00CD46F5"/>
    <w:rsid w:val="00CE4A8F"/>
    <w:rsid w:val="00CE78F6"/>
    <w:rsid w:val="00CF071D"/>
    <w:rsid w:val="00D0123D"/>
    <w:rsid w:val="00D030F3"/>
    <w:rsid w:val="00D15B04"/>
    <w:rsid w:val="00D175AD"/>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6908"/>
    <w:rsid w:val="00DC18AD"/>
    <w:rsid w:val="00DC280C"/>
    <w:rsid w:val="00DF1C99"/>
    <w:rsid w:val="00DF375B"/>
    <w:rsid w:val="00DF7CAE"/>
    <w:rsid w:val="00E423C0"/>
    <w:rsid w:val="00E6414C"/>
    <w:rsid w:val="00E7260F"/>
    <w:rsid w:val="00E72B03"/>
    <w:rsid w:val="00E8702D"/>
    <w:rsid w:val="00E905F4"/>
    <w:rsid w:val="00E916A9"/>
    <w:rsid w:val="00E916DE"/>
    <w:rsid w:val="00E925AD"/>
    <w:rsid w:val="00E96630"/>
    <w:rsid w:val="00EB7631"/>
    <w:rsid w:val="00ED18DC"/>
    <w:rsid w:val="00ED6201"/>
    <w:rsid w:val="00ED7A2A"/>
    <w:rsid w:val="00EE0D92"/>
    <w:rsid w:val="00EF1D7F"/>
    <w:rsid w:val="00F0137E"/>
    <w:rsid w:val="00F20C07"/>
    <w:rsid w:val="00F21786"/>
    <w:rsid w:val="00F3742B"/>
    <w:rsid w:val="00F41FDB"/>
    <w:rsid w:val="00F445C3"/>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5C70B"/>
  <w15:docId w15:val="{3DB6C417-51EF-4580-9914-39AFB544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ListParagraph">
    <w:name w:val="List Paragraph"/>
    <w:basedOn w:val="Normal"/>
    <w:uiPriority w:val="34"/>
    <w:qFormat/>
    <w:rsid w:val="001B1D09"/>
    <w:pPr>
      <w:spacing w:line="240" w:lineRule="auto"/>
      <w:ind w:left="720"/>
      <w:contextualSpacing/>
    </w:pPr>
    <w:rPr>
      <w:rFonts w:ascii="Arial" w:eastAsiaTheme="minorHAnsi" w:hAnsi="Arial" w:cstheme="minorBidi"/>
      <w:sz w:val="24"/>
      <w:szCs w:val="24"/>
      <w:lang w:eastAsia="en-US"/>
    </w:rPr>
  </w:style>
  <w:style w:type="paragraph" w:styleId="Revision">
    <w:name w:val="Revision"/>
    <w:hidden/>
    <w:uiPriority w:val="99"/>
    <w:semiHidden/>
    <w:rsid w:val="00CA46E6"/>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3.xml><?xml version="1.0" encoding="utf-8"?>
<ds:datastoreItem xmlns:ds="http://schemas.openxmlformats.org/officeDocument/2006/customXml" ds:itemID="{60E5C7E6-84FB-4BEE-BE0B-B8ABC51C2A3C}"/>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3</Pages>
  <Words>1205</Words>
  <Characters>6385</Characters>
  <Application>Microsoft Office Word</Application>
  <DocSecurity>0</DocSecurity>
  <Lines>129</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ECE/TRANS/WP.15/2023/13</dc:title>
  <dc:subject>2315835</dc:subject>
  <dc:creator>Alicia DORCA-GARCIA</dc:creator>
  <cp:keywords/>
  <dc:description/>
  <cp:lastModifiedBy>Don Canete Martin</cp:lastModifiedBy>
  <cp:revision>2</cp:revision>
  <cp:lastPrinted>2009-02-18T09:36:00Z</cp:lastPrinted>
  <dcterms:created xsi:type="dcterms:W3CDTF">2023-08-16T12:39:00Z</dcterms:created>
  <dcterms:modified xsi:type="dcterms:W3CDTF">2023-08-16T12:39:00Z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