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15912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EEEA29" w14:textId="77777777" w:rsidR="002D5AAC" w:rsidRDefault="002D5AAC" w:rsidP="00A175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99F5F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7E8087" w14:textId="19DEB205" w:rsidR="002D5AAC" w:rsidRDefault="00A175CD" w:rsidP="00A175CD">
            <w:pPr>
              <w:jc w:val="right"/>
            </w:pPr>
            <w:r w:rsidRPr="00A175CD">
              <w:rPr>
                <w:sz w:val="40"/>
              </w:rPr>
              <w:t>ECE</w:t>
            </w:r>
            <w:r>
              <w:t>/TRANS/WP.11/2023/7</w:t>
            </w:r>
          </w:p>
        </w:tc>
      </w:tr>
      <w:tr w:rsidR="002D5AAC" w14:paraId="0F59FC5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6F2A2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94D22D" wp14:editId="214FD1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B062C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3281AF" w14:textId="77777777" w:rsidR="002D5AAC" w:rsidRDefault="00A175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7DA160" w14:textId="77777777" w:rsidR="00A175CD" w:rsidRDefault="00A175CD" w:rsidP="00A175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August5 2023</w:t>
            </w:r>
          </w:p>
          <w:p w14:paraId="151B57FF" w14:textId="77777777" w:rsidR="00A175CD" w:rsidRDefault="00A175CD" w:rsidP="00A175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CAFD09" w14:textId="37E89528" w:rsidR="00A175CD" w:rsidRPr="008D53B6" w:rsidRDefault="00A175CD" w:rsidP="00A175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A3266A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B297A8" w14:textId="77777777" w:rsidR="00A175CD" w:rsidRPr="006D0AF6" w:rsidRDefault="00A175CD" w:rsidP="00A175CD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070CD1D" w14:textId="77777777" w:rsidR="00A175CD" w:rsidRPr="006D0AF6" w:rsidRDefault="00A175CD" w:rsidP="00A175CD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1279BD83" w14:textId="77777777" w:rsidR="00A175CD" w:rsidRPr="006D0AF6" w:rsidRDefault="00A175CD" w:rsidP="00A175CD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6367F440" w14:textId="77777777" w:rsidR="00A175CD" w:rsidRPr="006D0AF6" w:rsidRDefault="00A175CD" w:rsidP="00A175CD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261214CB" w14:textId="77777777" w:rsidR="00A175CD" w:rsidRPr="006D0AF6" w:rsidRDefault="00A175CD" w:rsidP="00A175CD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Пункт 5 а) предварительной повестки дня</w:t>
      </w:r>
    </w:p>
    <w:p w14:paraId="09A86F60" w14:textId="19945F6B" w:rsidR="00A175CD" w:rsidRPr="006D0AF6" w:rsidRDefault="00A175CD" w:rsidP="00A175CD">
      <w:pPr>
        <w:spacing w:line="240" w:lineRule="auto"/>
        <w:rPr>
          <w:rFonts w:asciiTheme="majorBidi" w:hAnsiTheme="majorBidi" w:cstheme="majorBidi"/>
          <w:b/>
        </w:rPr>
      </w:pPr>
      <w:r w:rsidRPr="006D0AF6">
        <w:rPr>
          <w:rFonts w:asciiTheme="majorBidi" w:hAnsiTheme="majorBidi" w:cstheme="majorBidi"/>
          <w:b/>
          <w:bCs/>
        </w:rPr>
        <w:t>Предложения по поправкам к СПС:</w:t>
      </w:r>
      <w:r>
        <w:rPr>
          <w:rFonts w:asciiTheme="majorBidi" w:hAnsiTheme="majorBidi" w:cstheme="majorBidi"/>
          <w:b/>
          <w:bCs/>
        </w:rPr>
        <w:br/>
      </w:r>
      <w:r w:rsidRPr="006D0AF6">
        <w:rPr>
          <w:rFonts w:asciiTheme="majorBidi" w:hAnsiTheme="majorBidi" w:cstheme="majorBidi"/>
          <w:b/>
          <w:bCs/>
        </w:rPr>
        <w:t>предложения, по которым еще не приняты решения</w:t>
      </w:r>
    </w:p>
    <w:p w14:paraId="1DC55C3E" w14:textId="77777777" w:rsidR="00A175CD" w:rsidRDefault="00A175CD" w:rsidP="00A175CD">
      <w:pPr>
        <w:pStyle w:val="HChG"/>
      </w:pPr>
      <w:r>
        <w:tab/>
      </w:r>
      <w:r>
        <w:tab/>
      </w:r>
      <w:r>
        <w:rPr>
          <w:bCs/>
        </w:rPr>
        <w:t>Определение понятия автономности транспортного средства</w:t>
      </w:r>
    </w:p>
    <w:p w14:paraId="37706A00" w14:textId="77777777" w:rsidR="00A175CD" w:rsidRDefault="00A175CD" w:rsidP="00A175CD">
      <w:pPr>
        <w:pStyle w:val="H1G"/>
      </w:pPr>
      <w:r>
        <w:tab/>
      </w:r>
      <w:r>
        <w:tab/>
      </w:r>
      <w:r>
        <w:rPr>
          <w:bCs/>
        </w:rPr>
        <w:t>Представлено правительством Франции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A175CD" w14:paraId="7159C6DF" w14:textId="77777777" w:rsidTr="00461C19">
        <w:trPr>
          <w:jc w:val="center"/>
        </w:trPr>
        <w:tc>
          <w:tcPr>
            <w:tcW w:w="9628" w:type="dxa"/>
            <w:shd w:val="clear" w:color="auto" w:fill="auto"/>
          </w:tcPr>
          <w:p w14:paraId="6E9F53AB" w14:textId="77777777" w:rsidR="00A175CD" w:rsidRPr="00A175CD" w:rsidRDefault="00A175CD" w:rsidP="00461C19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A175CD">
              <w:rPr>
                <w:i/>
                <w:iCs/>
                <w:sz w:val="24"/>
                <w:szCs w:val="24"/>
              </w:rPr>
              <w:t>Резюме</w:t>
            </w:r>
            <w:r w:rsidRPr="00A175CD">
              <w:rPr>
                <w:sz w:val="24"/>
                <w:szCs w:val="24"/>
              </w:rPr>
              <w:t xml:space="preserve"> </w:t>
            </w:r>
          </w:p>
        </w:tc>
      </w:tr>
      <w:tr w:rsidR="00A175CD" w14:paraId="6F801C56" w14:textId="77777777" w:rsidTr="00461C19">
        <w:trPr>
          <w:jc w:val="center"/>
        </w:trPr>
        <w:tc>
          <w:tcPr>
            <w:tcW w:w="9628" w:type="dxa"/>
            <w:shd w:val="clear" w:color="auto" w:fill="auto"/>
          </w:tcPr>
          <w:p w14:paraId="1C2F4DAD" w14:textId="77777777" w:rsidR="00A175CD" w:rsidRDefault="00A175CD" w:rsidP="00A175CD">
            <w:pPr>
              <w:pStyle w:val="SingleTxtG"/>
              <w:tabs>
                <w:tab w:val="left" w:pos="3947"/>
              </w:tabs>
              <w:ind w:left="3947" w:hanging="2813"/>
              <w:rPr>
                <w:rFonts w:eastAsia="Calibri"/>
              </w:rPr>
            </w:pPr>
            <w:r w:rsidRPr="00CA7AF0">
              <w:rPr>
                <w:b/>
                <w:bCs/>
              </w:rPr>
              <w:t>Существо предложения:</w:t>
            </w:r>
            <w:r>
              <w:tab/>
              <w:t>Цель данного предложения заключается в том, чтобы уточнить определение понятия автономности транспортного средства во французской версии СПС и унифицировать перевод этого понятия для более глубокого понимания всеми договаривающимися сторонами вопроса о сертификации новых технологий</w:t>
            </w:r>
          </w:p>
          <w:p w14:paraId="5DC3B8A4" w14:textId="3B730299" w:rsidR="00A175CD" w:rsidRDefault="00A175CD" w:rsidP="00A175CD">
            <w:pPr>
              <w:pStyle w:val="SingleTxtG"/>
              <w:tabs>
                <w:tab w:val="left" w:pos="3947"/>
              </w:tabs>
              <w:ind w:left="3947" w:hanging="2813"/>
              <w:rPr>
                <w:rFonts w:eastAsia="Calibri"/>
              </w:rPr>
            </w:pPr>
            <w:r w:rsidRPr="00CA7AF0">
              <w:rPr>
                <w:b/>
                <w:bCs/>
              </w:rPr>
              <w:t>Предлагаемое решение:</w:t>
            </w:r>
            <w:r>
              <w:tab/>
              <w:t xml:space="preserve">Включить определение в пункт 7 приложения 1 к </w:t>
            </w:r>
            <w:r>
              <w:tab/>
              <w:t>СПС</w:t>
            </w:r>
          </w:p>
          <w:p w14:paraId="388F60C4" w14:textId="46376FAA" w:rsidR="00A175CD" w:rsidRDefault="00A175CD" w:rsidP="00A175CD">
            <w:pPr>
              <w:pStyle w:val="SingleTxtG"/>
              <w:tabs>
                <w:tab w:val="left" w:pos="3947"/>
              </w:tabs>
              <w:ind w:left="3947" w:hanging="2813"/>
            </w:pPr>
            <w:r w:rsidRPr="00CA7AF0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>
              <w:t>Отсутствуют</w:t>
            </w:r>
          </w:p>
        </w:tc>
      </w:tr>
      <w:tr w:rsidR="00A175CD" w14:paraId="4E3488D9" w14:textId="77777777" w:rsidTr="00461C19">
        <w:trPr>
          <w:jc w:val="center"/>
        </w:trPr>
        <w:tc>
          <w:tcPr>
            <w:tcW w:w="9628" w:type="dxa"/>
            <w:shd w:val="clear" w:color="auto" w:fill="auto"/>
          </w:tcPr>
          <w:p w14:paraId="20CC06FB" w14:textId="77777777" w:rsidR="00A175CD" w:rsidRDefault="00A175CD" w:rsidP="00461C19"/>
        </w:tc>
      </w:tr>
    </w:tbl>
    <w:p w14:paraId="5072D97A" w14:textId="77777777" w:rsidR="00A175CD" w:rsidRDefault="00A175CD" w:rsidP="00A175CD">
      <w:pPr>
        <w:pStyle w:val="HChG"/>
      </w:pPr>
      <w:r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610E05B2" w14:textId="77777777" w:rsidR="00A175CD" w:rsidRPr="005D0761" w:rsidRDefault="00A175CD" w:rsidP="00A175CD">
      <w:pPr>
        <w:pStyle w:val="SingleTxtG"/>
      </w:pPr>
      <w:r>
        <w:t>1.</w:t>
      </w:r>
      <w:r>
        <w:tab/>
        <w:t xml:space="preserve">В настоящее время вряд ли можно пренебрегать давлением, которому подвергается режим СПС в связи с появлением новых технологий; речь идет, в первую очередь, о транспортных средствах, работающих от </w:t>
      </w:r>
      <w:proofErr w:type="spellStart"/>
      <w:r>
        <w:t>электроаккумуляторов</w:t>
      </w:r>
      <w:proofErr w:type="spellEnd"/>
      <w:r>
        <w:t xml:space="preserve">, независимо от того, предназначены ли они исключительно для этих транспортных средств или нет. Подзарядка этих аккумуляторов стала возможна даже при работающем тепловом двигателе и включенной холодильной установке. Гибкость, которую обеспечивают </w:t>
      </w:r>
      <w:proofErr w:type="spellStart"/>
      <w:r>
        <w:t>электроаккумуляторы</w:t>
      </w:r>
      <w:proofErr w:type="spellEnd"/>
      <w:r>
        <w:t xml:space="preserve">, неоспорима, но возникает вопрос о том, к какой категории отнести такие транспортные средства, работающие от смешанных источников энергии и занимающие промежуточное положение между двумя </w:t>
      </w:r>
      <w:r>
        <w:lastRenderedPageBreak/>
        <w:t>традиционными видами транспортных средств, которые изначально были предусмотрены в СПС.</w:t>
      </w:r>
    </w:p>
    <w:p w14:paraId="71FD5879" w14:textId="2950096B" w:rsidR="00A175CD" w:rsidRDefault="00A175CD" w:rsidP="00A175CD">
      <w:pPr>
        <w:pStyle w:val="SingleTxtG"/>
      </w:pPr>
      <w:r>
        <w:t>2.</w:t>
      </w:r>
      <w:r>
        <w:tab/>
        <w:t>Определение неавтономных транспортных средств приводится в подпункте</w:t>
      </w:r>
      <w:r>
        <w:rPr>
          <w:lang w:val="en-US"/>
        </w:rPr>
        <w:t> </w:t>
      </w:r>
      <w:r>
        <w:t>6.2.2</w:t>
      </w:r>
      <w:r>
        <w:rPr>
          <w:lang w:val="en-US"/>
        </w:rPr>
        <w:t> </w:t>
      </w:r>
      <w:r>
        <w:t>i) добавления 2 к приложению 1: «Неавтономные транспортные средства, у которых холодильная установка приводится в действие их двигателем». Такие транспортные средства маркируются специальным знаком «X» для облегчения их идентификации, особенно при прохождении пунктов пересечения границ.</w:t>
      </w:r>
    </w:p>
    <w:p w14:paraId="1F381FDB" w14:textId="77777777" w:rsidR="00A175CD" w:rsidRDefault="00A175CD" w:rsidP="00A175CD">
      <w:pPr>
        <w:pStyle w:val="SingleTxtG"/>
      </w:pPr>
      <w:r>
        <w:t>3.</w:t>
      </w:r>
      <w:r>
        <w:tab/>
        <w:t>Таким образом, «автономными» считаются все остальные виды транспортных средств, включая транспортные средства, в которых на этапе перевозки используется электропривод.</w:t>
      </w:r>
    </w:p>
    <w:p w14:paraId="472ADED0" w14:textId="77777777" w:rsidR="00A175CD" w:rsidRDefault="00A175CD" w:rsidP="00A175CD">
      <w:pPr>
        <w:pStyle w:val="SingleTxtG"/>
        <w:rPr>
          <w:rFonts w:cs="Garamond"/>
        </w:rPr>
      </w:pPr>
      <w:r>
        <w:t>4.</w:t>
      </w:r>
      <w:r>
        <w:tab/>
        <w:t>Во французском языке термин «</w:t>
      </w:r>
      <w:proofErr w:type="spellStart"/>
      <w:r>
        <w:t>autonome</w:t>
      </w:r>
      <w:proofErr w:type="spellEnd"/>
      <w:r>
        <w:t>» («автономный»), применяемый к оборудованию, определяется следующий образом:</w:t>
      </w:r>
    </w:p>
    <w:p w14:paraId="52B2ABA0" w14:textId="77777777" w:rsidR="00A175CD" w:rsidRDefault="00A175CD" w:rsidP="00A175C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способность данного оборудования работать независимо от окружающих условий;</w:t>
      </w:r>
    </w:p>
    <w:p w14:paraId="2B6EFFB4" w14:textId="77777777" w:rsidR="00A175CD" w:rsidRDefault="00A175CD" w:rsidP="00A175C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продолжительность работы в независимом режиме.</w:t>
      </w:r>
    </w:p>
    <w:p w14:paraId="5C54696A" w14:textId="77777777" w:rsidR="00A175CD" w:rsidRDefault="00A175CD" w:rsidP="00A175CD">
      <w:pPr>
        <w:pStyle w:val="SingleTxtG"/>
      </w:pPr>
      <w:r>
        <w:t>5.</w:t>
      </w:r>
      <w:r>
        <w:tab/>
        <w:t>Для отнесения к категории «автономного» оборудования нет никаких определенных критериев, касающихся продолжительности работы. В связи с этим предлагается включить серию из двух предложений, направленных на то, чтобы:</w:t>
      </w:r>
    </w:p>
    <w:p w14:paraId="2D5CFD39" w14:textId="77777777" w:rsidR="00A175CD" w:rsidRDefault="00A175CD" w:rsidP="00A175C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уточнить определение автономного транспортного средства;</w:t>
      </w:r>
    </w:p>
    <w:p w14:paraId="636B34E5" w14:textId="77777777" w:rsidR="00A175CD" w:rsidRDefault="00A175CD" w:rsidP="00A175C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прояснить вопрос о классификации термического оборудования с источником электропитания (для режима перевозки).</w:t>
      </w:r>
    </w:p>
    <w:p w14:paraId="22D91015" w14:textId="77777777" w:rsidR="00A175CD" w:rsidRDefault="00A175CD" w:rsidP="00A175CD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</w:p>
    <w:p w14:paraId="7C4AB5C4" w14:textId="77777777" w:rsidR="00A175CD" w:rsidRPr="00805D44" w:rsidRDefault="00A175CD" w:rsidP="00A175CD">
      <w:pPr>
        <w:pStyle w:val="SingleTxtG"/>
      </w:pPr>
      <w:bookmarkStart w:id="2" w:name="_Hlk30687072"/>
      <w:r>
        <w:t>6.</w:t>
      </w:r>
      <w:r>
        <w:tab/>
        <w:t>Включить в пункт 7 (Определения) приложения 1 определение понятия автономности транспортного средства:</w:t>
      </w:r>
    </w:p>
    <w:bookmarkEnd w:id="2"/>
    <w:p w14:paraId="592C0CA0" w14:textId="77777777" w:rsidR="00A175CD" w:rsidRPr="00805D44" w:rsidRDefault="00A175CD" w:rsidP="00A175CD">
      <w:pPr>
        <w:pStyle w:val="SingleTxtG"/>
        <w:rPr>
          <w:b/>
          <w:iCs/>
        </w:rPr>
      </w:pPr>
      <w:r>
        <w:rPr>
          <w:b/>
          <w:bCs/>
        </w:rPr>
        <w:t>«Транспортное средство является «автономным», если:</w:t>
      </w:r>
    </w:p>
    <w:p w14:paraId="09ED29AC" w14:textId="77777777" w:rsidR="00A175CD" w:rsidRPr="00805D44" w:rsidRDefault="00A175CD" w:rsidP="00A175C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производство холода или холода и теплоты зависит от одного источника энергии, который:</w:t>
      </w:r>
    </w:p>
    <w:p w14:paraId="6A647343" w14:textId="77777777" w:rsidR="00A175CD" w:rsidRPr="00805D44" w:rsidRDefault="00A175CD" w:rsidP="00A175CD">
      <w:pPr>
        <w:pStyle w:val="Bullet2G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</w:pPr>
      <w:r>
        <w:t>предназначен только для термического оборудования или питает его в приоритетном порядке;</w:t>
      </w:r>
    </w:p>
    <w:p w14:paraId="2AA6D1FE" w14:textId="77777777" w:rsidR="00A175CD" w:rsidRPr="00805D44" w:rsidRDefault="00A175CD" w:rsidP="00A175CD">
      <w:pPr>
        <w:pStyle w:val="Bullet2G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</w:pPr>
      <w:r>
        <w:t>всегда доступен;</w:t>
      </w:r>
    </w:p>
    <w:p w14:paraId="5CD2D264" w14:textId="77777777" w:rsidR="00A175CD" w:rsidRPr="00805D44" w:rsidRDefault="00A175CD" w:rsidP="00A175CD">
      <w:pPr>
        <w:pStyle w:val="Bullet2G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</w:pPr>
      <w:r>
        <w:t>работает непрерывно на протяжении всего этапа перевозки;</w:t>
      </w:r>
    </w:p>
    <w:p w14:paraId="1EDE2D5B" w14:textId="7E862529" w:rsidR="00A175CD" w:rsidRPr="00805D44" w:rsidRDefault="00A175CD" w:rsidP="00A175C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при полной нагрузке в наиболее энергоемком режиме, когда температура окружающей среды составляет 30</w:t>
      </w:r>
      <w:r>
        <w:rPr>
          <w:lang w:val="en-US"/>
        </w:rPr>
        <w:t> </w:t>
      </w:r>
      <w:r>
        <w:t xml:space="preserve">°C, продолжительность его автономной работы превышает один час». </w:t>
      </w:r>
    </w:p>
    <w:p w14:paraId="4C7ECC88" w14:textId="77777777" w:rsidR="00A175CD" w:rsidRPr="00805D44" w:rsidRDefault="00A175CD" w:rsidP="00A175CD">
      <w:pPr>
        <w:pStyle w:val="H23G"/>
      </w:pPr>
      <w:r>
        <w:tab/>
      </w:r>
      <w:r>
        <w:tab/>
      </w:r>
      <w:r>
        <w:rPr>
          <w:bCs/>
        </w:rPr>
        <w:t>Перевод:</w:t>
      </w:r>
    </w:p>
    <w:p w14:paraId="37795A65" w14:textId="70B18B55" w:rsidR="00A175CD" w:rsidRPr="00797E1B" w:rsidRDefault="00A175CD" w:rsidP="00A175CD">
      <w:pPr>
        <w:pStyle w:val="SingleTxtG"/>
        <w:tabs>
          <w:tab w:val="clear" w:pos="2268"/>
          <w:tab w:val="clear" w:pos="2835"/>
          <w:tab w:val="left" w:pos="5670"/>
        </w:tabs>
        <w:rPr>
          <w:i/>
          <w:iCs/>
        </w:rPr>
      </w:pPr>
      <w:r>
        <w:t>автономный:</w:t>
      </w:r>
      <w:r>
        <w:tab/>
      </w:r>
      <w:proofErr w:type="spellStart"/>
      <w:r>
        <w:rPr>
          <w:i/>
          <w:iCs/>
        </w:rPr>
        <w:t>independent</w:t>
      </w:r>
      <w:proofErr w:type="spellEnd"/>
      <w:r w:rsidRPr="00A175CD">
        <w:t>;</w:t>
      </w:r>
    </w:p>
    <w:p w14:paraId="458D9820" w14:textId="77777777" w:rsidR="00A175CD" w:rsidRDefault="00A175CD" w:rsidP="00A175CD">
      <w:pPr>
        <w:pStyle w:val="SingleTxtG"/>
        <w:tabs>
          <w:tab w:val="clear" w:pos="2268"/>
          <w:tab w:val="clear" w:pos="2835"/>
          <w:tab w:val="left" w:pos="5670"/>
        </w:tabs>
      </w:pPr>
      <w:r>
        <w:t xml:space="preserve">продолжительность автономной работы: </w:t>
      </w:r>
      <w:r>
        <w:tab/>
      </w:r>
      <w:proofErr w:type="spellStart"/>
      <w:r>
        <w:rPr>
          <w:i/>
          <w:iCs/>
        </w:rPr>
        <w:t>independence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duration</w:t>
      </w:r>
      <w:proofErr w:type="spellEnd"/>
      <w:r w:rsidRPr="00A175CD">
        <w:t>.</w:t>
      </w:r>
    </w:p>
    <w:p w14:paraId="6411EFBF" w14:textId="77777777" w:rsidR="00A175CD" w:rsidRPr="005D0761" w:rsidRDefault="00A175CD" w:rsidP="00A175CD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F275059" w14:textId="77777777" w:rsidR="00A175CD" w:rsidRPr="00794400" w:rsidRDefault="00A175CD" w:rsidP="00A175CD">
      <w:pPr>
        <w:pStyle w:val="SingleTxtG"/>
      </w:pPr>
      <w:r>
        <w:t>8.</w:t>
      </w:r>
      <w:r>
        <w:tab/>
        <w:t>Унификация формулировок, направленная на обеспечение единообразного толкования компетентными органами и упорядочение идентификации автономного оборудования.</w:t>
      </w:r>
    </w:p>
    <w:p w14:paraId="424237A1" w14:textId="77777777" w:rsidR="00A175CD" w:rsidRPr="005D0761" w:rsidRDefault="00A175CD" w:rsidP="00A175CD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>Затраты</w:t>
      </w:r>
    </w:p>
    <w:p w14:paraId="015CF867" w14:textId="77777777" w:rsidR="00A175CD" w:rsidRPr="005D0761" w:rsidRDefault="00A175CD" w:rsidP="00A175CD">
      <w:pPr>
        <w:pStyle w:val="SingleTxtG"/>
      </w:pPr>
      <w:r>
        <w:t>9.</w:t>
      </w:r>
      <w:r>
        <w:tab/>
        <w:t>Отсутствуют.</w:t>
      </w:r>
    </w:p>
    <w:p w14:paraId="66B243E2" w14:textId="663B399B" w:rsidR="00A175CD" w:rsidRPr="005D0761" w:rsidRDefault="00A175CD" w:rsidP="00A175CD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Осуществимость</w:t>
      </w:r>
    </w:p>
    <w:p w14:paraId="5FE32558" w14:textId="77777777" w:rsidR="00A175CD" w:rsidRPr="005D0761" w:rsidRDefault="00A175CD" w:rsidP="00A175CD">
      <w:pPr>
        <w:pStyle w:val="SingleTxtG"/>
      </w:pPr>
      <w:r>
        <w:t>10.</w:t>
      </w:r>
      <w:r>
        <w:tab/>
        <w:t>Никаких дополнительных трудностей для официальных испытательных станций СПС не предвидится.</w:t>
      </w:r>
    </w:p>
    <w:p w14:paraId="281C8A05" w14:textId="091DE7B9" w:rsidR="00A175CD" w:rsidRPr="005D0761" w:rsidRDefault="00A175CD" w:rsidP="00A175CD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Обеспечение применения</w:t>
      </w:r>
    </w:p>
    <w:p w14:paraId="69E7AE9E" w14:textId="77777777" w:rsidR="00A175CD" w:rsidRPr="005D0761" w:rsidRDefault="00A175CD" w:rsidP="00A175CD">
      <w:pPr>
        <w:pStyle w:val="SingleTxtG"/>
        <w:rPr>
          <w:b/>
          <w:bCs/>
        </w:rPr>
      </w:pPr>
      <w:r>
        <w:t>11.</w:t>
      </w:r>
      <w:r>
        <w:tab/>
        <w:t>Никаких проблем с реализацией настоящего предложения не предвидится.</w:t>
      </w:r>
    </w:p>
    <w:p w14:paraId="7822C434" w14:textId="77777777" w:rsidR="00A175CD" w:rsidRPr="005D0761" w:rsidRDefault="00A175CD" w:rsidP="00A175CD">
      <w:pPr>
        <w:pStyle w:val="HChG"/>
      </w:pPr>
      <w:r>
        <w:rPr>
          <w:bCs/>
        </w:rPr>
        <w:tab/>
        <w:t>VI.</w:t>
      </w:r>
      <w:r>
        <w:tab/>
      </w:r>
      <w:r>
        <w:rPr>
          <w:bCs/>
        </w:rPr>
        <w:t>Включение предлагаемой поправки в СПС</w:t>
      </w:r>
    </w:p>
    <w:p w14:paraId="68CDF2CD" w14:textId="77777777" w:rsidR="00A175CD" w:rsidRPr="005D0761" w:rsidRDefault="00A175CD" w:rsidP="00A175CD">
      <w:pPr>
        <w:pStyle w:val="SingleTxtG"/>
      </w:pPr>
      <w:r>
        <w:t>12.</w:t>
      </w:r>
      <w:r>
        <w:tab/>
        <w:t>Затронутая часть СПС: пункт 7 (Определения) приложения 1:</w:t>
      </w:r>
    </w:p>
    <w:p w14:paraId="3FE8A2AD" w14:textId="5B4F53B6" w:rsidR="00A175CD" w:rsidRPr="00722E7B" w:rsidRDefault="00A175CD" w:rsidP="00A175CD">
      <w:pPr>
        <w:pStyle w:val="SingleTxtG"/>
        <w:rPr>
          <w:iCs/>
        </w:rPr>
      </w:pPr>
      <w:r>
        <w:tab/>
      </w:r>
      <w:r>
        <w:t>Включение определения понятия автономности транспортного средства в соответствии с тем, что изложено в разделе I (Предложение).</w:t>
      </w:r>
    </w:p>
    <w:p w14:paraId="3A76795F" w14:textId="557DB0CA" w:rsidR="00E12C5F" w:rsidRPr="00A175CD" w:rsidRDefault="00A175CD" w:rsidP="00A175C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175CD" w:rsidSect="00A175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04C6" w14:textId="77777777" w:rsidR="00A61EB5" w:rsidRPr="00A312BC" w:rsidRDefault="00A61EB5" w:rsidP="00A312BC"/>
  </w:endnote>
  <w:endnote w:type="continuationSeparator" w:id="0">
    <w:p w14:paraId="2A5A489E" w14:textId="77777777" w:rsidR="00A61EB5" w:rsidRPr="00A312BC" w:rsidRDefault="00A61E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FF3C" w14:textId="4B9E690A" w:rsidR="00A175CD" w:rsidRPr="00A175CD" w:rsidRDefault="00A175CD">
    <w:pPr>
      <w:pStyle w:val="a8"/>
    </w:pPr>
    <w:r w:rsidRPr="00A175CD">
      <w:rPr>
        <w:b/>
        <w:sz w:val="18"/>
      </w:rPr>
      <w:fldChar w:fldCharType="begin"/>
    </w:r>
    <w:r w:rsidRPr="00A175CD">
      <w:rPr>
        <w:b/>
        <w:sz w:val="18"/>
      </w:rPr>
      <w:instrText xml:space="preserve"> PAGE  \* MERGEFORMAT </w:instrText>
    </w:r>
    <w:r w:rsidRPr="00A175CD">
      <w:rPr>
        <w:b/>
        <w:sz w:val="18"/>
      </w:rPr>
      <w:fldChar w:fldCharType="separate"/>
    </w:r>
    <w:r w:rsidRPr="00A175CD">
      <w:rPr>
        <w:b/>
        <w:noProof/>
        <w:sz w:val="18"/>
      </w:rPr>
      <w:t>2</w:t>
    </w:r>
    <w:r w:rsidRPr="00A175CD">
      <w:rPr>
        <w:b/>
        <w:sz w:val="18"/>
      </w:rPr>
      <w:fldChar w:fldCharType="end"/>
    </w:r>
    <w:r>
      <w:rPr>
        <w:b/>
        <w:sz w:val="18"/>
      </w:rPr>
      <w:tab/>
    </w:r>
    <w:r>
      <w:t>GE.23-15043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487E" w14:textId="686E66E7" w:rsidR="00A175CD" w:rsidRPr="00A175CD" w:rsidRDefault="00A175CD" w:rsidP="00A175CD">
    <w:pPr>
      <w:pStyle w:val="a8"/>
      <w:tabs>
        <w:tab w:val="clear" w:pos="9639"/>
        <w:tab w:val="right" w:pos="9638"/>
      </w:tabs>
      <w:rPr>
        <w:b/>
        <w:sz w:val="18"/>
      </w:rPr>
    </w:pPr>
    <w:r>
      <w:t>GE.23-15043</w:t>
    </w:r>
    <w:r>
      <w:tab/>
    </w:r>
    <w:r w:rsidRPr="00A175CD">
      <w:rPr>
        <w:b/>
        <w:sz w:val="18"/>
      </w:rPr>
      <w:fldChar w:fldCharType="begin"/>
    </w:r>
    <w:r w:rsidRPr="00A175CD">
      <w:rPr>
        <w:b/>
        <w:sz w:val="18"/>
      </w:rPr>
      <w:instrText xml:space="preserve"> PAGE  \* MERGEFORMAT </w:instrText>
    </w:r>
    <w:r w:rsidRPr="00A175CD">
      <w:rPr>
        <w:b/>
        <w:sz w:val="18"/>
      </w:rPr>
      <w:fldChar w:fldCharType="separate"/>
    </w:r>
    <w:r w:rsidRPr="00A175CD">
      <w:rPr>
        <w:b/>
        <w:noProof/>
        <w:sz w:val="18"/>
      </w:rPr>
      <w:t>3</w:t>
    </w:r>
    <w:r w:rsidRPr="00A175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89DF" w14:textId="1D027D21" w:rsidR="00042B72" w:rsidRPr="00A175CD" w:rsidRDefault="00A175CD" w:rsidP="00A175C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1E2F8B" wp14:editId="25E1DD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23-15043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4BC614" wp14:editId="16DA67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080823   170823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BA99" w14:textId="77777777" w:rsidR="00A61EB5" w:rsidRPr="001075E9" w:rsidRDefault="00A61E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0AB84F" w14:textId="77777777" w:rsidR="00A61EB5" w:rsidRDefault="00A61E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0A0E" w14:textId="6943BFAB" w:rsidR="00A175CD" w:rsidRPr="00A175CD" w:rsidRDefault="00A175CD">
    <w:pPr>
      <w:pStyle w:val="a5"/>
    </w:pPr>
    <w:fldSimple w:instr=" TITLE  \* MERGEFORMAT ">
      <w:r w:rsidR="005D2B7E">
        <w:t>ECE/TRANS/WP.11/2023/7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DC5F" w14:textId="5C8BB60D" w:rsidR="00A175CD" w:rsidRPr="00A175CD" w:rsidRDefault="00A175CD" w:rsidP="00A175CD">
    <w:pPr>
      <w:pStyle w:val="a5"/>
      <w:jc w:val="right"/>
    </w:pPr>
    <w:fldSimple w:instr=" TITLE  \* MERGEFORMAT ">
      <w:r w:rsidR="005D2B7E">
        <w:t>ECE/TRANS/WP.11/2023/7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320738879">
    <w:abstractNumId w:val="17"/>
  </w:num>
  <w:num w:numId="23" w16cid:durableId="73644155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B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2B7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75CD"/>
    <w:rsid w:val="00A312BC"/>
    <w:rsid w:val="00A61EB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206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AB8C4"/>
  <w15:docId w15:val="{314F52E7-C8BA-4103-808F-417269AE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175CD"/>
    <w:rPr>
      <w:lang w:val="ru-RU" w:eastAsia="en-US"/>
    </w:rPr>
  </w:style>
  <w:style w:type="character" w:customStyle="1" w:styleId="HChGChar">
    <w:name w:val="_ H _Ch_G Char"/>
    <w:link w:val="HChG"/>
    <w:rsid w:val="00A175C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19A4F-D74B-4741-B691-E066FACBDFCB}"/>
</file>

<file path=customXml/itemProps2.xml><?xml version="1.0" encoding="utf-8"?>
<ds:datastoreItem xmlns:ds="http://schemas.openxmlformats.org/officeDocument/2006/customXml" ds:itemID="{21125B95-A1AD-456F-AD26-D82C664077D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503</Words>
  <Characters>3732</Characters>
  <Application>Microsoft Office Word</Application>
  <DocSecurity>0</DocSecurity>
  <Lines>97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ECE/TRANS/WP.11/2023/7</dc:title>
  <dc:subject/>
  <dc:creator>Larisa MAYKOVSKAYA</dc:creator>
  <cp:keywords/>
  <cp:lastModifiedBy>Larisa MAYKOVSKAYA</cp:lastModifiedBy>
  <cp:revision>3</cp:revision>
  <cp:lastPrinted>2023-08-17T08:27:00Z</cp:lastPrinted>
  <dcterms:created xsi:type="dcterms:W3CDTF">2023-08-17T08:27:00Z</dcterms:created>
  <dcterms:modified xsi:type="dcterms:W3CDTF">2023-08-17T08:28:00Z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