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FC861B" w14:textId="77777777" w:rsidTr="00C97039">
        <w:trPr>
          <w:trHeight w:hRule="exact" w:val="851"/>
        </w:trPr>
        <w:tc>
          <w:tcPr>
            <w:tcW w:w="1276" w:type="dxa"/>
            <w:tcBorders>
              <w:bottom w:val="single" w:sz="4" w:space="0" w:color="auto"/>
            </w:tcBorders>
          </w:tcPr>
          <w:p w14:paraId="729207C5" w14:textId="77777777" w:rsidR="00F35BAF" w:rsidRPr="00DB58B5" w:rsidRDefault="00F35BAF" w:rsidP="00EA2447"/>
        </w:tc>
        <w:tc>
          <w:tcPr>
            <w:tcW w:w="2268" w:type="dxa"/>
            <w:tcBorders>
              <w:bottom w:val="single" w:sz="4" w:space="0" w:color="auto"/>
            </w:tcBorders>
            <w:vAlign w:val="bottom"/>
          </w:tcPr>
          <w:p w14:paraId="67410CD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97AE0A" w14:textId="42DA0440" w:rsidR="00F35BAF" w:rsidRPr="00DB58B5" w:rsidRDefault="00EA2447" w:rsidP="00EA2447">
            <w:pPr>
              <w:jc w:val="right"/>
            </w:pPr>
            <w:r w:rsidRPr="00EA2447">
              <w:rPr>
                <w:sz w:val="40"/>
              </w:rPr>
              <w:t>ECE</w:t>
            </w:r>
            <w:r>
              <w:t>/TRANS/WP.29/GRBP/2023/13</w:t>
            </w:r>
          </w:p>
        </w:tc>
      </w:tr>
      <w:tr w:rsidR="00F35BAF" w:rsidRPr="00DB58B5" w14:paraId="195601D3" w14:textId="77777777" w:rsidTr="00C97039">
        <w:trPr>
          <w:trHeight w:hRule="exact" w:val="2835"/>
        </w:trPr>
        <w:tc>
          <w:tcPr>
            <w:tcW w:w="1276" w:type="dxa"/>
            <w:tcBorders>
              <w:top w:val="single" w:sz="4" w:space="0" w:color="auto"/>
              <w:bottom w:val="single" w:sz="12" w:space="0" w:color="auto"/>
            </w:tcBorders>
          </w:tcPr>
          <w:p w14:paraId="00B196CC" w14:textId="77777777" w:rsidR="00F35BAF" w:rsidRPr="00DB58B5" w:rsidRDefault="00F35BAF" w:rsidP="00C97039">
            <w:pPr>
              <w:spacing w:before="120"/>
              <w:jc w:val="center"/>
            </w:pPr>
            <w:r>
              <w:rPr>
                <w:noProof/>
                <w:lang w:eastAsia="fr-CH"/>
              </w:rPr>
              <w:drawing>
                <wp:inline distT="0" distB="0" distL="0" distR="0" wp14:anchorId="6810EA73" wp14:editId="6BFF37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F2D38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99A3020" w14:textId="77777777" w:rsidR="00F35BAF" w:rsidRDefault="00EA2447" w:rsidP="00C97039">
            <w:pPr>
              <w:spacing w:before="240"/>
            </w:pPr>
            <w:r>
              <w:t>Distr. générale</w:t>
            </w:r>
          </w:p>
          <w:p w14:paraId="40EE390D" w14:textId="77777777" w:rsidR="00EA2447" w:rsidRDefault="00EA2447" w:rsidP="00EA2447">
            <w:pPr>
              <w:spacing w:line="240" w:lineRule="exact"/>
            </w:pPr>
            <w:r>
              <w:t>13 juin 2023</w:t>
            </w:r>
          </w:p>
          <w:p w14:paraId="12564587" w14:textId="77777777" w:rsidR="00EA2447" w:rsidRDefault="00EA2447" w:rsidP="00EA2447">
            <w:pPr>
              <w:spacing w:line="240" w:lineRule="exact"/>
            </w:pPr>
            <w:r>
              <w:t>Français</w:t>
            </w:r>
          </w:p>
          <w:p w14:paraId="79AA679E" w14:textId="6B4F1788" w:rsidR="00EA2447" w:rsidRPr="00DB58B5" w:rsidRDefault="00EA2447" w:rsidP="00EA2447">
            <w:pPr>
              <w:spacing w:line="240" w:lineRule="exact"/>
            </w:pPr>
            <w:r>
              <w:t>Original : anglais</w:t>
            </w:r>
          </w:p>
        </w:tc>
      </w:tr>
    </w:tbl>
    <w:p w14:paraId="1390C503" w14:textId="411B26E5" w:rsidR="007F20FA" w:rsidRPr="000312C0" w:rsidRDefault="007F20FA" w:rsidP="007F20FA">
      <w:pPr>
        <w:spacing w:before="120"/>
        <w:rPr>
          <w:b/>
          <w:sz w:val="28"/>
          <w:szCs w:val="28"/>
        </w:rPr>
      </w:pPr>
      <w:r w:rsidRPr="000312C0">
        <w:rPr>
          <w:b/>
          <w:sz w:val="28"/>
          <w:szCs w:val="28"/>
        </w:rPr>
        <w:t>Commission économique pour l</w:t>
      </w:r>
      <w:r w:rsidR="005C1A52">
        <w:rPr>
          <w:b/>
          <w:sz w:val="28"/>
          <w:szCs w:val="28"/>
        </w:rPr>
        <w:t>’</w:t>
      </w:r>
      <w:r w:rsidRPr="000312C0">
        <w:rPr>
          <w:b/>
          <w:sz w:val="28"/>
          <w:szCs w:val="28"/>
        </w:rPr>
        <w:t>Europe</w:t>
      </w:r>
    </w:p>
    <w:p w14:paraId="33E2B0E6" w14:textId="77777777" w:rsidR="007F20FA" w:rsidRDefault="007F20FA" w:rsidP="007F20FA">
      <w:pPr>
        <w:spacing w:before="120"/>
        <w:rPr>
          <w:sz w:val="28"/>
          <w:szCs w:val="28"/>
        </w:rPr>
      </w:pPr>
      <w:r w:rsidRPr="00685843">
        <w:rPr>
          <w:sz w:val="28"/>
          <w:szCs w:val="28"/>
        </w:rPr>
        <w:t>Comité des transports intérieurs</w:t>
      </w:r>
    </w:p>
    <w:p w14:paraId="308F7F5D" w14:textId="7F33969A" w:rsidR="00EA2447" w:rsidRDefault="00EA2447" w:rsidP="00AF0CB5">
      <w:pPr>
        <w:spacing w:before="120"/>
        <w:rPr>
          <w:b/>
          <w:sz w:val="24"/>
          <w:szCs w:val="24"/>
        </w:rPr>
      </w:pPr>
      <w:r w:rsidRPr="00685843">
        <w:rPr>
          <w:b/>
          <w:sz w:val="24"/>
          <w:szCs w:val="24"/>
        </w:rPr>
        <w:t>Forum mondial de l</w:t>
      </w:r>
      <w:r w:rsidR="005C1A5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C15DB9E" w14:textId="48D8E56F" w:rsidR="00EA2447" w:rsidRDefault="00EA2447" w:rsidP="00F9573C">
      <w:pPr>
        <w:spacing w:before="120" w:after="120" w:line="240" w:lineRule="exact"/>
        <w:rPr>
          <w:b/>
        </w:rPr>
      </w:pPr>
      <w:bookmarkStart w:id="0" w:name="_GoBack"/>
      <w:bookmarkEnd w:id="0"/>
      <w:r>
        <w:rPr>
          <w:b/>
        </w:rPr>
        <w:t>Groupe de travail du bruit et des pneumatiques</w:t>
      </w:r>
    </w:p>
    <w:p w14:paraId="3D970527" w14:textId="401A2C77" w:rsidR="00EA2447" w:rsidRDefault="00EA2447" w:rsidP="00F9573C">
      <w:pPr>
        <w:spacing w:before="120" w:line="240" w:lineRule="exact"/>
        <w:rPr>
          <w:b/>
        </w:rPr>
      </w:pPr>
      <w:r>
        <w:rPr>
          <w:b/>
          <w:bCs/>
          <w:lang w:val="fr-FR"/>
        </w:rPr>
        <w:t>Soixante-dix-huitième</w:t>
      </w:r>
      <w:r>
        <w:rPr>
          <w:b/>
        </w:rPr>
        <w:t xml:space="preserve"> session</w:t>
      </w:r>
    </w:p>
    <w:p w14:paraId="65AD9151" w14:textId="5AEEA726" w:rsidR="00EA2447" w:rsidRDefault="00EA2447" w:rsidP="00F9573C">
      <w:pPr>
        <w:spacing w:line="240" w:lineRule="exact"/>
      </w:pPr>
      <w:r>
        <w:t xml:space="preserve">Genève, </w:t>
      </w:r>
      <w:r>
        <w:rPr>
          <w:lang w:val="fr-FR"/>
        </w:rPr>
        <w:t>30 août-1</w:t>
      </w:r>
      <w:r>
        <w:rPr>
          <w:vertAlign w:val="superscript"/>
          <w:lang w:val="fr-FR"/>
        </w:rPr>
        <w:t>er</w:t>
      </w:r>
      <w:r>
        <w:rPr>
          <w:lang w:val="fr-FR"/>
        </w:rPr>
        <w:t xml:space="preserve"> septembre 2023</w:t>
      </w:r>
    </w:p>
    <w:p w14:paraId="4EACBCB2" w14:textId="2E9E8D6C" w:rsidR="00EA2447" w:rsidRDefault="00EA2447" w:rsidP="00F9573C">
      <w:pPr>
        <w:spacing w:line="240" w:lineRule="exact"/>
      </w:pPr>
      <w:r>
        <w:t>Point 1 de l</w:t>
      </w:r>
      <w:r w:rsidR="005C1A52">
        <w:t>’</w:t>
      </w:r>
      <w:r>
        <w:t>ordre du jour provisoire</w:t>
      </w:r>
    </w:p>
    <w:p w14:paraId="0ABFE24D" w14:textId="1CCA4422" w:rsidR="00EA2447" w:rsidRPr="00A72458" w:rsidRDefault="00EA2447" w:rsidP="00EA2447">
      <w:pPr>
        <w:rPr>
          <w:b/>
          <w:lang w:val="fr-FR"/>
        </w:rPr>
      </w:pPr>
      <w:r>
        <w:rPr>
          <w:b/>
          <w:bCs/>
          <w:lang w:val="fr-FR"/>
        </w:rPr>
        <w:t>Adoption de l</w:t>
      </w:r>
      <w:r w:rsidR="005C1A52">
        <w:rPr>
          <w:b/>
          <w:bCs/>
          <w:lang w:val="fr-FR"/>
        </w:rPr>
        <w:t>’</w:t>
      </w:r>
      <w:r>
        <w:rPr>
          <w:b/>
          <w:bCs/>
          <w:lang w:val="fr-FR"/>
        </w:rPr>
        <w:t>ordre du jour</w:t>
      </w:r>
    </w:p>
    <w:p w14:paraId="47316948" w14:textId="15D2732F" w:rsidR="00EA2447" w:rsidRPr="00A72458" w:rsidRDefault="00EA2447" w:rsidP="00EA2447">
      <w:pPr>
        <w:pStyle w:val="HChG"/>
        <w:rPr>
          <w:lang w:val="fr-FR"/>
        </w:rPr>
      </w:pPr>
      <w:r>
        <w:rPr>
          <w:lang w:val="fr-FR"/>
        </w:rPr>
        <w:tab/>
      </w:r>
      <w:r>
        <w:rPr>
          <w:lang w:val="fr-FR"/>
        </w:rPr>
        <w:tab/>
        <w:t xml:space="preserve">Ordre du jour provisoire annoté </w:t>
      </w:r>
      <w:r w:rsidR="0042674E">
        <w:rPr>
          <w:lang w:val="fr-FR"/>
        </w:rPr>
        <w:br/>
      </w:r>
      <w:r>
        <w:rPr>
          <w:lang w:val="fr-FR"/>
        </w:rPr>
        <w:t>de la soixante-dix-huitième session</w:t>
      </w:r>
      <w:r w:rsidRPr="0042674E">
        <w:rPr>
          <w:rStyle w:val="Appelnotedebasdep"/>
          <w:b w:val="0"/>
          <w:sz w:val="20"/>
          <w:vertAlign w:val="baseline"/>
        </w:rPr>
        <w:footnoteReference w:customMarkFollows="1" w:id="2"/>
        <w:t>*</w:t>
      </w:r>
      <w:r w:rsidRPr="00030C6C">
        <w:rPr>
          <w:sz w:val="20"/>
          <w:vertAlign w:val="superscript"/>
          <w:lang w:val="fr-FR"/>
        </w:rPr>
        <w:t>,</w:t>
      </w:r>
      <w:r w:rsidR="0042674E" w:rsidRPr="0042674E">
        <w:rPr>
          <w:b w:val="0"/>
          <w:bCs/>
          <w:sz w:val="20"/>
          <w:lang w:val="fr-FR"/>
        </w:rPr>
        <w:t xml:space="preserve"> </w:t>
      </w:r>
      <w:r w:rsidR="0042674E" w:rsidRPr="0042674E">
        <w:rPr>
          <w:rStyle w:val="Appelnotedebasdep"/>
          <w:b w:val="0"/>
          <w:bCs/>
          <w:sz w:val="20"/>
          <w:vertAlign w:val="baseline"/>
        </w:rPr>
        <w:footnoteReference w:customMarkFollows="1" w:id="3"/>
        <w:t>**</w:t>
      </w:r>
    </w:p>
    <w:p w14:paraId="5E89E531" w14:textId="59B0B435" w:rsidR="00F9573C" w:rsidRDefault="00EA2447" w:rsidP="00EA2447">
      <w:pPr>
        <w:pStyle w:val="SingleTxtG"/>
        <w:rPr>
          <w:lang w:val="fr-FR"/>
        </w:rPr>
      </w:pPr>
      <w:r>
        <w:rPr>
          <w:lang w:val="fr-FR"/>
        </w:rPr>
        <w:t>Qui se tiendra au Palais des Nations, à Genève, du 30 août à 9 h 30 au 1</w:t>
      </w:r>
      <w:r>
        <w:rPr>
          <w:vertAlign w:val="superscript"/>
          <w:lang w:val="fr-FR"/>
        </w:rPr>
        <w:t>er</w:t>
      </w:r>
      <w:r>
        <w:rPr>
          <w:lang w:val="fr-FR"/>
        </w:rPr>
        <w:t xml:space="preserve"> septembre 2023 à</w:t>
      </w:r>
      <w:r w:rsidR="0042674E">
        <w:rPr>
          <w:lang w:val="fr-FR"/>
        </w:rPr>
        <w:t> </w:t>
      </w:r>
      <w:r>
        <w:rPr>
          <w:lang w:val="fr-FR"/>
        </w:rPr>
        <w:t>17 h 30</w:t>
      </w:r>
      <w:r w:rsidR="0042674E">
        <w:rPr>
          <w:lang w:val="fr-FR"/>
        </w:rPr>
        <w:t>.</w:t>
      </w:r>
    </w:p>
    <w:p w14:paraId="789BABC3" w14:textId="44B603B1" w:rsidR="00EA2447" w:rsidRDefault="00EA2447" w:rsidP="00EA2447">
      <w:pPr>
        <w:rPr>
          <w:lang w:val="fr-FR"/>
        </w:rPr>
      </w:pPr>
      <w:r>
        <w:rPr>
          <w:lang w:val="fr-FR"/>
        </w:rPr>
        <w:br w:type="page"/>
      </w:r>
    </w:p>
    <w:p w14:paraId="442DF440" w14:textId="00F78E8F" w:rsidR="00EA2447" w:rsidRPr="00A72458" w:rsidRDefault="00EA2447" w:rsidP="00EA2447">
      <w:pPr>
        <w:pStyle w:val="HChG"/>
        <w:rPr>
          <w:lang w:val="fr-FR"/>
        </w:rPr>
      </w:pPr>
      <w:r>
        <w:rPr>
          <w:lang w:val="fr-FR"/>
        </w:rPr>
        <w:lastRenderedPageBreak/>
        <w:tab/>
      </w:r>
      <w:r>
        <w:rPr>
          <w:lang w:val="fr-FR"/>
        </w:rPr>
        <w:t>I.</w:t>
      </w:r>
      <w:r>
        <w:rPr>
          <w:lang w:val="fr-FR"/>
        </w:rPr>
        <w:tab/>
        <w:t>Ordre du jour provisoire</w:t>
      </w:r>
    </w:p>
    <w:p w14:paraId="3200231A" w14:textId="40EDEC7F" w:rsidR="00EA2447" w:rsidRPr="00A72458" w:rsidRDefault="00EA2447" w:rsidP="00EA2447">
      <w:pPr>
        <w:pStyle w:val="SingleTxtG"/>
        <w:ind w:left="1701" w:hanging="567"/>
        <w:rPr>
          <w:lang w:val="fr-FR"/>
        </w:rPr>
      </w:pPr>
      <w:r>
        <w:rPr>
          <w:lang w:val="fr-FR"/>
        </w:rPr>
        <w:t>1.</w:t>
      </w:r>
      <w:r>
        <w:rPr>
          <w:lang w:val="fr-FR"/>
        </w:rPr>
        <w:tab/>
        <w:t>Adoption de l</w:t>
      </w:r>
      <w:r w:rsidR="005C1A52">
        <w:rPr>
          <w:lang w:val="fr-FR"/>
        </w:rPr>
        <w:t>’</w:t>
      </w:r>
      <w:r>
        <w:rPr>
          <w:lang w:val="fr-FR"/>
        </w:rPr>
        <w:t>ordre du jour.</w:t>
      </w:r>
    </w:p>
    <w:p w14:paraId="4A4F6CD8" w14:textId="7D6B6CDE" w:rsidR="00EA2447" w:rsidRPr="00A72458" w:rsidRDefault="00EA2447" w:rsidP="00EA2447">
      <w:pPr>
        <w:pStyle w:val="SingleTxtG"/>
        <w:ind w:left="1701" w:hanging="567"/>
        <w:rPr>
          <w:lang w:val="fr-FR"/>
        </w:rPr>
      </w:pPr>
      <w:r>
        <w:rPr>
          <w:lang w:val="fr-FR"/>
        </w:rPr>
        <w:t>2.</w:t>
      </w:r>
      <w:r>
        <w:rPr>
          <w:lang w:val="fr-FR"/>
        </w:rPr>
        <w:tab/>
        <w:t>Règlement ONU n</w:t>
      </w:r>
      <w:r>
        <w:rPr>
          <w:vertAlign w:val="superscript"/>
          <w:lang w:val="fr-FR"/>
        </w:rPr>
        <w:t>o</w:t>
      </w:r>
      <w:r w:rsidR="00EB5A8D">
        <w:rPr>
          <w:lang w:val="fr-FR"/>
        </w:rPr>
        <w:t> </w:t>
      </w:r>
      <w:r>
        <w:rPr>
          <w:lang w:val="fr-FR"/>
        </w:rPr>
        <w:t>41 (Bruit émis par les motocycles).</w:t>
      </w:r>
    </w:p>
    <w:p w14:paraId="640F707C" w14:textId="36A08C14" w:rsidR="00EA2447" w:rsidRPr="00A72458" w:rsidRDefault="00EA2447" w:rsidP="00EA2447">
      <w:pPr>
        <w:pStyle w:val="SingleTxtG"/>
        <w:ind w:left="1701" w:hanging="567"/>
        <w:rPr>
          <w:lang w:val="fr-FR"/>
        </w:rPr>
      </w:pPr>
      <w:r>
        <w:rPr>
          <w:lang w:val="fr-FR"/>
        </w:rPr>
        <w:t>3.</w:t>
      </w:r>
      <w:r>
        <w:rPr>
          <w:lang w:val="fr-FR"/>
        </w:rPr>
        <w:tab/>
        <w:t>Règlement ONU n</w:t>
      </w:r>
      <w:r>
        <w:rPr>
          <w:vertAlign w:val="superscript"/>
          <w:lang w:val="fr-FR"/>
        </w:rPr>
        <w:t>o</w:t>
      </w:r>
      <w:r w:rsidR="00EB5A8D">
        <w:rPr>
          <w:lang w:val="fr-FR"/>
        </w:rPr>
        <w:t> </w:t>
      </w:r>
      <w:r>
        <w:rPr>
          <w:lang w:val="fr-FR"/>
        </w:rPr>
        <w:t>51 (Bruit des véhicules des catégories M et N).</w:t>
      </w:r>
    </w:p>
    <w:p w14:paraId="3F5B32F8" w14:textId="77777777" w:rsidR="00EA2447" w:rsidRPr="00A72458" w:rsidRDefault="00EA2447" w:rsidP="00EA2447">
      <w:pPr>
        <w:pStyle w:val="SingleTxtG"/>
        <w:ind w:left="1701" w:hanging="567"/>
        <w:rPr>
          <w:lang w:val="fr-FR"/>
        </w:rPr>
      </w:pPr>
      <w:r>
        <w:rPr>
          <w:lang w:val="fr-FR"/>
        </w:rPr>
        <w:t>4.</w:t>
      </w:r>
      <w:r>
        <w:rPr>
          <w:lang w:val="fr-FR"/>
        </w:rPr>
        <w:tab/>
        <w:t>Règlement ONU n</w:t>
      </w:r>
      <w:r>
        <w:rPr>
          <w:vertAlign w:val="superscript"/>
          <w:lang w:val="fr-FR"/>
        </w:rPr>
        <w:t>o</w:t>
      </w:r>
      <w:r>
        <w:rPr>
          <w:lang w:val="fr-FR"/>
        </w:rPr>
        <w:t> 63 (Émissions sonores des cyclomoteurs).</w:t>
      </w:r>
    </w:p>
    <w:p w14:paraId="28BF197B" w14:textId="254DEE34" w:rsidR="00EA2447" w:rsidRPr="00A72458" w:rsidRDefault="00EA2447" w:rsidP="00EA2447">
      <w:pPr>
        <w:pStyle w:val="SingleTxtG"/>
        <w:ind w:left="1701" w:hanging="567"/>
        <w:rPr>
          <w:lang w:val="fr-FR"/>
        </w:rPr>
      </w:pPr>
      <w:r>
        <w:rPr>
          <w:lang w:val="fr-FR"/>
        </w:rPr>
        <w:t>5.</w:t>
      </w:r>
      <w:r>
        <w:rPr>
          <w:lang w:val="fr-FR"/>
        </w:rPr>
        <w:tab/>
        <w:t>Règlement ONU n</w:t>
      </w:r>
      <w:r>
        <w:rPr>
          <w:vertAlign w:val="superscript"/>
          <w:lang w:val="fr-FR"/>
        </w:rPr>
        <w:t>o</w:t>
      </w:r>
      <w:r w:rsidR="00EB5A8D" w:rsidRPr="00EB5A8D">
        <w:rPr>
          <w:lang w:val="fr-FR"/>
        </w:rPr>
        <w:t> </w:t>
      </w:r>
      <w:r>
        <w:rPr>
          <w:lang w:val="fr-FR"/>
        </w:rPr>
        <w:t>92 (Dispositifs silencieux d</w:t>
      </w:r>
      <w:r w:rsidR="005C1A52">
        <w:rPr>
          <w:lang w:val="fr-FR"/>
        </w:rPr>
        <w:t>’</w:t>
      </w:r>
      <w:r>
        <w:rPr>
          <w:lang w:val="fr-FR"/>
        </w:rPr>
        <w:t>échappement de remplacement pour motocycles).</w:t>
      </w:r>
    </w:p>
    <w:p w14:paraId="46413ECD" w14:textId="5B99083D" w:rsidR="00EA2447" w:rsidRPr="00A72458" w:rsidRDefault="00EA2447" w:rsidP="00EA2447">
      <w:pPr>
        <w:pStyle w:val="SingleTxtG"/>
        <w:ind w:left="1701" w:hanging="567"/>
        <w:rPr>
          <w:lang w:val="fr-FR"/>
        </w:rPr>
      </w:pPr>
      <w:r>
        <w:rPr>
          <w:lang w:val="fr-FR"/>
        </w:rPr>
        <w:t>6.</w:t>
      </w:r>
      <w:r>
        <w:rPr>
          <w:lang w:val="fr-FR"/>
        </w:rPr>
        <w:tab/>
        <w:t>Règlement ONU n</w:t>
      </w:r>
      <w:r>
        <w:rPr>
          <w:vertAlign w:val="superscript"/>
          <w:lang w:val="fr-FR"/>
        </w:rPr>
        <w:t>o</w:t>
      </w:r>
      <w:r w:rsidR="00EB5A8D">
        <w:rPr>
          <w:lang w:val="fr-FR"/>
        </w:rPr>
        <w:t> </w:t>
      </w:r>
      <w:r>
        <w:rPr>
          <w:lang w:val="fr-FR"/>
        </w:rPr>
        <w:t>138 (Véhicules à moteur silencieux).</w:t>
      </w:r>
    </w:p>
    <w:p w14:paraId="50132460" w14:textId="77777777" w:rsidR="00EA2447" w:rsidRPr="00A72458" w:rsidRDefault="00EA2447" w:rsidP="00EA2447">
      <w:pPr>
        <w:pStyle w:val="SingleTxtG"/>
        <w:ind w:left="1701" w:hanging="567"/>
        <w:rPr>
          <w:lang w:val="fr-FR"/>
        </w:rPr>
      </w:pPr>
      <w:r>
        <w:rPr>
          <w:lang w:val="fr-FR"/>
        </w:rPr>
        <w:t>7.</w:t>
      </w:r>
      <w:r>
        <w:rPr>
          <w:lang w:val="fr-FR"/>
        </w:rPr>
        <w:tab/>
        <w:t>Pneumatiques :</w:t>
      </w:r>
    </w:p>
    <w:p w14:paraId="096751EB" w14:textId="16C73468" w:rsidR="00EA2447" w:rsidRPr="00A72458" w:rsidRDefault="00EA2447" w:rsidP="00EA2447">
      <w:pPr>
        <w:pStyle w:val="SingleTxtG"/>
        <w:ind w:left="2268" w:hanging="567"/>
        <w:rPr>
          <w:lang w:val="fr-FR"/>
        </w:rPr>
      </w:pPr>
      <w:r>
        <w:rPr>
          <w:lang w:val="fr-FR"/>
        </w:rPr>
        <w:t>a)</w:t>
      </w:r>
      <w:r>
        <w:rPr>
          <w:lang w:val="fr-FR"/>
        </w:rPr>
        <w:tab/>
        <w:t>Règlement ONU n</w:t>
      </w:r>
      <w:r>
        <w:rPr>
          <w:vertAlign w:val="superscript"/>
          <w:lang w:val="fr-FR"/>
        </w:rPr>
        <w:t>o</w:t>
      </w:r>
      <w:r w:rsidR="00EB5A8D">
        <w:rPr>
          <w:lang w:val="fr-FR"/>
        </w:rPr>
        <w:t> </w:t>
      </w:r>
      <w:r>
        <w:rPr>
          <w:lang w:val="fr-FR"/>
        </w:rPr>
        <w:t>54 (Pneumatiques pour les véhicules utilitaires et leurs remorques) ;</w:t>
      </w:r>
    </w:p>
    <w:p w14:paraId="5BBE4C15" w14:textId="68A2BBC4" w:rsidR="00EA2447" w:rsidRPr="00A72458" w:rsidRDefault="00EA2447" w:rsidP="00EA2447">
      <w:pPr>
        <w:pStyle w:val="SingleTxtG"/>
        <w:ind w:left="2268" w:hanging="567"/>
        <w:rPr>
          <w:lang w:val="fr-FR"/>
        </w:rPr>
      </w:pPr>
      <w:r>
        <w:rPr>
          <w:lang w:val="fr-FR"/>
        </w:rPr>
        <w:t>b)</w:t>
      </w:r>
      <w:r>
        <w:rPr>
          <w:lang w:val="fr-FR"/>
        </w:rPr>
        <w:tab/>
        <w:t>Règlement ONU n</w:t>
      </w:r>
      <w:r>
        <w:rPr>
          <w:vertAlign w:val="superscript"/>
          <w:lang w:val="fr-FR"/>
        </w:rPr>
        <w:t>o</w:t>
      </w:r>
      <w:r w:rsidR="00EB5A8D">
        <w:rPr>
          <w:lang w:val="fr-FR"/>
        </w:rPr>
        <w:t> </w:t>
      </w:r>
      <w:r>
        <w:rPr>
          <w:lang w:val="fr-FR"/>
        </w:rPr>
        <w:t>106 (Pneumatiques pour les véhicules agricoles et leurs remorques) ;</w:t>
      </w:r>
    </w:p>
    <w:p w14:paraId="2E79A5CF" w14:textId="2B3A7B73" w:rsidR="00EA2447" w:rsidRPr="00A72458" w:rsidRDefault="00EA2447" w:rsidP="00EA2447">
      <w:pPr>
        <w:pStyle w:val="SingleTxtG"/>
        <w:ind w:left="2268" w:hanging="567"/>
        <w:rPr>
          <w:lang w:val="fr-FR"/>
        </w:rPr>
      </w:pPr>
      <w:r>
        <w:rPr>
          <w:lang w:val="fr-FR"/>
        </w:rPr>
        <w:t>c)</w:t>
      </w:r>
      <w:r>
        <w:rPr>
          <w:lang w:val="fr-FR"/>
        </w:rPr>
        <w:tab/>
        <w:t>Règlement ONU n</w:t>
      </w:r>
      <w:r>
        <w:rPr>
          <w:vertAlign w:val="superscript"/>
          <w:lang w:val="fr-FR"/>
        </w:rPr>
        <w:t>o</w:t>
      </w:r>
      <w:r w:rsidR="00EB5A8D">
        <w:rPr>
          <w:lang w:val="fr-FR"/>
        </w:rPr>
        <w:t> </w:t>
      </w:r>
      <w:r>
        <w:rPr>
          <w:lang w:val="fr-FR"/>
        </w:rPr>
        <w:t xml:space="preserve">117 (Pneumatiques </w:t>
      </w:r>
      <w:r w:rsidR="00EB5A8D">
        <w:rPr>
          <w:lang w:val="fr-FR"/>
        </w:rPr>
        <w:t>−</w:t>
      </w:r>
      <w:r>
        <w:rPr>
          <w:lang w:val="fr-FR"/>
        </w:rPr>
        <w:t xml:space="preserve"> Résistance au roulement, bruit de roulement et adhérence sur sol mouillé) ;</w:t>
      </w:r>
    </w:p>
    <w:p w14:paraId="0BDACA6C" w14:textId="4AF5E098" w:rsidR="00EA2447" w:rsidRPr="00A72458" w:rsidRDefault="00EA2447" w:rsidP="00EA2447">
      <w:pPr>
        <w:pStyle w:val="SingleTxtG"/>
        <w:ind w:left="2268" w:hanging="567"/>
        <w:rPr>
          <w:lang w:val="fr-FR"/>
        </w:rPr>
      </w:pPr>
      <w:r>
        <w:rPr>
          <w:lang w:val="fr-FR"/>
        </w:rPr>
        <w:t>d)</w:t>
      </w:r>
      <w:r>
        <w:rPr>
          <w:lang w:val="fr-FR"/>
        </w:rPr>
        <w:tab/>
        <w:t>Règlement ONU n</w:t>
      </w:r>
      <w:r>
        <w:rPr>
          <w:vertAlign w:val="superscript"/>
          <w:lang w:val="fr-FR"/>
        </w:rPr>
        <w:t>o</w:t>
      </w:r>
      <w:r w:rsidR="00EB5A8D">
        <w:rPr>
          <w:lang w:val="fr-FR"/>
        </w:rPr>
        <w:t> </w:t>
      </w:r>
      <w:r>
        <w:rPr>
          <w:lang w:val="fr-FR"/>
        </w:rPr>
        <w:t>124 (Roues de rechange pour voitures particulières) ;</w:t>
      </w:r>
    </w:p>
    <w:p w14:paraId="63944B01" w14:textId="77777777" w:rsidR="00EA2447" w:rsidRPr="00A72458" w:rsidRDefault="00EA2447" w:rsidP="00EA2447">
      <w:pPr>
        <w:pStyle w:val="SingleTxtG"/>
        <w:ind w:left="2268" w:hanging="567"/>
        <w:rPr>
          <w:lang w:val="fr-FR"/>
        </w:rPr>
      </w:pPr>
      <w:r>
        <w:rPr>
          <w:lang w:val="fr-FR"/>
        </w:rPr>
        <w:t>e)</w:t>
      </w:r>
      <w:r>
        <w:rPr>
          <w:lang w:val="fr-FR"/>
        </w:rPr>
        <w:tab/>
        <w:t>Abrasion des pneumatiques ;</w:t>
      </w:r>
    </w:p>
    <w:p w14:paraId="4B0E40ED" w14:textId="77777777" w:rsidR="00EA2447" w:rsidRPr="00A72458" w:rsidRDefault="00EA2447" w:rsidP="00EA2447">
      <w:pPr>
        <w:pStyle w:val="SingleTxtG"/>
        <w:ind w:left="2268" w:hanging="567"/>
        <w:rPr>
          <w:lang w:val="fr-FR"/>
        </w:rPr>
      </w:pPr>
      <w:r>
        <w:rPr>
          <w:lang w:val="fr-FR"/>
        </w:rPr>
        <w:t>f)</w:t>
      </w:r>
      <w:r>
        <w:rPr>
          <w:lang w:val="fr-FR"/>
        </w:rPr>
        <w:tab/>
        <w:t>Autres Règlements ONU concernant les pneumatiques.</w:t>
      </w:r>
    </w:p>
    <w:p w14:paraId="7CDD9C96" w14:textId="305CBBBB" w:rsidR="00EA2447" w:rsidRPr="00A72458" w:rsidRDefault="00EA2447" w:rsidP="00EA2447">
      <w:pPr>
        <w:pStyle w:val="SingleTxtG"/>
        <w:ind w:left="1701" w:hanging="567"/>
        <w:rPr>
          <w:lang w:val="fr-FR"/>
        </w:rPr>
      </w:pPr>
      <w:r>
        <w:rPr>
          <w:lang w:val="fr-FR"/>
        </w:rPr>
        <w:t>8.</w:t>
      </w:r>
      <w:r>
        <w:rPr>
          <w:lang w:val="fr-FR"/>
        </w:rPr>
        <w:tab/>
        <w:t>Échange d</w:t>
      </w:r>
      <w:r w:rsidR="005C1A52">
        <w:rPr>
          <w:lang w:val="fr-FR"/>
        </w:rPr>
        <w:t>’</w:t>
      </w:r>
      <w:r>
        <w:rPr>
          <w:lang w:val="fr-FR"/>
        </w:rPr>
        <w:t>informations sur les prescriptions nationales et internationales en matière de niveau sonore.</w:t>
      </w:r>
    </w:p>
    <w:p w14:paraId="5CCD1430" w14:textId="35EB3DE9" w:rsidR="00EA2447" w:rsidRPr="00A72458" w:rsidRDefault="00EA2447" w:rsidP="00EA2447">
      <w:pPr>
        <w:pStyle w:val="SingleTxtG"/>
        <w:ind w:left="1701" w:hanging="567"/>
        <w:rPr>
          <w:lang w:val="fr-FR"/>
        </w:rPr>
      </w:pPr>
      <w:r>
        <w:rPr>
          <w:lang w:val="fr-FR"/>
        </w:rPr>
        <w:t>9.</w:t>
      </w:r>
      <w:r>
        <w:rPr>
          <w:lang w:val="fr-FR"/>
        </w:rPr>
        <w:tab/>
        <w:t>Propositions d</w:t>
      </w:r>
      <w:r w:rsidR="005C1A52">
        <w:rPr>
          <w:lang w:val="fr-FR"/>
        </w:rPr>
        <w:t>’</w:t>
      </w:r>
      <w:r>
        <w:rPr>
          <w:lang w:val="fr-FR"/>
        </w:rPr>
        <w:t>amendements à la Résolution d</w:t>
      </w:r>
      <w:r w:rsidR="005C1A52">
        <w:rPr>
          <w:lang w:val="fr-FR"/>
        </w:rPr>
        <w:t>’</w:t>
      </w:r>
      <w:r>
        <w:rPr>
          <w:lang w:val="fr-FR"/>
        </w:rPr>
        <w:t>ensemble sur la construction des véhicules.</w:t>
      </w:r>
    </w:p>
    <w:p w14:paraId="428C4C48" w14:textId="6B3559C4" w:rsidR="00EA2447" w:rsidRPr="00A72458" w:rsidRDefault="00EA2447" w:rsidP="00EA2447">
      <w:pPr>
        <w:pStyle w:val="SingleTxtG"/>
        <w:ind w:left="1701" w:hanging="567"/>
        <w:rPr>
          <w:lang w:val="fr-FR"/>
        </w:rPr>
      </w:pPr>
      <w:r>
        <w:rPr>
          <w:lang w:val="fr-FR"/>
        </w:rPr>
        <w:t>10.</w:t>
      </w:r>
      <w:r>
        <w:rPr>
          <w:lang w:val="fr-FR"/>
        </w:rPr>
        <w:tab/>
        <w:t>Mise au point d</w:t>
      </w:r>
      <w:r w:rsidR="005C1A52">
        <w:rPr>
          <w:lang w:val="fr-FR"/>
        </w:rPr>
        <w:t>’</w:t>
      </w:r>
      <w:r>
        <w:rPr>
          <w:lang w:val="fr-FR"/>
        </w:rPr>
        <w:t>une homologation de type internationale de l</w:t>
      </w:r>
      <w:r w:rsidR="005C1A52">
        <w:rPr>
          <w:lang w:val="fr-FR"/>
        </w:rPr>
        <w:t>’</w:t>
      </w:r>
      <w:r>
        <w:rPr>
          <w:lang w:val="fr-FR"/>
        </w:rPr>
        <w:t>ensemble du véhicule.</w:t>
      </w:r>
    </w:p>
    <w:p w14:paraId="1B572DA4" w14:textId="38DCBAD8" w:rsidR="00EA2447" w:rsidRPr="00A72458" w:rsidRDefault="00EA2447" w:rsidP="00EA2447">
      <w:pPr>
        <w:pStyle w:val="SingleTxtG"/>
        <w:ind w:left="1701" w:hanging="567"/>
        <w:rPr>
          <w:lang w:val="fr-FR"/>
        </w:rPr>
      </w:pPr>
      <w:r>
        <w:rPr>
          <w:lang w:val="fr-FR"/>
        </w:rPr>
        <w:t>11.</w:t>
      </w:r>
      <w:r>
        <w:rPr>
          <w:lang w:val="fr-FR"/>
        </w:rPr>
        <w:tab/>
        <w:t>Points à retenir des dernières sessions du Forum mondial de l</w:t>
      </w:r>
      <w:r w:rsidR="005C1A52">
        <w:rPr>
          <w:lang w:val="fr-FR"/>
        </w:rPr>
        <w:t>’</w:t>
      </w:r>
      <w:r>
        <w:rPr>
          <w:lang w:val="fr-FR"/>
        </w:rPr>
        <w:t>harmonisation des Règlements concernant les véhicules.</w:t>
      </w:r>
    </w:p>
    <w:p w14:paraId="7A7EAAFD" w14:textId="77777777" w:rsidR="00EA2447" w:rsidRPr="00A72458" w:rsidRDefault="00EA2447" w:rsidP="00EA2447">
      <w:pPr>
        <w:pStyle w:val="SingleTxtG"/>
        <w:ind w:left="1701" w:hanging="567"/>
        <w:rPr>
          <w:lang w:val="fr-FR"/>
        </w:rPr>
      </w:pPr>
      <w:r>
        <w:rPr>
          <w:lang w:val="fr-FR"/>
        </w:rPr>
        <w:t>12.</w:t>
      </w:r>
      <w:r>
        <w:rPr>
          <w:lang w:val="fr-FR"/>
        </w:rPr>
        <w:tab/>
        <w:t>Échange de vues sur les travaux futurs du Groupe de travail du bruit et des pneumatiques.</w:t>
      </w:r>
    </w:p>
    <w:p w14:paraId="6872B7E0" w14:textId="77777777" w:rsidR="00EA2447" w:rsidRPr="00A72458" w:rsidRDefault="00EA2447" w:rsidP="00EA2447">
      <w:pPr>
        <w:pStyle w:val="SingleTxtG"/>
        <w:ind w:left="1701" w:hanging="567"/>
        <w:rPr>
          <w:lang w:val="fr-FR"/>
        </w:rPr>
      </w:pPr>
      <w:r>
        <w:rPr>
          <w:lang w:val="fr-FR"/>
        </w:rPr>
        <w:t>13.</w:t>
      </w:r>
      <w:r>
        <w:rPr>
          <w:lang w:val="fr-FR"/>
        </w:rPr>
        <w:tab/>
        <w:t>Questions diverses.</w:t>
      </w:r>
    </w:p>
    <w:p w14:paraId="1404F1E8" w14:textId="77777777" w:rsidR="00EA2447" w:rsidRPr="00A72458" w:rsidRDefault="00EA2447" w:rsidP="00EA2447">
      <w:pPr>
        <w:pStyle w:val="SingleTxtG"/>
        <w:ind w:left="1701" w:hanging="567"/>
        <w:rPr>
          <w:lang w:val="fr-FR"/>
        </w:rPr>
      </w:pPr>
      <w:r>
        <w:rPr>
          <w:lang w:val="fr-FR"/>
        </w:rPr>
        <w:t>14.</w:t>
      </w:r>
      <w:r>
        <w:rPr>
          <w:lang w:val="fr-FR"/>
        </w:rPr>
        <w:tab/>
        <w:t>Ordre du jour provisoire de la prochaine session.</w:t>
      </w:r>
    </w:p>
    <w:p w14:paraId="1CC1097B" w14:textId="77777777" w:rsidR="00EA2447" w:rsidRPr="00A72458" w:rsidRDefault="00EA2447" w:rsidP="00EA2447">
      <w:pPr>
        <w:pStyle w:val="SingleTxtG"/>
        <w:ind w:left="1701" w:hanging="567"/>
        <w:rPr>
          <w:lang w:val="fr-FR"/>
        </w:rPr>
      </w:pPr>
      <w:r>
        <w:rPr>
          <w:lang w:val="fr-FR"/>
        </w:rPr>
        <w:t>15.</w:t>
      </w:r>
      <w:r>
        <w:rPr>
          <w:lang w:val="fr-FR"/>
        </w:rPr>
        <w:tab/>
        <w:t>Élection du Bureau.</w:t>
      </w:r>
    </w:p>
    <w:p w14:paraId="34957000" w14:textId="77777777" w:rsidR="00EA2447" w:rsidRPr="00A72458" w:rsidRDefault="00EA2447" w:rsidP="00EA2447">
      <w:pPr>
        <w:pStyle w:val="HChG"/>
        <w:rPr>
          <w:lang w:val="fr-FR"/>
        </w:rPr>
      </w:pPr>
      <w:r>
        <w:rPr>
          <w:bCs/>
          <w:lang w:val="fr-FR"/>
        </w:rPr>
        <w:tab/>
        <w:t>II.</w:t>
      </w:r>
      <w:r>
        <w:rPr>
          <w:lang w:val="fr-FR"/>
        </w:rPr>
        <w:tab/>
      </w:r>
      <w:r w:rsidRPr="00EA2447">
        <w:rPr>
          <w:lang w:val="fr-FR"/>
        </w:rPr>
        <w:t>Annotations</w:t>
      </w:r>
    </w:p>
    <w:p w14:paraId="63F6924E" w14:textId="10289960" w:rsidR="00EA2447" w:rsidRPr="00A72458" w:rsidRDefault="00EA2447" w:rsidP="00EA2447">
      <w:pPr>
        <w:pStyle w:val="H1G"/>
        <w:rPr>
          <w:lang w:val="fr-FR"/>
        </w:rPr>
      </w:pPr>
      <w:r>
        <w:rPr>
          <w:lang w:val="fr-FR"/>
        </w:rPr>
        <w:tab/>
        <w:t>1.</w:t>
      </w:r>
      <w:r>
        <w:rPr>
          <w:lang w:val="fr-FR"/>
        </w:rPr>
        <w:tab/>
        <w:t>Adoption de l</w:t>
      </w:r>
      <w:r w:rsidR="005C1A52">
        <w:rPr>
          <w:lang w:val="fr-FR"/>
        </w:rPr>
        <w:t>’</w:t>
      </w:r>
      <w:r>
        <w:rPr>
          <w:lang w:val="fr-FR"/>
        </w:rPr>
        <w:t>ordre du jour</w:t>
      </w:r>
    </w:p>
    <w:p w14:paraId="0557A02B" w14:textId="07E51590" w:rsidR="00EA2447" w:rsidRPr="00A72458" w:rsidRDefault="00EA2447" w:rsidP="00EA2447">
      <w:pPr>
        <w:pStyle w:val="SingleTxtG"/>
        <w:ind w:firstLine="567"/>
        <w:rPr>
          <w:lang w:val="fr-FR"/>
        </w:rPr>
      </w:pPr>
      <w:r>
        <w:rPr>
          <w:lang w:val="fr-FR"/>
        </w:rPr>
        <w:t>Conformément à l</w:t>
      </w:r>
      <w:r w:rsidR="005C1A52">
        <w:rPr>
          <w:lang w:val="fr-FR"/>
        </w:rPr>
        <w:t>’</w:t>
      </w:r>
      <w:r>
        <w:rPr>
          <w:lang w:val="fr-FR"/>
        </w:rPr>
        <w:t>article 7 du chapitre III du Règlement intérieur (ECE/TRANS/WP.29/690/Rev.2) du Forum mondial de l</w:t>
      </w:r>
      <w:r w:rsidR="005C1A52">
        <w:rPr>
          <w:lang w:val="fr-FR"/>
        </w:rPr>
        <w:t>’</w:t>
      </w:r>
      <w:r>
        <w:rPr>
          <w:lang w:val="fr-FR"/>
        </w:rPr>
        <w:t>harmonisation des Règlements concernant les véhicules (WP.29), le premier point de l</w:t>
      </w:r>
      <w:r w:rsidR="005C1A52">
        <w:rPr>
          <w:lang w:val="fr-FR"/>
        </w:rPr>
        <w:t>’</w:t>
      </w:r>
      <w:r>
        <w:rPr>
          <w:lang w:val="fr-FR"/>
        </w:rPr>
        <w:t>ordre du jour provisoire est l</w:t>
      </w:r>
      <w:r w:rsidR="005C1A52">
        <w:rPr>
          <w:lang w:val="fr-FR"/>
        </w:rPr>
        <w:t>’</w:t>
      </w:r>
      <w:r>
        <w:rPr>
          <w:lang w:val="fr-FR"/>
        </w:rPr>
        <w:t>adoption de celui-ci.</w:t>
      </w:r>
    </w:p>
    <w:p w14:paraId="0DA83F55" w14:textId="77777777" w:rsidR="00EA2447" w:rsidRPr="00EA2447" w:rsidRDefault="00EA2447" w:rsidP="00EA2447">
      <w:pPr>
        <w:pStyle w:val="SingleTxtG"/>
        <w:rPr>
          <w:b/>
          <w:bCs/>
          <w:lang w:val="fr-FR"/>
        </w:rPr>
      </w:pPr>
      <w:r w:rsidRPr="00EA2447">
        <w:rPr>
          <w:b/>
          <w:bCs/>
          <w:lang w:val="fr-FR"/>
        </w:rPr>
        <w:t>Document(s) :</w:t>
      </w:r>
    </w:p>
    <w:p w14:paraId="0A924BB7" w14:textId="0DB0931F" w:rsidR="00EA2447" w:rsidRPr="00A72458" w:rsidRDefault="00EA2447" w:rsidP="00EA2447">
      <w:pPr>
        <w:pStyle w:val="SingleTxtG"/>
        <w:rPr>
          <w:lang w:val="fr-FR"/>
        </w:rPr>
      </w:pPr>
      <w:r>
        <w:rPr>
          <w:lang w:val="fr-FR"/>
        </w:rPr>
        <w:t>ECE/TRANS/WP.29/GRBP/2023/13</w:t>
      </w:r>
    </w:p>
    <w:p w14:paraId="296F68EC" w14:textId="1EE1E841" w:rsidR="00EA2447" w:rsidRPr="00A72458" w:rsidRDefault="00EA2447" w:rsidP="00EA2447">
      <w:pPr>
        <w:pStyle w:val="H1G"/>
        <w:rPr>
          <w:lang w:val="fr-FR"/>
        </w:rPr>
      </w:pPr>
      <w:r>
        <w:rPr>
          <w:lang w:val="fr-FR"/>
        </w:rPr>
        <w:lastRenderedPageBreak/>
        <w:tab/>
        <w:t>2.</w:t>
      </w:r>
      <w:r>
        <w:rPr>
          <w:lang w:val="fr-FR"/>
        </w:rPr>
        <w:tab/>
        <w:t>Règlement ONU n</w:t>
      </w:r>
      <w:r>
        <w:rPr>
          <w:vertAlign w:val="superscript"/>
          <w:lang w:val="fr-FR"/>
        </w:rPr>
        <w:t>o</w:t>
      </w:r>
      <w:r w:rsidR="00337D1B">
        <w:rPr>
          <w:lang w:val="fr-FR"/>
        </w:rPr>
        <w:t> </w:t>
      </w:r>
      <w:r>
        <w:rPr>
          <w:lang w:val="fr-FR"/>
        </w:rPr>
        <w:t xml:space="preserve">41 (Bruit émis par les </w:t>
      </w:r>
      <w:r w:rsidRPr="00EA2447">
        <w:rPr>
          <w:lang w:val="fr-FR"/>
        </w:rPr>
        <w:t>motocycles</w:t>
      </w:r>
      <w:r>
        <w:rPr>
          <w:lang w:val="fr-FR"/>
        </w:rPr>
        <w:t>)</w:t>
      </w:r>
    </w:p>
    <w:p w14:paraId="3218FD7A" w14:textId="45926B45" w:rsidR="00EA2447" w:rsidRPr="00A72458" w:rsidRDefault="00EA2447" w:rsidP="00EA2447">
      <w:pPr>
        <w:pStyle w:val="SingleTxtG"/>
        <w:ind w:firstLine="567"/>
        <w:rPr>
          <w:lang w:val="fr-FR"/>
        </w:rPr>
      </w:pPr>
      <w:r>
        <w:rPr>
          <w:lang w:val="fr-FR"/>
        </w:rPr>
        <w:t>Le GRBP est invité à examiner les propositions établies par les experts de l</w:t>
      </w:r>
      <w:r w:rsidR="005C1A52">
        <w:rPr>
          <w:lang w:val="fr-FR"/>
        </w:rPr>
        <w:t>’</w:t>
      </w:r>
      <w:r>
        <w:rPr>
          <w:lang w:val="fr-FR"/>
        </w:rPr>
        <w:t>International Motorcycle Manufacturers Association (IMMA) et de l</w:t>
      </w:r>
      <w:r w:rsidR="005C1A52">
        <w:rPr>
          <w:lang w:val="fr-FR"/>
        </w:rPr>
        <w:t>’</w:t>
      </w:r>
      <w:r>
        <w:rPr>
          <w:lang w:val="fr-FR"/>
        </w:rPr>
        <w:t>Organisation internationale de normalisation (ISO) visant à permettre l</w:t>
      </w:r>
      <w:r w:rsidR="005C1A52">
        <w:rPr>
          <w:lang w:val="fr-FR"/>
        </w:rPr>
        <w:t>’</w:t>
      </w:r>
      <w:r>
        <w:rPr>
          <w:lang w:val="fr-FR"/>
        </w:rPr>
        <w:t>utilisation des pistes d</w:t>
      </w:r>
      <w:r w:rsidR="005C1A52">
        <w:rPr>
          <w:lang w:val="fr-FR"/>
        </w:rPr>
        <w:t>’</w:t>
      </w:r>
      <w:r>
        <w:rPr>
          <w:lang w:val="fr-FR"/>
        </w:rPr>
        <w:t>essais les plus récentes conformes à la norme ISO 10844:2021.</w:t>
      </w:r>
    </w:p>
    <w:p w14:paraId="03C0FFB3" w14:textId="77777777" w:rsidR="00EA2447" w:rsidRPr="00A72458" w:rsidRDefault="00EA2447" w:rsidP="00EA2447">
      <w:pPr>
        <w:pStyle w:val="SingleTxtG"/>
        <w:rPr>
          <w:b/>
          <w:lang w:val="fr-FR"/>
        </w:rPr>
      </w:pPr>
      <w:r>
        <w:rPr>
          <w:b/>
          <w:bCs/>
          <w:lang w:val="fr-FR"/>
        </w:rPr>
        <w:t>Document(s) :</w:t>
      </w:r>
    </w:p>
    <w:p w14:paraId="1E1E295B" w14:textId="5B97BB8F" w:rsidR="00EA2447" w:rsidRPr="00A72458" w:rsidRDefault="00EA2447" w:rsidP="00EA2447">
      <w:pPr>
        <w:pStyle w:val="SingleTxtG"/>
        <w:rPr>
          <w:lang w:val="fr-FR"/>
        </w:rPr>
      </w:pPr>
      <w:bookmarkStart w:id="1" w:name="_Hlk137448683"/>
      <w:r>
        <w:rPr>
          <w:lang w:val="fr-FR"/>
        </w:rPr>
        <w:t>ECE/TRANS/WP.29/GRBP/2023/14 et ECE/TRANS/WP.29/GRBP/2023/15</w:t>
      </w:r>
      <w:bookmarkEnd w:id="1"/>
    </w:p>
    <w:p w14:paraId="06254BCC" w14:textId="05D78154" w:rsidR="00EA2447" w:rsidRPr="00A72458" w:rsidRDefault="00EA2447" w:rsidP="00EA2447">
      <w:pPr>
        <w:pStyle w:val="H1G"/>
        <w:rPr>
          <w:lang w:val="fr-FR"/>
        </w:rPr>
      </w:pPr>
      <w:r>
        <w:rPr>
          <w:bCs/>
          <w:lang w:val="fr-FR"/>
        </w:rPr>
        <w:tab/>
        <w:t>3.</w:t>
      </w:r>
      <w:r>
        <w:rPr>
          <w:lang w:val="fr-FR"/>
        </w:rPr>
        <w:tab/>
      </w:r>
      <w:r>
        <w:rPr>
          <w:bCs/>
          <w:lang w:val="fr-FR"/>
        </w:rPr>
        <w:t>Règlement ONU n</w:t>
      </w:r>
      <w:r>
        <w:rPr>
          <w:bCs/>
          <w:vertAlign w:val="superscript"/>
          <w:lang w:val="fr-FR"/>
        </w:rPr>
        <w:t>o</w:t>
      </w:r>
      <w:r w:rsidR="00337D1B">
        <w:rPr>
          <w:bCs/>
          <w:lang w:val="fr-FR"/>
        </w:rPr>
        <w:t> </w:t>
      </w:r>
      <w:r>
        <w:rPr>
          <w:bCs/>
          <w:lang w:val="fr-FR"/>
        </w:rPr>
        <w:t xml:space="preserve">51 (Bruit des </w:t>
      </w:r>
      <w:r w:rsidRPr="00EA2447">
        <w:rPr>
          <w:lang w:val="fr-FR"/>
        </w:rPr>
        <w:t>véhicules</w:t>
      </w:r>
      <w:r>
        <w:rPr>
          <w:bCs/>
          <w:lang w:val="fr-FR"/>
        </w:rPr>
        <w:t xml:space="preserve"> des catégories M et N)</w:t>
      </w:r>
    </w:p>
    <w:p w14:paraId="5FD98C60" w14:textId="18CFD58F" w:rsidR="00EA2447" w:rsidRPr="00A72458" w:rsidRDefault="00EA2447" w:rsidP="00EA2447">
      <w:pPr>
        <w:pStyle w:val="SingleTxtG"/>
        <w:ind w:firstLine="567"/>
        <w:rPr>
          <w:lang w:val="fr-FR"/>
        </w:rPr>
      </w:pPr>
      <w:r>
        <w:rPr>
          <w:lang w:val="fr-FR"/>
        </w:rPr>
        <w:t>Le GRBP sera informé des activités du groupe de travail informel de l</w:t>
      </w:r>
      <w:r w:rsidR="005C1A52">
        <w:rPr>
          <w:lang w:val="fr-FR"/>
        </w:rPr>
        <w:t>’</w:t>
      </w:r>
      <w:r>
        <w:rPr>
          <w:lang w:val="fr-FR"/>
        </w:rPr>
        <w:t>incertitude de mesure.</w:t>
      </w:r>
    </w:p>
    <w:p w14:paraId="37EB32B7" w14:textId="4A9677CE" w:rsidR="00EA2447" w:rsidRPr="00A72458" w:rsidRDefault="00EA2447" w:rsidP="00EA2447">
      <w:pPr>
        <w:pStyle w:val="SingleTxtG"/>
        <w:ind w:firstLine="567"/>
        <w:rPr>
          <w:lang w:val="fr-FR"/>
        </w:rPr>
      </w:pPr>
      <w:r>
        <w:rPr>
          <w:lang w:val="fr-FR"/>
        </w:rPr>
        <w:t>Il se souviendra qu</w:t>
      </w:r>
      <w:r w:rsidR="005C1A52">
        <w:rPr>
          <w:lang w:val="fr-FR"/>
        </w:rPr>
        <w:t>’</w:t>
      </w:r>
      <w:r>
        <w:rPr>
          <w:lang w:val="fr-FR"/>
        </w:rPr>
        <w:t>à sa session précédente, il avait décidé de revenir sur la proposition du groupe de travail informel qui visait à modifier le Règlement ONU n</w:t>
      </w:r>
      <w:r>
        <w:rPr>
          <w:vertAlign w:val="superscript"/>
          <w:lang w:val="fr-FR"/>
        </w:rPr>
        <w:t>o</w:t>
      </w:r>
      <w:r>
        <w:rPr>
          <w:lang w:val="fr-FR"/>
        </w:rPr>
        <w:t> 51 par l</w:t>
      </w:r>
      <w:r w:rsidR="005C1A52">
        <w:rPr>
          <w:lang w:val="fr-FR"/>
        </w:rPr>
        <w:t>’</w:t>
      </w:r>
      <w:r>
        <w:rPr>
          <w:lang w:val="fr-FR"/>
        </w:rPr>
        <w:t>ajout de tableaux indiquant les incertitudes de mesure lors des essais d</w:t>
      </w:r>
      <w:r w:rsidR="005C1A52">
        <w:rPr>
          <w:lang w:val="fr-FR"/>
        </w:rPr>
        <w:t>’</w:t>
      </w:r>
      <w:r>
        <w:rPr>
          <w:lang w:val="fr-FR"/>
        </w:rPr>
        <w:t>homologation de type, de conformité de la production ou sur le terrain.</w:t>
      </w:r>
    </w:p>
    <w:p w14:paraId="55056946" w14:textId="77777777" w:rsidR="00EA2447" w:rsidRPr="00A72458" w:rsidRDefault="00EA2447" w:rsidP="00EA2447">
      <w:pPr>
        <w:pStyle w:val="SingleTxtG"/>
        <w:rPr>
          <w:b/>
          <w:lang w:val="fr-FR"/>
        </w:rPr>
      </w:pPr>
      <w:r>
        <w:rPr>
          <w:b/>
          <w:bCs/>
          <w:lang w:val="fr-FR"/>
        </w:rPr>
        <w:t>Document(s) :</w:t>
      </w:r>
    </w:p>
    <w:p w14:paraId="4BA4979E" w14:textId="77777777" w:rsidR="00EA2447" w:rsidRPr="00A72458" w:rsidRDefault="00EA2447" w:rsidP="00EA2447">
      <w:pPr>
        <w:pStyle w:val="SingleTxtG"/>
        <w:rPr>
          <w:lang w:val="fr-FR"/>
        </w:rPr>
      </w:pPr>
      <w:r>
        <w:rPr>
          <w:lang w:val="fr-FR"/>
        </w:rPr>
        <w:t>Document informel GRBP-77-09</w:t>
      </w:r>
    </w:p>
    <w:p w14:paraId="0459658A" w14:textId="45ED2FB6" w:rsidR="00EA2447" w:rsidRPr="00A72458" w:rsidRDefault="00EA2447" w:rsidP="00EA2447">
      <w:pPr>
        <w:pStyle w:val="SingleTxtG"/>
        <w:ind w:firstLine="567"/>
        <w:rPr>
          <w:lang w:val="fr-FR"/>
        </w:rPr>
      </w:pPr>
      <w:r>
        <w:rPr>
          <w:lang w:val="fr-FR"/>
        </w:rPr>
        <w:t>À sa précédente session, le GRBP, ayant convenu que le groupe de travail informel des prescriptions supplémentaires concernant les émissions sonores (ASEP) reprendrait ses activités jusqu</w:t>
      </w:r>
      <w:r w:rsidR="005C1A52">
        <w:rPr>
          <w:lang w:val="fr-FR"/>
        </w:rPr>
        <w:t>’</w:t>
      </w:r>
      <w:r>
        <w:rPr>
          <w:lang w:val="fr-FR"/>
        </w:rPr>
        <w:t>en décembre 2024, a décidé d</w:t>
      </w:r>
      <w:r w:rsidR="005C1A52">
        <w:rPr>
          <w:lang w:val="fr-FR"/>
        </w:rPr>
        <w:t>’</w:t>
      </w:r>
      <w:r>
        <w:rPr>
          <w:lang w:val="fr-FR"/>
        </w:rPr>
        <w:t>examiner son mandat. Il sera informé des propositions sur cette question.</w:t>
      </w:r>
    </w:p>
    <w:p w14:paraId="74990A24" w14:textId="2281B997" w:rsidR="00EA2447" w:rsidRPr="00A72458" w:rsidRDefault="00EA2447" w:rsidP="00EA2447">
      <w:pPr>
        <w:pStyle w:val="H1G"/>
        <w:rPr>
          <w:lang w:val="fr-FR"/>
        </w:rPr>
      </w:pPr>
      <w:r>
        <w:rPr>
          <w:bCs/>
          <w:lang w:val="fr-FR"/>
        </w:rPr>
        <w:tab/>
        <w:t>4.</w:t>
      </w:r>
      <w:r>
        <w:rPr>
          <w:lang w:val="fr-FR"/>
        </w:rPr>
        <w:tab/>
      </w:r>
      <w:r>
        <w:rPr>
          <w:bCs/>
          <w:lang w:val="fr-FR"/>
        </w:rPr>
        <w:t>Règlement ONU n</w:t>
      </w:r>
      <w:r>
        <w:rPr>
          <w:bCs/>
          <w:vertAlign w:val="superscript"/>
          <w:lang w:val="fr-FR"/>
        </w:rPr>
        <w:t>o</w:t>
      </w:r>
      <w:r w:rsidR="00B10D62">
        <w:rPr>
          <w:bCs/>
          <w:lang w:val="fr-FR"/>
        </w:rPr>
        <w:t> </w:t>
      </w:r>
      <w:r>
        <w:rPr>
          <w:bCs/>
          <w:lang w:val="fr-FR"/>
        </w:rPr>
        <w:t>63 (Émissions sonores des cyclomoteurs)</w:t>
      </w:r>
      <w:bookmarkStart w:id="2" w:name="_Hlk137466054"/>
      <w:bookmarkEnd w:id="2"/>
    </w:p>
    <w:p w14:paraId="2E26EAF5" w14:textId="00579313" w:rsidR="00EA2447" w:rsidRPr="00A72458" w:rsidRDefault="00EA2447" w:rsidP="00EA2447">
      <w:pPr>
        <w:pStyle w:val="SingleTxtG"/>
        <w:ind w:firstLine="567"/>
        <w:rPr>
          <w:lang w:val="fr-FR"/>
        </w:rPr>
      </w:pPr>
      <w:r>
        <w:rPr>
          <w:lang w:val="fr-FR"/>
        </w:rPr>
        <w:t>Le GRBP est invité à examiner la proposition présentée par les experts de l</w:t>
      </w:r>
      <w:r w:rsidR="005C1A52">
        <w:rPr>
          <w:lang w:val="fr-FR"/>
        </w:rPr>
        <w:t>’</w:t>
      </w:r>
      <w:r>
        <w:rPr>
          <w:lang w:val="fr-FR"/>
        </w:rPr>
        <w:t>IMMA et de l</w:t>
      </w:r>
      <w:r w:rsidR="005C1A52">
        <w:rPr>
          <w:lang w:val="fr-FR"/>
        </w:rPr>
        <w:t>’</w:t>
      </w:r>
      <w:r>
        <w:rPr>
          <w:lang w:val="fr-FR"/>
        </w:rPr>
        <w:t>ISO visant à permettre l</w:t>
      </w:r>
      <w:r w:rsidR="005C1A52">
        <w:rPr>
          <w:lang w:val="fr-FR"/>
        </w:rPr>
        <w:t>’</w:t>
      </w:r>
      <w:r>
        <w:rPr>
          <w:lang w:val="fr-FR"/>
        </w:rPr>
        <w:t>utilisation des pistes d</w:t>
      </w:r>
      <w:r w:rsidR="005C1A52">
        <w:rPr>
          <w:lang w:val="fr-FR"/>
        </w:rPr>
        <w:t>’</w:t>
      </w:r>
      <w:r>
        <w:rPr>
          <w:lang w:val="fr-FR"/>
        </w:rPr>
        <w:t>essais les plus récentes conformes à la norme</w:t>
      </w:r>
      <w:r w:rsidR="00B10D62">
        <w:rPr>
          <w:lang w:val="fr-FR"/>
        </w:rPr>
        <w:t> </w:t>
      </w:r>
      <w:r>
        <w:rPr>
          <w:lang w:val="fr-FR"/>
        </w:rPr>
        <w:t>ISO</w:t>
      </w:r>
      <w:r w:rsidR="00B10D62">
        <w:rPr>
          <w:lang w:val="fr-FR"/>
        </w:rPr>
        <w:t> </w:t>
      </w:r>
      <w:r>
        <w:rPr>
          <w:lang w:val="fr-FR"/>
        </w:rPr>
        <w:t>10844:2021.</w:t>
      </w:r>
    </w:p>
    <w:p w14:paraId="261097CA" w14:textId="77777777" w:rsidR="00EA2447" w:rsidRPr="00A72458" w:rsidRDefault="00EA2447" w:rsidP="00EA2447">
      <w:pPr>
        <w:pStyle w:val="SingleTxtG"/>
        <w:rPr>
          <w:b/>
          <w:lang w:val="fr-FR"/>
        </w:rPr>
      </w:pPr>
      <w:r>
        <w:rPr>
          <w:b/>
          <w:bCs/>
          <w:lang w:val="fr-FR"/>
        </w:rPr>
        <w:t>Document(s) :</w:t>
      </w:r>
    </w:p>
    <w:p w14:paraId="659BF19A" w14:textId="77777777" w:rsidR="00EA2447" w:rsidRPr="00A72458" w:rsidRDefault="00EA2447" w:rsidP="00EA2447">
      <w:pPr>
        <w:pStyle w:val="SingleTxtG"/>
        <w:rPr>
          <w:lang w:val="fr-FR"/>
        </w:rPr>
      </w:pPr>
      <w:r>
        <w:rPr>
          <w:lang w:val="fr-FR"/>
        </w:rPr>
        <w:t>ECE/TRANS/WP.29/GRBP/2023/16</w:t>
      </w:r>
    </w:p>
    <w:p w14:paraId="2A909D41" w14:textId="6970473D" w:rsidR="00EA2447" w:rsidRPr="00A72458" w:rsidRDefault="00EA2447" w:rsidP="00EA2447">
      <w:pPr>
        <w:pStyle w:val="H1G"/>
        <w:rPr>
          <w:lang w:val="fr-FR"/>
        </w:rPr>
      </w:pPr>
      <w:r>
        <w:rPr>
          <w:bCs/>
          <w:lang w:val="fr-FR"/>
        </w:rPr>
        <w:tab/>
        <w:t>5.</w:t>
      </w:r>
      <w:r>
        <w:rPr>
          <w:lang w:val="fr-FR"/>
        </w:rPr>
        <w:tab/>
      </w:r>
      <w:r>
        <w:rPr>
          <w:bCs/>
          <w:lang w:val="fr-FR"/>
        </w:rPr>
        <w:t>Règlement ONU n</w:t>
      </w:r>
      <w:r>
        <w:rPr>
          <w:bCs/>
          <w:vertAlign w:val="superscript"/>
          <w:lang w:val="fr-FR"/>
        </w:rPr>
        <w:t>o</w:t>
      </w:r>
      <w:r w:rsidR="00B10D62">
        <w:rPr>
          <w:bCs/>
          <w:lang w:val="fr-FR"/>
        </w:rPr>
        <w:t> </w:t>
      </w:r>
      <w:r>
        <w:rPr>
          <w:bCs/>
          <w:lang w:val="fr-FR"/>
        </w:rPr>
        <w:t>92 (</w:t>
      </w:r>
      <w:r w:rsidRPr="00EA2447">
        <w:rPr>
          <w:lang w:val="fr-FR"/>
        </w:rPr>
        <w:t>Dispositifs</w:t>
      </w:r>
      <w:r>
        <w:rPr>
          <w:bCs/>
          <w:lang w:val="fr-FR"/>
        </w:rPr>
        <w:t xml:space="preserve"> silencieux d</w:t>
      </w:r>
      <w:r w:rsidR="005C1A52">
        <w:rPr>
          <w:bCs/>
          <w:lang w:val="fr-FR"/>
        </w:rPr>
        <w:t>’</w:t>
      </w:r>
      <w:r>
        <w:rPr>
          <w:bCs/>
          <w:lang w:val="fr-FR"/>
        </w:rPr>
        <w:t>échappement de</w:t>
      </w:r>
      <w:r w:rsidR="00B10D62">
        <w:rPr>
          <w:bCs/>
          <w:lang w:val="fr-FR"/>
        </w:rPr>
        <w:t> </w:t>
      </w:r>
      <w:r>
        <w:rPr>
          <w:bCs/>
          <w:lang w:val="fr-FR"/>
        </w:rPr>
        <w:t>remplacement pour motocycles)</w:t>
      </w:r>
      <w:bookmarkStart w:id="3" w:name="_Hlk137466077"/>
      <w:bookmarkEnd w:id="3"/>
    </w:p>
    <w:p w14:paraId="08ED8735" w14:textId="5F533403" w:rsidR="00EA2447" w:rsidRPr="00A72458" w:rsidRDefault="00EA2447" w:rsidP="00EA2447">
      <w:pPr>
        <w:pStyle w:val="SingleTxtG"/>
        <w:ind w:firstLine="567"/>
        <w:rPr>
          <w:lang w:val="fr-FR"/>
        </w:rPr>
      </w:pPr>
      <w:r>
        <w:rPr>
          <w:lang w:val="fr-FR"/>
        </w:rPr>
        <w:t>Le GRBP examinera un projet de document de référence établi par l</w:t>
      </w:r>
      <w:r w:rsidR="005C1A52">
        <w:rPr>
          <w:lang w:val="fr-FR"/>
        </w:rPr>
        <w:t>’</w:t>
      </w:r>
      <w:r>
        <w:rPr>
          <w:lang w:val="fr-FR"/>
        </w:rPr>
        <w:t>expert de l</w:t>
      </w:r>
      <w:r w:rsidR="005C1A52">
        <w:rPr>
          <w:lang w:val="fr-FR"/>
        </w:rPr>
        <w:t>’</w:t>
      </w:r>
      <w:r>
        <w:rPr>
          <w:lang w:val="fr-FR"/>
        </w:rPr>
        <w:t>IMMA visant à établir des lignes directrices à l</w:t>
      </w:r>
      <w:r w:rsidR="005C1A52">
        <w:rPr>
          <w:lang w:val="fr-FR"/>
        </w:rPr>
        <w:t>’</w:t>
      </w:r>
      <w:r>
        <w:rPr>
          <w:lang w:val="fr-FR"/>
        </w:rPr>
        <w:t>intention du secteur concernant les dispositions relatives à la protection contre toute manipulation non autorisée des dispositifs silencieux d</w:t>
      </w:r>
      <w:r w:rsidR="005C1A52">
        <w:rPr>
          <w:lang w:val="fr-FR"/>
        </w:rPr>
        <w:t>’</w:t>
      </w:r>
      <w:r>
        <w:rPr>
          <w:lang w:val="fr-FR"/>
        </w:rPr>
        <w:t>échappement de remplacement non d</w:t>
      </w:r>
      <w:r w:rsidR="005C1A52">
        <w:rPr>
          <w:lang w:val="fr-FR"/>
        </w:rPr>
        <w:t>’</w:t>
      </w:r>
      <w:r>
        <w:rPr>
          <w:lang w:val="fr-FR"/>
        </w:rPr>
        <w:t>origine prévues dans le Règlement ONU n</w:t>
      </w:r>
      <w:r>
        <w:rPr>
          <w:vertAlign w:val="superscript"/>
          <w:lang w:val="fr-FR"/>
        </w:rPr>
        <w:t>o</w:t>
      </w:r>
      <w:r w:rsidR="00B10D62">
        <w:rPr>
          <w:lang w:val="fr-FR"/>
        </w:rPr>
        <w:t> </w:t>
      </w:r>
      <w:r>
        <w:rPr>
          <w:lang w:val="fr-FR"/>
        </w:rPr>
        <w:t>92.</w:t>
      </w:r>
    </w:p>
    <w:p w14:paraId="1B689F66" w14:textId="77777777" w:rsidR="00EA2447" w:rsidRPr="00A72458" w:rsidRDefault="00EA2447" w:rsidP="00EA2447">
      <w:pPr>
        <w:pStyle w:val="SingleTxtG"/>
        <w:rPr>
          <w:b/>
          <w:lang w:val="fr-FR"/>
        </w:rPr>
      </w:pPr>
      <w:r>
        <w:rPr>
          <w:b/>
          <w:bCs/>
          <w:lang w:val="fr-FR"/>
        </w:rPr>
        <w:t>Document(s) :</w:t>
      </w:r>
    </w:p>
    <w:p w14:paraId="17B7C6CD" w14:textId="77777777" w:rsidR="00EA2447" w:rsidRPr="00A72458" w:rsidRDefault="00EA2447" w:rsidP="00EA2447">
      <w:pPr>
        <w:pStyle w:val="SingleTxtG"/>
        <w:rPr>
          <w:lang w:val="fr-FR"/>
        </w:rPr>
      </w:pPr>
      <w:r>
        <w:rPr>
          <w:lang w:val="fr-FR"/>
        </w:rPr>
        <w:t>ECE/TRANS/WP.29/GRBP/2023/17</w:t>
      </w:r>
    </w:p>
    <w:p w14:paraId="0052698A" w14:textId="7B2A1EF0" w:rsidR="00EA2447" w:rsidRPr="00A72458" w:rsidRDefault="00EA2447" w:rsidP="00EA2447">
      <w:pPr>
        <w:pStyle w:val="H1G"/>
        <w:rPr>
          <w:lang w:val="fr-FR"/>
        </w:rPr>
      </w:pPr>
      <w:r>
        <w:rPr>
          <w:bCs/>
          <w:lang w:val="fr-FR"/>
        </w:rPr>
        <w:tab/>
        <w:t>6.</w:t>
      </w:r>
      <w:r>
        <w:rPr>
          <w:lang w:val="fr-FR"/>
        </w:rPr>
        <w:tab/>
      </w:r>
      <w:r>
        <w:rPr>
          <w:bCs/>
          <w:lang w:val="fr-FR"/>
        </w:rPr>
        <w:t>Règlement ONU n</w:t>
      </w:r>
      <w:r>
        <w:rPr>
          <w:bCs/>
          <w:vertAlign w:val="superscript"/>
          <w:lang w:val="fr-FR"/>
        </w:rPr>
        <w:t>o</w:t>
      </w:r>
      <w:r w:rsidR="00B10D62">
        <w:rPr>
          <w:bCs/>
          <w:lang w:val="fr-FR"/>
        </w:rPr>
        <w:t> </w:t>
      </w:r>
      <w:r>
        <w:rPr>
          <w:bCs/>
          <w:lang w:val="fr-FR"/>
        </w:rPr>
        <w:t>138 (</w:t>
      </w:r>
      <w:r w:rsidRPr="00EA2447">
        <w:rPr>
          <w:lang w:val="fr-FR"/>
        </w:rPr>
        <w:t>Véhicules</w:t>
      </w:r>
      <w:r>
        <w:rPr>
          <w:bCs/>
          <w:lang w:val="fr-FR"/>
        </w:rPr>
        <w:t xml:space="preserve"> à moteur silencieux)</w:t>
      </w:r>
    </w:p>
    <w:p w14:paraId="74A7760C" w14:textId="19B10505" w:rsidR="00EA2447" w:rsidRPr="00A72458" w:rsidRDefault="00EA2447" w:rsidP="00EA2447">
      <w:pPr>
        <w:pStyle w:val="SingleTxtG"/>
        <w:ind w:firstLine="567"/>
        <w:rPr>
          <w:lang w:val="fr-FR"/>
        </w:rPr>
      </w:pPr>
      <w:r>
        <w:rPr>
          <w:lang w:val="fr-FR"/>
        </w:rPr>
        <w:t>Le GRBP sera informé des activités de l</w:t>
      </w:r>
      <w:r w:rsidR="005C1A52">
        <w:rPr>
          <w:lang w:val="fr-FR"/>
        </w:rPr>
        <w:t>’</w:t>
      </w:r>
      <w:r>
        <w:rPr>
          <w:lang w:val="fr-FR"/>
        </w:rPr>
        <w:t>équipe spéciale des véhicules à moteur silencieux (QRTV) et pourrait être saisi d</w:t>
      </w:r>
      <w:r w:rsidR="005C1A52">
        <w:rPr>
          <w:lang w:val="fr-FR"/>
        </w:rPr>
        <w:t>’</w:t>
      </w:r>
      <w:r>
        <w:rPr>
          <w:lang w:val="fr-FR"/>
        </w:rPr>
        <w:t>un rapport d</w:t>
      </w:r>
      <w:r w:rsidR="005C1A52">
        <w:rPr>
          <w:lang w:val="fr-FR"/>
        </w:rPr>
        <w:t>’</w:t>
      </w:r>
      <w:r>
        <w:rPr>
          <w:lang w:val="fr-FR"/>
        </w:rPr>
        <w:t>étape du groupe de travail informel du Règlement technique mondial sur les véhicules à moteur silencieux.</w:t>
      </w:r>
    </w:p>
    <w:p w14:paraId="57689CED" w14:textId="77777777" w:rsidR="00EA2447" w:rsidRPr="00A72458" w:rsidRDefault="00EA2447" w:rsidP="00EA2447">
      <w:pPr>
        <w:pStyle w:val="H1G"/>
        <w:rPr>
          <w:lang w:val="fr-FR"/>
        </w:rPr>
      </w:pPr>
      <w:r>
        <w:rPr>
          <w:bCs/>
          <w:lang w:val="fr-FR"/>
        </w:rPr>
        <w:lastRenderedPageBreak/>
        <w:tab/>
        <w:t>7.</w:t>
      </w:r>
      <w:r>
        <w:rPr>
          <w:lang w:val="fr-FR"/>
        </w:rPr>
        <w:tab/>
      </w:r>
      <w:r w:rsidRPr="00EA2447">
        <w:rPr>
          <w:lang w:val="fr-FR"/>
        </w:rPr>
        <w:t>Pneumatiques</w:t>
      </w:r>
    </w:p>
    <w:p w14:paraId="63590DFB" w14:textId="66724945" w:rsidR="00EA2447" w:rsidRPr="00A72458" w:rsidRDefault="00EA2447" w:rsidP="00EA2447">
      <w:pPr>
        <w:pStyle w:val="H23G"/>
        <w:rPr>
          <w:lang w:val="fr-FR"/>
        </w:rPr>
      </w:pPr>
      <w:r>
        <w:rPr>
          <w:lang w:val="fr-FR"/>
        </w:rPr>
        <w:tab/>
        <w:t>a)</w:t>
      </w:r>
      <w:r>
        <w:rPr>
          <w:lang w:val="fr-FR"/>
        </w:rPr>
        <w:tab/>
        <w:t>Règlement ONU n</w:t>
      </w:r>
      <w:r>
        <w:rPr>
          <w:vertAlign w:val="superscript"/>
          <w:lang w:val="fr-FR"/>
        </w:rPr>
        <w:t>o</w:t>
      </w:r>
      <w:r w:rsidR="00A44297">
        <w:rPr>
          <w:lang w:val="fr-FR"/>
        </w:rPr>
        <w:t> </w:t>
      </w:r>
      <w:r>
        <w:rPr>
          <w:lang w:val="fr-FR"/>
        </w:rPr>
        <w:t>54 (Pneumatiques pour les véhicules utilitaires et leurs remorques)</w:t>
      </w:r>
    </w:p>
    <w:p w14:paraId="6A7A46E0" w14:textId="04D1ED66" w:rsidR="00EA2447" w:rsidRPr="00A72458" w:rsidRDefault="00EA2447" w:rsidP="00EA2447">
      <w:pPr>
        <w:pStyle w:val="SingleTxtG"/>
        <w:ind w:firstLine="567"/>
        <w:rPr>
          <w:lang w:val="fr-FR"/>
        </w:rPr>
      </w:pPr>
      <w:r>
        <w:rPr>
          <w:lang w:val="fr-FR"/>
        </w:rPr>
        <w:t>Le GRBP est invité à examiner une proposition de l</w:t>
      </w:r>
      <w:r w:rsidR="005C1A52">
        <w:rPr>
          <w:lang w:val="fr-FR"/>
        </w:rPr>
        <w:t>’</w:t>
      </w:r>
      <w:r>
        <w:rPr>
          <w:lang w:val="fr-FR"/>
        </w:rPr>
        <w:t>expert de la France visant à spécifier une limite de tolérance concernant la grosseur hors tout maximale des pneumatiques portant le symbole « A » de configuration du montage du pneumatique sur la jante.</w:t>
      </w:r>
    </w:p>
    <w:p w14:paraId="6FFDE068" w14:textId="77777777" w:rsidR="00EA2447" w:rsidRPr="00A72458" w:rsidRDefault="00EA2447" w:rsidP="00EA2447">
      <w:pPr>
        <w:pStyle w:val="SingleTxtG"/>
        <w:rPr>
          <w:b/>
          <w:lang w:val="fr-FR"/>
        </w:rPr>
      </w:pPr>
      <w:r>
        <w:rPr>
          <w:b/>
          <w:bCs/>
          <w:lang w:val="fr-FR"/>
        </w:rPr>
        <w:t>Document(s) :</w:t>
      </w:r>
    </w:p>
    <w:p w14:paraId="7996D83C" w14:textId="2A28E427" w:rsidR="00EA2447" w:rsidRPr="00A72458" w:rsidRDefault="00EA2447" w:rsidP="00EA2447">
      <w:pPr>
        <w:pStyle w:val="SingleTxtG"/>
        <w:rPr>
          <w:b/>
          <w:lang w:val="fr-FR"/>
        </w:rPr>
      </w:pPr>
      <w:r>
        <w:rPr>
          <w:lang w:val="fr-FR"/>
        </w:rPr>
        <w:t>ECE/TRANS/WP.29/GRBP/2023/18</w:t>
      </w:r>
    </w:p>
    <w:p w14:paraId="2AF269B6" w14:textId="2DF70D71" w:rsidR="00EA2447" w:rsidRPr="00A72458" w:rsidRDefault="00EA2447" w:rsidP="00EA2447">
      <w:pPr>
        <w:pStyle w:val="H23G"/>
        <w:rPr>
          <w:lang w:val="fr-FR"/>
        </w:rPr>
      </w:pPr>
      <w:r>
        <w:rPr>
          <w:lang w:val="fr-FR"/>
        </w:rPr>
        <w:tab/>
        <w:t>b)</w:t>
      </w:r>
      <w:r>
        <w:rPr>
          <w:lang w:val="fr-FR"/>
        </w:rPr>
        <w:tab/>
        <w:t>Règlement ONU n</w:t>
      </w:r>
      <w:r>
        <w:rPr>
          <w:vertAlign w:val="superscript"/>
          <w:lang w:val="fr-FR"/>
        </w:rPr>
        <w:t>o</w:t>
      </w:r>
      <w:r w:rsidR="00A44297">
        <w:rPr>
          <w:lang w:val="fr-FR"/>
        </w:rPr>
        <w:t> </w:t>
      </w:r>
      <w:r>
        <w:rPr>
          <w:lang w:val="fr-FR"/>
        </w:rPr>
        <w:t xml:space="preserve">106 (Pneumatiques pour les véhicules agricoles </w:t>
      </w:r>
      <w:r>
        <w:rPr>
          <w:lang w:val="fr-FR"/>
        </w:rPr>
        <w:br/>
      </w:r>
      <w:r>
        <w:rPr>
          <w:lang w:val="fr-FR"/>
        </w:rPr>
        <w:t>et leurs remorques)</w:t>
      </w:r>
    </w:p>
    <w:p w14:paraId="30CE44F5" w14:textId="411E987E" w:rsidR="00EA2447" w:rsidRPr="005F53A6" w:rsidRDefault="00EA2447" w:rsidP="00EA2447">
      <w:pPr>
        <w:pStyle w:val="SingleTxtG"/>
        <w:ind w:firstLine="567"/>
        <w:rPr>
          <w:lang w:val="fr-FR"/>
        </w:rPr>
      </w:pPr>
      <w:r>
        <w:rPr>
          <w:lang w:val="fr-FR"/>
        </w:rPr>
        <w:t>Le GRBP est invité à reprendre l</w:t>
      </w:r>
      <w:r w:rsidR="005C1A52">
        <w:rPr>
          <w:lang w:val="fr-FR"/>
        </w:rPr>
        <w:t>’</w:t>
      </w:r>
      <w:r>
        <w:rPr>
          <w:lang w:val="fr-FR"/>
        </w:rPr>
        <w:t>examen d</w:t>
      </w:r>
      <w:r w:rsidR="005C1A52">
        <w:rPr>
          <w:lang w:val="fr-FR"/>
        </w:rPr>
        <w:t>’</w:t>
      </w:r>
      <w:r>
        <w:rPr>
          <w:lang w:val="fr-FR"/>
        </w:rPr>
        <w:t>une proposition de l</w:t>
      </w:r>
      <w:r w:rsidR="005C1A52">
        <w:rPr>
          <w:lang w:val="fr-FR"/>
        </w:rPr>
        <w:t>’</w:t>
      </w:r>
      <w:r>
        <w:rPr>
          <w:lang w:val="fr-FR"/>
        </w:rPr>
        <w:t>Organisation technique européenne du pneumatique et de la jante (ETRTO) visant à élargir le domaine d</w:t>
      </w:r>
      <w:r w:rsidR="005C1A52">
        <w:rPr>
          <w:lang w:val="fr-FR"/>
        </w:rPr>
        <w:t>’</w:t>
      </w:r>
      <w:r>
        <w:rPr>
          <w:lang w:val="fr-FR"/>
        </w:rPr>
        <w:t>application du Règlement ONU n</w:t>
      </w:r>
      <w:r>
        <w:rPr>
          <w:vertAlign w:val="superscript"/>
          <w:lang w:val="fr-FR"/>
        </w:rPr>
        <w:t>o</w:t>
      </w:r>
      <w:r>
        <w:rPr>
          <w:lang w:val="fr-FR"/>
        </w:rPr>
        <w:t> 106 aux pneumatiques portant le code de catégorie de vitesse « E » afin de tenir compte de l</w:t>
      </w:r>
      <w:r w:rsidR="005C1A52">
        <w:rPr>
          <w:lang w:val="fr-FR"/>
        </w:rPr>
        <w:t>’</w:t>
      </w:r>
      <w:r>
        <w:rPr>
          <w:lang w:val="fr-FR"/>
        </w:rPr>
        <w:t>évolution technique des véhicules agricoles et forestiers.</w:t>
      </w:r>
    </w:p>
    <w:p w14:paraId="74383CAC" w14:textId="77777777" w:rsidR="00EA2447" w:rsidRPr="00A72458" w:rsidRDefault="00EA2447" w:rsidP="00EA2447">
      <w:pPr>
        <w:pStyle w:val="SingleTxtG"/>
        <w:rPr>
          <w:b/>
          <w:lang w:val="fr-FR"/>
        </w:rPr>
      </w:pPr>
      <w:r>
        <w:rPr>
          <w:b/>
          <w:bCs/>
          <w:lang w:val="fr-FR"/>
        </w:rPr>
        <w:t>Document(s) :</w:t>
      </w:r>
    </w:p>
    <w:p w14:paraId="2C7C923D" w14:textId="652E6CCA" w:rsidR="00EA2447" w:rsidRPr="00A72458" w:rsidRDefault="00EA2447" w:rsidP="00EA2447">
      <w:pPr>
        <w:pStyle w:val="SingleTxtG"/>
        <w:rPr>
          <w:lang w:val="fr-FR"/>
        </w:rPr>
      </w:pPr>
      <w:r>
        <w:rPr>
          <w:lang w:val="fr-FR"/>
        </w:rPr>
        <w:t>ECE/TRANS/WP.29/GRBP/2023/9</w:t>
      </w:r>
    </w:p>
    <w:p w14:paraId="4202FC76" w14:textId="0C6B9A39" w:rsidR="00EA2447" w:rsidRPr="00A72458" w:rsidRDefault="00EA2447" w:rsidP="00EA2447">
      <w:pPr>
        <w:pStyle w:val="H23G"/>
        <w:rPr>
          <w:lang w:val="fr-FR"/>
        </w:rPr>
      </w:pPr>
      <w:r>
        <w:rPr>
          <w:bCs/>
          <w:lang w:val="fr-FR"/>
        </w:rPr>
        <w:tab/>
        <w:t>c)</w:t>
      </w:r>
      <w:r>
        <w:rPr>
          <w:lang w:val="fr-FR"/>
        </w:rPr>
        <w:tab/>
      </w:r>
      <w:r>
        <w:rPr>
          <w:bCs/>
          <w:lang w:val="fr-FR"/>
        </w:rPr>
        <w:t>Règlement ONU n</w:t>
      </w:r>
      <w:r>
        <w:rPr>
          <w:bCs/>
          <w:vertAlign w:val="superscript"/>
          <w:lang w:val="fr-FR"/>
        </w:rPr>
        <w:t>o</w:t>
      </w:r>
      <w:r>
        <w:rPr>
          <w:bCs/>
          <w:lang w:val="fr-FR"/>
        </w:rPr>
        <w:t> 117 (</w:t>
      </w:r>
      <w:r w:rsidRPr="00EA2447">
        <w:rPr>
          <w:lang w:val="fr-FR"/>
        </w:rPr>
        <w:t>Pneumatiques</w:t>
      </w:r>
      <w:r>
        <w:rPr>
          <w:bCs/>
          <w:lang w:val="fr-FR"/>
        </w:rPr>
        <w:t xml:space="preserve"> </w:t>
      </w:r>
      <w:r w:rsidR="00A44297">
        <w:rPr>
          <w:bCs/>
          <w:lang w:val="fr-FR"/>
        </w:rPr>
        <w:t>−</w:t>
      </w:r>
      <w:r>
        <w:rPr>
          <w:bCs/>
          <w:lang w:val="fr-FR"/>
        </w:rPr>
        <w:t xml:space="preserve"> Résistance au roulement, bruit de roulement et adhérence sur sol mouillé)</w:t>
      </w:r>
    </w:p>
    <w:p w14:paraId="079C0D97" w14:textId="4A124690" w:rsidR="00EA2447" w:rsidRPr="00A72458" w:rsidRDefault="00EA2447" w:rsidP="00EA2447">
      <w:pPr>
        <w:pStyle w:val="SingleTxtG"/>
        <w:ind w:firstLine="567"/>
        <w:rPr>
          <w:lang w:val="fr-FR"/>
        </w:rPr>
      </w:pPr>
      <w:r>
        <w:rPr>
          <w:lang w:val="fr-FR"/>
        </w:rPr>
        <w:t>Le GRBP sera informé des activités du groupe de travail informel de l</w:t>
      </w:r>
      <w:r w:rsidR="005C1A52">
        <w:rPr>
          <w:lang w:val="fr-FR"/>
        </w:rPr>
        <w:t>’</w:t>
      </w:r>
      <w:r>
        <w:rPr>
          <w:lang w:val="fr-FR"/>
        </w:rPr>
        <w:t xml:space="preserve">adhérence sur sol mouillé des pneumatiques usés (WGWT). </w:t>
      </w:r>
    </w:p>
    <w:p w14:paraId="08C221B7" w14:textId="711B0AEB" w:rsidR="00EA2447" w:rsidRPr="00A72458" w:rsidRDefault="00EA2447" w:rsidP="00EA2447">
      <w:pPr>
        <w:pStyle w:val="SingleTxtG"/>
        <w:ind w:firstLine="567"/>
        <w:rPr>
          <w:lang w:val="fr-FR"/>
        </w:rPr>
      </w:pPr>
      <w:r>
        <w:rPr>
          <w:lang w:val="fr-FR"/>
        </w:rPr>
        <w:t>Il sera invité à examiner une proposition du groupe de travail informel de l</w:t>
      </w:r>
      <w:r w:rsidR="005C1A52">
        <w:rPr>
          <w:lang w:val="fr-FR"/>
        </w:rPr>
        <w:t>’</w:t>
      </w:r>
      <w:r>
        <w:rPr>
          <w:lang w:val="fr-FR"/>
        </w:rPr>
        <w:t xml:space="preserve">incertitude de mesure visant à </w:t>
      </w:r>
      <w:r w:rsidRPr="00460AC7">
        <w:rPr>
          <w:lang w:val="fr-FR"/>
        </w:rPr>
        <w:t xml:space="preserve">introduire des dispositions </w:t>
      </w:r>
      <w:r>
        <w:rPr>
          <w:lang w:val="fr-FR"/>
        </w:rPr>
        <w:t>destinées</w:t>
      </w:r>
      <w:r w:rsidRPr="00460AC7">
        <w:rPr>
          <w:lang w:val="fr-FR"/>
        </w:rPr>
        <w:t xml:space="preserve"> à réduire la </w:t>
      </w:r>
      <w:r>
        <w:rPr>
          <w:lang w:val="fr-FR"/>
        </w:rPr>
        <w:t>variabilité.</w:t>
      </w:r>
    </w:p>
    <w:p w14:paraId="1A942460" w14:textId="77777777" w:rsidR="00EA2447" w:rsidRPr="00A72458" w:rsidRDefault="00EA2447" w:rsidP="00EA2447">
      <w:pPr>
        <w:pStyle w:val="SingleTxtG"/>
        <w:rPr>
          <w:b/>
          <w:lang w:val="fr-FR"/>
        </w:rPr>
      </w:pPr>
      <w:r>
        <w:rPr>
          <w:b/>
          <w:bCs/>
          <w:lang w:val="fr-FR"/>
        </w:rPr>
        <w:t>Document(s) :</w:t>
      </w:r>
    </w:p>
    <w:p w14:paraId="404447DF" w14:textId="77777777" w:rsidR="00EA2447" w:rsidRPr="00A72458" w:rsidRDefault="00EA2447" w:rsidP="00EA2447">
      <w:pPr>
        <w:pStyle w:val="SingleTxtG"/>
        <w:rPr>
          <w:lang w:val="fr-FR"/>
        </w:rPr>
      </w:pPr>
      <w:r>
        <w:rPr>
          <w:lang w:val="fr-FR"/>
        </w:rPr>
        <w:t>ECE/TRANS/WP.29/GRBP/2023/19</w:t>
      </w:r>
    </w:p>
    <w:p w14:paraId="16861D6A" w14:textId="4ABCCF30" w:rsidR="00EA2447" w:rsidRPr="00A72458" w:rsidRDefault="00EA2447" w:rsidP="00EA2447">
      <w:pPr>
        <w:pStyle w:val="SingleTxtG"/>
        <w:ind w:firstLine="567"/>
        <w:rPr>
          <w:lang w:val="fr-FR"/>
        </w:rPr>
      </w:pPr>
      <w:r>
        <w:rPr>
          <w:lang w:val="fr-FR"/>
        </w:rPr>
        <w:t>Le GRBP se souviendra qu</w:t>
      </w:r>
      <w:r w:rsidR="005C1A52">
        <w:rPr>
          <w:lang w:val="fr-FR"/>
        </w:rPr>
        <w:t>’</w:t>
      </w:r>
      <w:r>
        <w:rPr>
          <w:lang w:val="fr-FR"/>
        </w:rPr>
        <w:t>à sa dernière session, l</w:t>
      </w:r>
      <w:r w:rsidR="005C1A52">
        <w:rPr>
          <w:lang w:val="fr-FR"/>
        </w:rPr>
        <w:t>’</w:t>
      </w:r>
      <w:r>
        <w:rPr>
          <w:lang w:val="fr-FR"/>
        </w:rPr>
        <w:t>expert de l</w:t>
      </w:r>
      <w:r w:rsidR="005C1A52">
        <w:rPr>
          <w:lang w:val="fr-FR"/>
        </w:rPr>
        <w:t>’</w:t>
      </w:r>
      <w:r>
        <w:rPr>
          <w:lang w:val="fr-FR"/>
        </w:rPr>
        <w:t>American Automotive Policy Council (AAPC) a brièvement présenté le document informel GRBP-77-23, que le GRBP a décidé d</w:t>
      </w:r>
      <w:r w:rsidR="005C1A52">
        <w:rPr>
          <w:lang w:val="fr-FR"/>
        </w:rPr>
        <w:t>’</w:t>
      </w:r>
      <w:r>
        <w:rPr>
          <w:lang w:val="fr-FR"/>
        </w:rPr>
        <w:t>examiner en détail à la présente session.</w:t>
      </w:r>
    </w:p>
    <w:p w14:paraId="32233876" w14:textId="77777777" w:rsidR="00EA2447" w:rsidRPr="00A72458" w:rsidRDefault="00EA2447" w:rsidP="00EA2447">
      <w:pPr>
        <w:pStyle w:val="SingleTxtG"/>
        <w:rPr>
          <w:b/>
          <w:lang w:val="fr-FR"/>
        </w:rPr>
      </w:pPr>
      <w:r>
        <w:rPr>
          <w:b/>
          <w:bCs/>
          <w:lang w:val="fr-FR"/>
        </w:rPr>
        <w:t>Document(s) :</w:t>
      </w:r>
    </w:p>
    <w:p w14:paraId="0C39CF40" w14:textId="312481A0" w:rsidR="00EA2447" w:rsidRPr="00A72458" w:rsidRDefault="00EA2447" w:rsidP="00EA2447">
      <w:pPr>
        <w:pStyle w:val="SingleTxtG"/>
        <w:rPr>
          <w:lang w:val="fr-FR"/>
        </w:rPr>
      </w:pPr>
      <w:r>
        <w:rPr>
          <w:lang w:val="fr-FR"/>
        </w:rPr>
        <w:t>Document informel GRBP-77-23</w:t>
      </w:r>
    </w:p>
    <w:p w14:paraId="20D08F90" w14:textId="355AD5F5" w:rsidR="00EA2447" w:rsidRPr="00A72458" w:rsidRDefault="00EA2447" w:rsidP="00EA2447">
      <w:pPr>
        <w:pStyle w:val="H23G"/>
        <w:rPr>
          <w:lang w:val="fr-FR"/>
        </w:rPr>
      </w:pPr>
      <w:r>
        <w:rPr>
          <w:bCs/>
          <w:lang w:val="fr-FR"/>
        </w:rPr>
        <w:tab/>
        <w:t>d)</w:t>
      </w:r>
      <w:r>
        <w:rPr>
          <w:lang w:val="fr-FR"/>
        </w:rPr>
        <w:tab/>
      </w:r>
      <w:r>
        <w:rPr>
          <w:bCs/>
          <w:lang w:val="fr-FR"/>
        </w:rPr>
        <w:t>Règlement ONU n</w:t>
      </w:r>
      <w:r>
        <w:rPr>
          <w:bCs/>
          <w:vertAlign w:val="superscript"/>
          <w:lang w:val="fr-FR"/>
        </w:rPr>
        <w:t>o</w:t>
      </w:r>
      <w:r w:rsidR="00A44297">
        <w:rPr>
          <w:bCs/>
          <w:lang w:val="fr-FR"/>
        </w:rPr>
        <w:t> </w:t>
      </w:r>
      <w:r>
        <w:rPr>
          <w:bCs/>
          <w:lang w:val="fr-FR"/>
        </w:rPr>
        <w:t>124 (Roues de rechange pour voitures particulières)</w:t>
      </w:r>
    </w:p>
    <w:p w14:paraId="7C203B76" w14:textId="5A46A1C6" w:rsidR="00EA2447" w:rsidRPr="00A72458" w:rsidRDefault="00EA2447" w:rsidP="00EA2447">
      <w:pPr>
        <w:pStyle w:val="SingleTxtG"/>
        <w:ind w:firstLine="567"/>
        <w:rPr>
          <w:lang w:val="fr-FR"/>
        </w:rPr>
      </w:pPr>
      <w:r>
        <w:rPr>
          <w:lang w:val="fr-FR"/>
        </w:rPr>
        <w:t>Le GRBP est invité à examiner une proposition de l</w:t>
      </w:r>
      <w:r w:rsidR="005C1A52">
        <w:rPr>
          <w:lang w:val="fr-FR"/>
        </w:rPr>
        <w:t>’</w:t>
      </w:r>
      <w:r>
        <w:rPr>
          <w:lang w:val="fr-FR"/>
        </w:rPr>
        <w:t>expert de la Fédération de Russie visant à clarifier certaines dispositions du Règlement ONU n</w:t>
      </w:r>
      <w:r w:rsidRPr="00235320">
        <w:rPr>
          <w:vertAlign w:val="superscript"/>
          <w:lang w:val="fr-FR"/>
        </w:rPr>
        <w:t>o</w:t>
      </w:r>
      <w:r>
        <w:rPr>
          <w:lang w:val="fr-FR"/>
        </w:rPr>
        <w:t> 124.</w:t>
      </w:r>
      <w:bookmarkStart w:id="4" w:name="_Hlk137462678"/>
    </w:p>
    <w:p w14:paraId="7B9607E3" w14:textId="77777777" w:rsidR="00EA2447" w:rsidRPr="00A72458" w:rsidRDefault="00EA2447" w:rsidP="00EA2447">
      <w:pPr>
        <w:pStyle w:val="SingleTxtG"/>
        <w:rPr>
          <w:b/>
          <w:lang w:val="fr-FR"/>
        </w:rPr>
      </w:pPr>
      <w:r>
        <w:rPr>
          <w:b/>
          <w:bCs/>
          <w:lang w:val="fr-FR"/>
        </w:rPr>
        <w:t>Document(s) :</w:t>
      </w:r>
    </w:p>
    <w:p w14:paraId="45B99091" w14:textId="77777777" w:rsidR="00EA2447" w:rsidRPr="00A72458" w:rsidRDefault="00EA2447" w:rsidP="00EA2447">
      <w:pPr>
        <w:pStyle w:val="SingleTxtG"/>
        <w:rPr>
          <w:lang w:val="fr-FR"/>
        </w:rPr>
      </w:pPr>
      <w:r>
        <w:rPr>
          <w:lang w:val="fr-FR"/>
        </w:rPr>
        <w:t>ECE/TRANS/WP.29/GRBP/2023/20</w:t>
      </w:r>
    </w:p>
    <w:bookmarkEnd w:id="4"/>
    <w:p w14:paraId="7AEBE350" w14:textId="1A906F0E" w:rsidR="00EA2447" w:rsidRPr="00A72458" w:rsidRDefault="00EA2447" w:rsidP="00EA2447">
      <w:pPr>
        <w:pStyle w:val="SingleTxtG"/>
        <w:ind w:firstLine="567"/>
        <w:rPr>
          <w:lang w:val="fr-FR"/>
        </w:rPr>
      </w:pPr>
      <w:r>
        <w:rPr>
          <w:lang w:val="fr-FR"/>
        </w:rPr>
        <w:t>Le GRBP souhaitera peut-être également examiner une proposition de correction du titre russe d</w:t>
      </w:r>
      <w:r w:rsidR="005C1A52">
        <w:rPr>
          <w:lang w:val="fr-FR"/>
        </w:rPr>
        <w:t>’</w:t>
      </w:r>
      <w:r>
        <w:rPr>
          <w:lang w:val="fr-FR"/>
        </w:rPr>
        <w:t>une méthode d</w:t>
      </w:r>
      <w:r w:rsidR="005C1A52">
        <w:rPr>
          <w:lang w:val="fr-FR"/>
        </w:rPr>
        <w:t>’</w:t>
      </w:r>
      <w:r>
        <w:rPr>
          <w:lang w:val="fr-FR"/>
        </w:rPr>
        <w:t>essai, soumise par l</w:t>
      </w:r>
      <w:r w:rsidR="005C1A52">
        <w:rPr>
          <w:lang w:val="fr-FR"/>
        </w:rPr>
        <w:t>’</w:t>
      </w:r>
      <w:r>
        <w:rPr>
          <w:lang w:val="fr-FR"/>
        </w:rPr>
        <w:t>expert de la Fédération de Russie.</w:t>
      </w:r>
    </w:p>
    <w:p w14:paraId="467C6FB2" w14:textId="77777777" w:rsidR="00EA2447" w:rsidRPr="00A72458" w:rsidRDefault="00EA2447" w:rsidP="00EA2447">
      <w:pPr>
        <w:pStyle w:val="SingleTxtG"/>
        <w:rPr>
          <w:b/>
          <w:lang w:val="fr-FR"/>
        </w:rPr>
      </w:pPr>
      <w:r>
        <w:rPr>
          <w:b/>
          <w:bCs/>
          <w:lang w:val="fr-FR"/>
        </w:rPr>
        <w:t>Document(s) :</w:t>
      </w:r>
    </w:p>
    <w:p w14:paraId="2ED5CE6A" w14:textId="77777777" w:rsidR="00EA2447" w:rsidRPr="00A72458" w:rsidRDefault="00EA2447" w:rsidP="00EA2447">
      <w:pPr>
        <w:pStyle w:val="SingleTxtG"/>
        <w:rPr>
          <w:bCs/>
          <w:lang w:val="fr-FR"/>
        </w:rPr>
      </w:pPr>
      <w:r>
        <w:rPr>
          <w:lang w:val="fr-FR"/>
        </w:rPr>
        <w:t>ECE/TRANS/WP.29/GRBP/2023/21</w:t>
      </w:r>
    </w:p>
    <w:p w14:paraId="5B5C8EAD" w14:textId="78CEE7CD" w:rsidR="00EA2447" w:rsidRPr="00A72458" w:rsidRDefault="00EA2447" w:rsidP="00EA2447">
      <w:pPr>
        <w:pStyle w:val="H23G"/>
        <w:rPr>
          <w:lang w:val="fr-FR"/>
        </w:rPr>
      </w:pPr>
      <w:r>
        <w:rPr>
          <w:bCs/>
          <w:lang w:val="fr-FR"/>
        </w:rPr>
        <w:tab/>
        <w:t>e)</w:t>
      </w:r>
      <w:r>
        <w:rPr>
          <w:lang w:val="fr-FR"/>
        </w:rPr>
        <w:tab/>
      </w:r>
      <w:r>
        <w:rPr>
          <w:bCs/>
          <w:lang w:val="fr-FR"/>
        </w:rPr>
        <w:t>Abrasion des pneumatiques</w:t>
      </w:r>
    </w:p>
    <w:p w14:paraId="08DA5858" w14:textId="62959084" w:rsidR="00EA2447" w:rsidRPr="00A72458" w:rsidRDefault="00EA2447" w:rsidP="00EA2447">
      <w:pPr>
        <w:pStyle w:val="SingleTxtG"/>
        <w:ind w:firstLine="567"/>
        <w:rPr>
          <w:lang w:val="fr-FR"/>
        </w:rPr>
      </w:pPr>
      <w:r>
        <w:rPr>
          <w:lang w:val="fr-FR"/>
        </w:rPr>
        <w:t>Le GRBP pourrait être saisi d</w:t>
      </w:r>
      <w:r w:rsidR="005C1A52">
        <w:rPr>
          <w:lang w:val="fr-FR"/>
        </w:rPr>
        <w:t>’</w:t>
      </w:r>
      <w:r>
        <w:rPr>
          <w:lang w:val="fr-FR"/>
        </w:rPr>
        <w:t>un rapport d</w:t>
      </w:r>
      <w:r w:rsidR="005C1A52">
        <w:rPr>
          <w:lang w:val="fr-FR"/>
        </w:rPr>
        <w:t>’</w:t>
      </w:r>
      <w:r>
        <w:rPr>
          <w:lang w:val="fr-FR"/>
        </w:rPr>
        <w:t>étape de l</w:t>
      </w:r>
      <w:r w:rsidR="005C1A52">
        <w:rPr>
          <w:lang w:val="fr-FR"/>
        </w:rPr>
        <w:t>’</w:t>
      </w:r>
      <w:r>
        <w:rPr>
          <w:lang w:val="fr-FR"/>
        </w:rPr>
        <w:t>équipe spéciale de l</w:t>
      </w:r>
      <w:r w:rsidR="005C1A52">
        <w:rPr>
          <w:lang w:val="fr-FR"/>
        </w:rPr>
        <w:t>’</w:t>
      </w:r>
      <w:r>
        <w:rPr>
          <w:lang w:val="fr-FR"/>
        </w:rPr>
        <w:t xml:space="preserve">abrasion des pneumatiques. </w:t>
      </w:r>
    </w:p>
    <w:p w14:paraId="3B7BE51C" w14:textId="77777777" w:rsidR="00EA2447" w:rsidRPr="00A72458" w:rsidRDefault="00EA2447" w:rsidP="00EA2447">
      <w:pPr>
        <w:pStyle w:val="H23G"/>
        <w:rPr>
          <w:lang w:val="fr-FR"/>
        </w:rPr>
      </w:pPr>
      <w:r>
        <w:rPr>
          <w:bCs/>
          <w:lang w:val="fr-FR"/>
        </w:rPr>
        <w:lastRenderedPageBreak/>
        <w:tab/>
        <w:t>f)</w:t>
      </w:r>
      <w:r>
        <w:rPr>
          <w:lang w:val="fr-FR"/>
        </w:rPr>
        <w:tab/>
      </w:r>
      <w:r>
        <w:rPr>
          <w:bCs/>
          <w:lang w:val="fr-FR"/>
        </w:rPr>
        <w:t>Autres Règlements ONU concernant les pneumatiques</w:t>
      </w:r>
      <w:bookmarkStart w:id="5" w:name="_Hlk119688471"/>
      <w:bookmarkEnd w:id="5"/>
    </w:p>
    <w:p w14:paraId="1B114568" w14:textId="129B140C" w:rsidR="00EA2447" w:rsidRPr="00A72458" w:rsidRDefault="00EA2447" w:rsidP="00EA2447">
      <w:pPr>
        <w:pStyle w:val="SingleTxtG"/>
        <w:ind w:firstLine="567"/>
        <w:rPr>
          <w:lang w:val="fr-FR"/>
        </w:rPr>
      </w:pPr>
      <w:r>
        <w:rPr>
          <w:lang w:val="fr-FR"/>
        </w:rPr>
        <w:t>Le GRBP examinera les éventuelles propositions d</w:t>
      </w:r>
      <w:r w:rsidR="005C1A52">
        <w:rPr>
          <w:lang w:val="fr-FR"/>
        </w:rPr>
        <w:t>’</w:t>
      </w:r>
      <w:r>
        <w:rPr>
          <w:lang w:val="fr-FR"/>
        </w:rPr>
        <w:t xml:space="preserve">amendements aux autres Règlements ONU concernant les pneumatiques. </w:t>
      </w:r>
    </w:p>
    <w:p w14:paraId="00A05F48" w14:textId="20632701" w:rsidR="00EA2447" w:rsidRPr="00A72458" w:rsidRDefault="00EA2447" w:rsidP="00EA2447">
      <w:pPr>
        <w:pStyle w:val="H1G"/>
        <w:rPr>
          <w:lang w:val="fr-FR"/>
        </w:rPr>
      </w:pPr>
      <w:r>
        <w:rPr>
          <w:bCs/>
          <w:lang w:val="fr-FR"/>
        </w:rPr>
        <w:tab/>
        <w:t>8.</w:t>
      </w:r>
      <w:r>
        <w:rPr>
          <w:lang w:val="fr-FR"/>
        </w:rPr>
        <w:tab/>
      </w:r>
      <w:r>
        <w:rPr>
          <w:bCs/>
          <w:lang w:val="fr-FR"/>
        </w:rPr>
        <w:t>Échange d</w:t>
      </w:r>
      <w:r w:rsidR="005C1A52">
        <w:rPr>
          <w:bCs/>
          <w:lang w:val="fr-FR"/>
        </w:rPr>
        <w:t>’</w:t>
      </w:r>
      <w:r>
        <w:rPr>
          <w:bCs/>
          <w:lang w:val="fr-FR"/>
        </w:rPr>
        <w:t>informations sur les prescriptions nationales et</w:t>
      </w:r>
      <w:r w:rsidR="0053773A">
        <w:rPr>
          <w:bCs/>
          <w:lang w:val="fr-FR"/>
        </w:rPr>
        <w:t> </w:t>
      </w:r>
      <w:r>
        <w:rPr>
          <w:bCs/>
          <w:lang w:val="fr-FR"/>
        </w:rPr>
        <w:t>internationales en matière de niveau sonore</w:t>
      </w:r>
    </w:p>
    <w:p w14:paraId="2373FEFC" w14:textId="09329AC3" w:rsidR="00EA2447" w:rsidRPr="00A72458" w:rsidRDefault="00EA2447" w:rsidP="00EA2447">
      <w:pPr>
        <w:pStyle w:val="SingleTxtG"/>
        <w:ind w:firstLine="567"/>
        <w:rPr>
          <w:lang w:val="fr-FR"/>
        </w:rPr>
      </w:pPr>
      <w:r>
        <w:rPr>
          <w:lang w:val="fr-FR"/>
        </w:rPr>
        <w:t>Le GRBP poursuivra son échange de vues sur l</w:t>
      </w:r>
      <w:r w:rsidR="005C1A52">
        <w:rPr>
          <w:lang w:val="fr-FR"/>
        </w:rPr>
        <w:t>’</w:t>
      </w:r>
      <w:r>
        <w:rPr>
          <w:lang w:val="fr-FR"/>
        </w:rPr>
        <w:t>élaboration de législations nationales ou régionales et de prescriptions internationales en matière de niveau sonore. En particulier, il sera informé des activités menées par l</w:t>
      </w:r>
      <w:r w:rsidR="005C1A52">
        <w:rPr>
          <w:lang w:val="fr-FR"/>
        </w:rPr>
        <w:t>’</w:t>
      </w:r>
      <w:r>
        <w:rPr>
          <w:lang w:val="fr-FR"/>
        </w:rPr>
        <w:t>équipe spéciale des émissions sonores des véhicules.</w:t>
      </w:r>
    </w:p>
    <w:p w14:paraId="3409DB5F" w14:textId="16DC213D" w:rsidR="00EA2447" w:rsidRPr="00A72458" w:rsidRDefault="00EA2447" w:rsidP="00EA2447">
      <w:pPr>
        <w:pStyle w:val="H1G"/>
        <w:rPr>
          <w:lang w:val="fr-FR"/>
        </w:rPr>
      </w:pPr>
      <w:r>
        <w:rPr>
          <w:bCs/>
          <w:lang w:val="fr-FR"/>
        </w:rPr>
        <w:tab/>
        <w:t>9.</w:t>
      </w:r>
      <w:r>
        <w:rPr>
          <w:lang w:val="fr-FR"/>
        </w:rPr>
        <w:tab/>
      </w:r>
      <w:r>
        <w:rPr>
          <w:bCs/>
          <w:lang w:val="fr-FR"/>
        </w:rPr>
        <w:t xml:space="preserve">Propositions </w:t>
      </w:r>
      <w:r w:rsidRPr="00EA2447">
        <w:rPr>
          <w:lang w:val="fr-FR"/>
        </w:rPr>
        <w:t>d</w:t>
      </w:r>
      <w:r w:rsidR="005C1A52">
        <w:rPr>
          <w:lang w:val="fr-FR"/>
        </w:rPr>
        <w:t>’</w:t>
      </w:r>
      <w:r w:rsidRPr="00EA2447">
        <w:rPr>
          <w:lang w:val="fr-FR"/>
        </w:rPr>
        <w:t>amendements</w:t>
      </w:r>
      <w:r>
        <w:rPr>
          <w:bCs/>
          <w:lang w:val="fr-FR"/>
        </w:rPr>
        <w:t xml:space="preserve"> à la Résolution d</w:t>
      </w:r>
      <w:r w:rsidR="005C1A52">
        <w:rPr>
          <w:bCs/>
          <w:lang w:val="fr-FR"/>
        </w:rPr>
        <w:t>’</w:t>
      </w:r>
      <w:r>
        <w:rPr>
          <w:bCs/>
          <w:lang w:val="fr-FR"/>
        </w:rPr>
        <w:t xml:space="preserve">ensemble </w:t>
      </w:r>
      <w:r w:rsidR="0053773A">
        <w:rPr>
          <w:bCs/>
          <w:lang w:val="fr-FR"/>
        </w:rPr>
        <w:br/>
      </w:r>
      <w:r>
        <w:rPr>
          <w:bCs/>
          <w:lang w:val="fr-FR"/>
        </w:rPr>
        <w:t>sur la construction des véhicules</w:t>
      </w:r>
    </w:p>
    <w:p w14:paraId="793197F9" w14:textId="6360EE84" w:rsidR="00EA2447" w:rsidRPr="00A72458" w:rsidRDefault="00EA2447" w:rsidP="00EA2447">
      <w:pPr>
        <w:pStyle w:val="SingleTxtG"/>
        <w:ind w:firstLine="567"/>
        <w:rPr>
          <w:bCs/>
          <w:lang w:val="fr-FR"/>
        </w:rPr>
      </w:pPr>
      <w:r>
        <w:rPr>
          <w:lang w:val="fr-FR"/>
        </w:rPr>
        <w:t>Le GRBP examinera les projets d</w:t>
      </w:r>
      <w:r w:rsidR="005C1A52">
        <w:rPr>
          <w:lang w:val="fr-FR"/>
        </w:rPr>
        <w:t>’</w:t>
      </w:r>
      <w:r>
        <w:rPr>
          <w:lang w:val="fr-FR"/>
        </w:rPr>
        <w:t>amendements à la Résolution d</w:t>
      </w:r>
      <w:r w:rsidR="005C1A52">
        <w:rPr>
          <w:lang w:val="fr-FR"/>
        </w:rPr>
        <w:t>’</w:t>
      </w:r>
      <w:r>
        <w:rPr>
          <w:lang w:val="fr-FR"/>
        </w:rPr>
        <w:t>ensemble sur la construction des véhicules (R.E.3) qui lui auront éventuellement été soumis.</w:t>
      </w:r>
    </w:p>
    <w:p w14:paraId="7EA02673" w14:textId="15F3ECC4" w:rsidR="00EA2447" w:rsidRPr="00A72458" w:rsidRDefault="00EA2447" w:rsidP="00EA2447">
      <w:pPr>
        <w:pStyle w:val="H1G"/>
        <w:rPr>
          <w:lang w:val="fr-FR"/>
        </w:rPr>
      </w:pPr>
      <w:r>
        <w:rPr>
          <w:bCs/>
          <w:lang w:val="fr-FR"/>
        </w:rPr>
        <w:tab/>
        <w:t>10.</w:t>
      </w:r>
      <w:r>
        <w:rPr>
          <w:lang w:val="fr-FR"/>
        </w:rPr>
        <w:tab/>
      </w:r>
      <w:r>
        <w:rPr>
          <w:bCs/>
          <w:lang w:val="fr-FR"/>
        </w:rPr>
        <w:t xml:space="preserve">Mise au point </w:t>
      </w:r>
      <w:r w:rsidRPr="00EA2447">
        <w:rPr>
          <w:lang w:val="fr-FR"/>
        </w:rPr>
        <w:t>d</w:t>
      </w:r>
      <w:r w:rsidR="005C1A52">
        <w:rPr>
          <w:lang w:val="fr-FR"/>
        </w:rPr>
        <w:t>’</w:t>
      </w:r>
      <w:r w:rsidRPr="00EA2447">
        <w:rPr>
          <w:lang w:val="fr-FR"/>
        </w:rPr>
        <w:t>une</w:t>
      </w:r>
      <w:r>
        <w:rPr>
          <w:bCs/>
          <w:lang w:val="fr-FR"/>
        </w:rPr>
        <w:t xml:space="preserve"> homologation de type internationale </w:t>
      </w:r>
      <w:r w:rsidR="0053773A">
        <w:rPr>
          <w:bCs/>
          <w:lang w:val="fr-FR"/>
        </w:rPr>
        <w:br/>
      </w:r>
      <w:r>
        <w:rPr>
          <w:bCs/>
          <w:lang w:val="fr-FR"/>
        </w:rPr>
        <w:t>de l</w:t>
      </w:r>
      <w:r w:rsidR="005C1A52">
        <w:rPr>
          <w:bCs/>
          <w:lang w:val="fr-FR"/>
        </w:rPr>
        <w:t>’</w:t>
      </w:r>
      <w:r>
        <w:rPr>
          <w:bCs/>
          <w:lang w:val="fr-FR"/>
        </w:rPr>
        <w:t>ensemble du véhicule</w:t>
      </w:r>
    </w:p>
    <w:p w14:paraId="60EFFD17" w14:textId="1F7108A6" w:rsidR="00EA2447" w:rsidRPr="00A72458" w:rsidRDefault="00EA2447" w:rsidP="00EA2447">
      <w:pPr>
        <w:pStyle w:val="SingleTxtG"/>
        <w:ind w:firstLine="567"/>
        <w:rPr>
          <w:lang w:val="fr-FR"/>
        </w:rPr>
      </w:pPr>
      <w:r>
        <w:rPr>
          <w:lang w:val="fr-FR"/>
        </w:rPr>
        <w:t>Le GRBP sera informé de l</w:t>
      </w:r>
      <w:r w:rsidR="005C1A52">
        <w:rPr>
          <w:lang w:val="fr-FR"/>
        </w:rPr>
        <w:t>’</w:t>
      </w:r>
      <w:r>
        <w:rPr>
          <w:lang w:val="fr-FR"/>
        </w:rPr>
        <w:t>état d</w:t>
      </w:r>
      <w:r w:rsidR="005C1A52">
        <w:rPr>
          <w:lang w:val="fr-FR"/>
        </w:rPr>
        <w:t>’</w:t>
      </w:r>
      <w:r>
        <w:rPr>
          <w:lang w:val="fr-FR"/>
        </w:rPr>
        <w:t>avancement de la mise en application de l</w:t>
      </w:r>
      <w:r w:rsidR="005C1A52">
        <w:rPr>
          <w:lang w:val="fr-FR"/>
        </w:rPr>
        <w:t>’</w:t>
      </w:r>
      <w:r>
        <w:rPr>
          <w:lang w:val="fr-FR"/>
        </w:rPr>
        <w:t>homologation de type internationale de l</w:t>
      </w:r>
      <w:r w:rsidR="005C1A52">
        <w:rPr>
          <w:lang w:val="fr-FR"/>
        </w:rPr>
        <w:t>’</w:t>
      </w:r>
      <w:r>
        <w:rPr>
          <w:lang w:val="fr-FR"/>
        </w:rPr>
        <w:t>ensemble du véhicule (IWVTA) (Règlement ONU n</w:t>
      </w:r>
      <w:r>
        <w:rPr>
          <w:vertAlign w:val="superscript"/>
          <w:lang w:val="fr-FR"/>
        </w:rPr>
        <w:t>o</w:t>
      </w:r>
      <w:r w:rsidR="0053773A">
        <w:rPr>
          <w:lang w:val="fr-FR"/>
        </w:rPr>
        <w:t> </w:t>
      </w:r>
      <w:r>
        <w:rPr>
          <w:lang w:val="fr-FR"/>
        </w:rPr>
        <w:t>0).</w:t>
      </w:r>
    </w:p>
    <w:p w14:paraId="71CD4A2C" w14:textId="2B216197" w:rsidR="00EA2447" w:rsidRPr="00A72458" w:rsidRDefault="00EA2447" w:rsidP="00EA2447">
      <w:pPr>
        <w:pStyle w:val="H1G"/>
        <w:rPr>
          <w:lang w:val="fr-FR"/>
        </w:rPr>
      </w:pPr>
      <w:r>
        <w:rPr>
          <w:bCs/>
          <w:lang w:val="fr-FR"/>
        </w:rPr>
        <w:tab/>
        <w:t>11.</w:t>
      </w:r>
      <w:r>
        <w:rPr>
          <w:lang w:val="fr-FR"/>
        </w:rPr>
        <w:tab/>
      </w:r>
      <w:r>
        <w:rPr>
          <w:bCs/>
          <w:lang w:val="fr-FR"/>
        </w:rPr>
        <w:t>Points à retenir des dernières sessions du Forum mondial de</w:t>
      </w:r>
      <w:r w:rsidR="0053773A">
        <w:rPr>
          <w:bCs/>
          <w:lang w:val="fr-FR"/>
        </w:rPr>
        <w:t> </w:t>
      </w:r>
      <w:r>
        <w:rPr>
          <w:bCs/>
          <w:lang w:val="fr-FR"/>
        </w:rPr>
        <w:t>l</w:t>
      </w:r>
      <w:r w:rsidR="005C1A52">
        <w:rPr>
          <w:bCs/>
          <w:lang w:val="fr-FR"/>
        </w:rPr>
        <w:t>’</w:t>
      </w:r>
      <w:r>
        <w:rPr>
          <w:bCs/>
          <w:lang w:val="fr-FR"/>
        </w:rPr>
        <w:t>harmonisation des Règlements concernant les véhicules</w:t>
      </w:r>
    </w:p>
    <w:p w14:paraId="6BA36C9F" w14:textId="78FE5E6C" w:rsidR="00EA2447" w:rsidRPr="0029303B" w:rsidRDefault="00EA2447" w:rsidP="00EA2447">
      <w:pPr>
        <w:pStyle w:val="SingleTxtG"/>
        <w:ind w:firstLine="567"/>
        <w:rPr>
          <w:b/>
          <w:bCs/>
          <w:lang w:val="fr-FR"/>
        </w:rPr>
      </w:pPr>
      <w:r w:rsidRPr="0029303B">
        <w:rPr>
          <w:bCs/>
          <w:lang w:val="fr-FR"/>
        </w:rPr>
        <w:t>Le GRBP sera informé par le secrétariat des points à retenir des dernières sessions du WP.29 sur des questions qui le concernent et sur des questions communes.</w:t>
      </w:r>
    </w:p>
    <w:p w14:paraId="778B0CAA" w14:textId="33574379" w:rsidR="00EA2447" w:rsidRPr="0029303B" w:rsidRDefault="00EA2447" w:rsidP="00EA2447">
      <w:pPr>
        <w:pStyle w:val="H1G"/>
        <w:rPr>
          <w:sz w:val="32"/>
          <w:szCs w:val="24"/>
          <w:lang w:val="fr-FR"/>
        </w:rPr>
      </w:pPr>
      <w:r>
        <w:rPr>
          <w:bCs/>
          <w:szCs w:val="24"/>
          <w:lang w:val="fr-FR"/>
        </w:rPr>
        <w:tab/>
      </w:r>
      <w:r w:rsidRPr="0029303B">
        <w:rPr>
          <w:bCs/>
          <w:szCs w:val="24"/>
          <w:lang w:val="fr-FR"/>
        </w:rPr>
        <w:t>12.</w:t>
      </w:r>
      <w:r w:rsidRPr="0029303B">
        <w:rPr>
          <w:szCs w:val="24"/>
          <w:lang w:val="fr-FR"/>
        </w:rPr>
        <w:tab/>
      </w:r>
      <w:r w:rsidRPr="0029303B">
        <w:rPr>
          <w:bCs/>
          <w:szCs w:val="24"/>
          <w:lang w:val="fr-FR"/>
        </w:rPr>
        <w:t>Échange de vues sur les travaux futurs du Groupe de travail du bruit et</w:t>
      </w:r>
      <w:r w:rsidR="005C1A52">
        <w:rPr>
          <w:bCs/>
          <w:szCs w:val="24"/>
          <w:lang w:val="fr-FR"/>
        </w:rPr>
        <w:t> </w:t>
      </w:r>
      <w:r w:rsidRPr="0029303B">
        <w:rPr>
          <w:bCs/>
          <w:szCs w:val="24"/>
          <w:lang w:val="fr-FR"/>
        </w:rPr>
        <w:t>des pneumatiques</w:t>
      </w:r>
    </w:p>
    <w:p w14:paraId="2C71CE2B" w14:textId="77777777" w:rsidR="00EA2447" w:rsidRPr="00A72458" w:rsidRDefault="00EA2447" w:rsidP="00EA2447">
      <w:pPr>
        <w:pStyle w:val="SingleTxtG"/>
        <w:ind w:firstLine="567"/>
        <w:rPr>
          <w:lang w:val="fr-FR"/>
        </w:rPr>
      </w:pPr>
      <w:r>
        <w:rPr>
          <w:lang w:val="fr-FR"/>
        </w:rPr>
        <w:t>Le GRBP souhaitera peut-être examiner la liste des priorités à prendre en considération dans le cadre de ses travaux futurs.</w:t>
      </w:r>
    </w:p>
    <w:p w14:paraId="24FF1D91" w14:textId="77777777" w:rsidR="00EA2447" w:rsidRPr="00A72458" w:rsidRDefault="00EA2447" w:rsidP="00EA2447">
      <w:pPr>
        <w:pStyle w:val="H1G"/>
        <w:rPr>
          <w:lang w:val="fr-FR"/>
        </w:rPr>
      </w:pPr>
      <w:r>
        <w:rPr>
          <w:bCs/>
          <w:lang w:val="fr-FR"/>
        </w:rPr>
        <w:tab/>
        <w:t>13.</w:t>
      </w:r>
      <w:r>
        <w:rPr>
          <w:lang w:val="fr-FR"/>
        </w:rPr>
        <w:tab/>
      </w:r>
      <w:r>
        <w:rPr>
          <w:bCs/>
          <w:lang w:val="fr-FR"/>
        </w:rPr>
        <w:t xml:space="preserve">Questions </w:t>
      </w:r>
      <w:r w:rsidRPr="00EA2447">
        <w:rPr>
          <w:lang w:val="fr-FR"/>
        </w:rPr>
        <w:t>diverses</w:t>
      </w:r>
    </w:p>
    <w:p w14:paraId="6A1E0443" w14:textId="6457DFD7" w:rsidR="00EA2447" w:rsidRPr="00A72458" w:rsidRDefault="00EA2447" w:rsidP="00EA2447">
      <w:pPr>
        <w:pStyle w:val="SingleTxtG"/>
        <w:ind w:firstLine="567"/>
        <w:rPr>
          <w:lang w:val="fr-FR"/>
        </w:rPr>
      </w:pPr>
      <w:r>
        <w:rPr>
          <w:lang w:val="fr-FR"/>
        </w:rPr>
        <w:t>À sa dernière session, le GRBP a pris note des activités du groupe d</w:t>
      </w:r>
      <w:r w:rsidR="005C1A52">
        <w:rPr>
          <w:lang w:val="fr-FR"/>
        </w:rPr>
        <w:t>’</w:t>
      </w:r>
      <w:r>
        <w:rPr>
          <w:lang w:val="fr-FR"/>
        </w:rPr>
        <w:t>intérêt spécial de l</w:t>
      </w:r>
      <w:r w:rsidR="005C1A52">
        <w:rPr>
          <w:lang w:val="fr-FR"/>
        </w:rPr>
        <w:t>’</w:t>
      </w:r>
      <w:r>
        <w:rPr>
          <w:lang w:val="fr-FR"/>
        </w:rPr>
        <w:t xml:space="preserve">examen de la réglementation des véhicules automatisés (AVRS) et a invité tous les experts à aider le groupe AVRS à déterminer les modifications à apporter aux Règlements ONU relevant du GRBP et à </w:t>
      </w:r>
      <w:r w:rsidRPr="00EA2447">
        <w:rPr>
          <w:bCs/>
          <w:lang w:val="fr-FR"/>
        </w:rPr>
        <w:t>établir</w:t>
      </w:r>
      <w:r>
        <w:rPr>
          <w:lang w:val="fr-FR"/>
        </w:rPr>
        <w:t xml:space="preserve"> des priorités, en tenant compte de celles du WP.29 et du Groupe de travail des véhicules automatisés/autonomes et connectés (GRVA). Le GRBP est invité à poursuivre ses débats.</w:t>
      </w:r>
    </w:p>
    <w:p w14:paraId="1C966E36" w14:textId="043D0570" w:rsidR="00EA2447" w:rsidRPr="00A72458" w:rsidRDefault="00EA2447" w:rsidP="00EA2447">
      <w:pPr>
        <w:pStyle w:val="SingleTxtG"/>
        <w:ind w:firstLine="567"/>
        <w:rPr>
          <w:lang w:val="fr-FR"/>
        </w:rPr>
      </w:pPr>
      <w:r>
        <w:rPr>
          <w:lang w:val="fr-FR"/>
        </w:rPr>
        <w:t>Le GRBP examinera d</w:t>
      </w:r>
      <w:r w:rsidR="005C1A52">
        <w:rPr>
          <w:lang w:val="fr-FR"/>
        </w:rPr>
        <w:t>’</w:t>
      </w:r>
      <w:r>
        <w:rPr>
          <w:lang w:val="fr-FR"/>
        </w:rPr>
        <w:t>autres questions, selon qu</w:t>
      </w:r>
      <w:r w:rsidR="005C1A52">
        <w:rPr>
          <w:lang w:val="fr-FR"/>
        </w:rPr>
        <w:t>’</w:t>
      </w:r>
      <w:r>
        <w:rPr>
          <w:lang w:val="fr-FR"/>
        </w:rPr>
        <w:t>il conviendra.</w:t>
      </w:r>
    </w:p>
    <w:p w14:paraId="520EC85C" w14:textId="77777777" w:rsidR="00EA2447" w:rsidRPr="00A72458" w:rsidRDefault="00EA2447" w:rsidP="00EA2447">
      <w:pPr>
        <w:pStyle w:val="H1G"/>
        <w:rPr>
          <w:lang w:val="fr-FR"/>
        </w:rPr>
      </w:pPr>
      <w:r>
        <w:rPr>
          <w:bCs/>
          <w:lang w:val="fr-FR"/>
        </w:rPr>
        <w:tab/>
        <w:t>14.</w:t>
      </w:r>
      <w:r>
        <w:rPr>
          <w:lang w:val="fr-FR"/>
        </w:rPr>
        <w:tab/>
      </w:r>
      <w:r>
        <w:rPr>
          <w:bCs/>
          <w:lang w:val="fr-FR"/>
        </w:rPr>
        <w:t xml:space="preserve">Ordre du jour </w:t>
      </w:r>
      <w:r w:rsidRPr="00EA2447">
        <w:rPr>
          <w:lang w:val="fr-FR"/>
        </w:rPr>
        <w:t>provisoire</w:t>
      </w:r>
      <w:r>
        <w:rPr>
          <w:bCs/>
          <w:lang w:val="fr-FR"/>
        </w:rPr>
        <w:t xml:space="preserve"> de la prochaine session</w:t>
      </w:r>
    </w:p>
    <w:p w14:paraId="1C295AD9" w14:textId="704C9B9E" w:rsidR="00EA2447" w:rsidRPr="00A72458" w:rsidRDefault="00EA2447" w:rsidP="00EA2447">
      <w:pPr>
        <w:pStyle w:val="SingleTxtG"/>
        <w:ind w:firstLine="567"/>
        <w:rPr>
          <w:lang w:val="fr-FR"/>
        </w:rPr>
      </w:pPr>
      <w:r>
        <w:rPr>
          <w:lang w:val="fr-FR"/>
        </w:rPr>
        <w:t xml:space="preserve">Le GRBP est invité à donner des </w:t>
      </w:r>
      <w:r w:rsidRPr="00EA2447">
        <w:rPr>
          <w:bCs/>
          <w:lang w:val="fr-FR"/>
        </w:rPr>
        <w:t>indications</w:t>
      </w:r>
      <w:r>
        <w:rPr>
          <w:lang w:val="fr-FR"/>
        </w:rPr>
        <w:t xml:space="preserve"> concernant l</w:t>
      </w:r>
      <w:r w:rsidR="005C1A52">
        <w:rPr>
          <w:lang w:val="fr-FR"/>
        </w:rPr>
        <w:t>’</w:t>
      </w:r>
      <w:r>
        <w:rPr>
          <w:lang w:val="fr-FR"/>
        </w:rPr>
        <w:t>ordre du jour provisoire de sa prochaine session, provisoirement prévue à Genève du 6 au 9 février 2024.</w:t>
      </w:r>
    </w:p>
    <w:p w14:paraId="798F001C" w14:textId="77777777" w:rsidR="00EA2447" w:rsidRPr="00A72458" w:rsidRDefault="00EA2447" w:rsidP="00EA2447">
      <w:pPr>
        <w:pStyle w:val="H1G"/>
        <w:rPr>
          <w:lang w:val="fr-FR"/>
        </w:rPr>
      </w:pPr>
      <w:r>
        <w:rPr>
          <w:bCs/>
          <w:lang w:val="fr-FR"/>
        </w:rPr>
        <w:lastRenderedPageBreak/>
        <w:tab/>
        <w:t>15.</w:t>
      </w:r>
      <w:r>
        <w:rPr>
          <w:lang w:val="fr-FR"/>
        </w:rPr>
        <w:tab/>
      </w:r>
      <w:r>
        <w:rPr>
          <w:bCs/>
          <w:lang w:val="fr-FR"/>
        </w:rPr>
        <w:t xml:space="preserve">Élection du </w:t>
      </w:r>
      <w:r w:rsidRPr="00EA2447">
        <w:rPr>
          <w:lang w:val="fr-FR"/>
        </w:rPr>
        <w:t>Bureau</w:t>
      </w:r>
    </w:p>
    <w:p w14:paraId="15B86B87" w14:textId="465111D6" w:rsidR="00EA2447" w:rsidRDefault="00EA2447" w:rsidP="00EA2447">
      <w:pPr>
        <w:pStyle w:val="SingleTxtG"/>
        <w:ind w:firstLine="567"/>
        <w:rPr>
          <w:lang w:val="fr-FR"/>
        </w:rPr>
      </w:pPr>
      <w:r>
        <w:rPr>
          <w:lang w:val="fr-FR"/>
        </w:rPr>
        <w:t>Comme le prévoit l</w:t>
      </w:r>
      <w:r w:rsidR="005C1A52">
        <w:rPr>
          <w:lang w:val="fr-FR"/>
        </w:rPr>
        <w:t>’</w:t>
      </w:r>
      <w:r>
        <w:rPr>
          <w:lang w:val="fr-FR"/>
        </w:rPr>
        <w:t>article</w:t>
      </w:r>
      <w:r w:rsidR="0053773A">
        <w:rPr>
          <w:lang w:val="fr-FR"/>
        </w:rPr>
        <w:t> </w:t>
      </w:r>
      <w:r>
        <w:rPr>
          <w:lang w:val="fr-FR"/>
        </w:rPr>
        <w:t>37 du Règlement intérieur du WP.29 (ECE/TRANS/WP.29/690/Rev.2), le GRBP élira un(e) président(e) et un(e) vice</w:t>
      </w:r>
      <w:r w:rsidR="0053773A">
        <w:rPr>
          <w:lang w:val="fr-FR"/>
        </w:rPr>
        <w:noBreakHyphen/>
      </w:r>
      <w:r>
        <w:rPr>
          <w:lang w:val="fr-FR"/>
        </w:rPr>
        <w:t>président(e) pour les sessions prévues en 2024. Conformément au Règlement intérieur du Comité des transports intérieurs, les pays sont invités à soumettre leurs candidatures au secrétariat au plus tard le 22 août 2023.</w:t>
      </w:r>
    </w:p>
    <w:p w14:paraId="1B50FA80" w14:textId="74AEF455" w:rsidR="00EA2447" w:rsidRPr="00EA2447" w:rsidRDefault="00EA2447" w:rsidP="00EA2447">
      <w:pPr>
        <w:pStyle w:val="SingleTxtG"/>
        <w:spacing w:before="240" w:after="0"/>
        <w:jc w:val="center"/>
        <w:rPr>
          <w:u w:val="single"/>
        </w:rPr>
      </w:pPr>
      <w:r>
        <w:rPr>
          <w:u w:val="single"/>
        </w:rPr>
        <w:tab/>
      </w:r>
      <w:r>
        <w:rPr>
          <w:u w:val="single"/>
        </w:rPr>
        <w:tab/>
      </w:r>
      <w:r>
        <w:rPr>
          <w:u w:val="single"/>
        </w:rPr>
        <w:tab/>
      </w:r>
      <w:r>
        <w:rPr>
          <w:u w:val="single"/>
        </w:rPr>
        <w:tab/>
      </w:r>
    </w:p>
    <w:sectPr w:rsidR="00EA2447" w:rsidRPr="00EA2447" w:rsidSect="00EA244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CC93" w14:textId="77777777" w:rsidR="002C3418" w:rsidRDefault="002C3418" w:rsidP="00F95C08">
      <w:pPr>
        <w:spacing w:line="240" w:lineRule="auto"/>
      </w:pPr>
    </w:p>
  </w:endnote>
  <w:endnote w:type="continuationSeparator" w:id="0">
    <w:p w14:paraId="4226B052" w14:textId="77777777" w:rsidR="002C3418" w:rsidRPr="00AC3823" w:rsidRDefault="002C3418" w:rsidP="00AC3823">
      <w:pPr>
        <w:pStyle w:val="Pieddepage"/>
      </w:pPr>
    </w:p>
  </w:endnote>
  <w:endnote w:type="continuationNotice" w:id="1">
    <w:p w14:paraId="7D72C88C" w14:textId="77777777" w:rsidR="002C3418" w:rsidRDefault="002C34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FFCC" w14:textId="5FDB1152" w:rsidR="00EA2447" w:rsidRPr="00EA2447" w:rsidRDefault="00EA2447" w:rsidP="00EA2447">
    <w:pPr>
      <w:pStyle w:val="Pieddepage"/>
      <w:tabs>
        <w:tab w:val="right" w:pos="9638"/>
      </w:tabs>
    </w:pPr>
    <w:r w:rsidRPr="00EA2447">
      <w:rPr>
        <w:b/>
        <w:sz w:val="18"/>
      </w:rPr>
      <w:fldChar w:fldCharType="begin"/>
    </w:r>
    <w:r w:rsidRPr="00EA2447">
      <w:rPr>
        <w:b/>
        <w:sz w:val="18"/>
      </w:rPr>
      <w:instrText xml:space="preserve"> PAGE  \* MERGEFORMAT </w:instrText>
    </w:r>
    <w:r w:rsidRPr="00EA2447">
      <w:rPr>
        <w:b/>
        <w:sz w:val="18"/>
      </w:rPr>
      <w:fldChar w:fldCharType="separate"/>
    </w:r>
    <w:r w:rsidRPr="00EA2447">
      <w:rPr>
        <w:b/>
        <w:noProof/>
        <w:sz w:val="18"/>
      </w:rPr>
      <w:t>2</w:t>
    </w:r>
    <w:r w:rsidRPr="00EA2447">
      <w:rPr>
        <w:b/>
        <w:sz w:val="18"/>
      </w:rPr>
      <w:fldChar w:fldCharType="end"/>
    </w:r>
    <w:r>
      <w:rPr>
        <w:b/>
        <w:sz w:val="18"/>
      </w:rPr>
      <w:tab/>
    </w:r>
    <w:r>
      <w:t>GE.23-11189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5589" w14:textId="59B9D1B9" w:rsidR="00EA2447" w:rsidRPr="00EA2447" w:rsidRDefault="00EA2447" w:rsidP="00EA2447">
    <w:pPr>
      <w:pStyle w:val="Pieddepage"/>
      <w:tabs>
        <w:tab w:val="right" w:pos="9638"/>
      </w:tabs>
      <w:rPr>
        <w:b/>
        <w:sz w:val="18"/>
      </w:rPr>
    </w:pPr>
    <w:r>
      <w:t>GE.23-11189</w:t>
    </w:r>
    <w:r>
      <w:tab/>
    </w:r>
    <w:r w:rsidRPr="00EA2447">
      <w:rPr>
        <w:b/>
        <w:sz w:val="18"/>
      </w:rPr>
      <w:fldChar w:fldCharType="begin"/>
    </w:r>
    <w:r w:rsidRPr="00EA2447">
      <w:rPr>
        <w:b/>
        <w:sz w:val="18"/>
      </w:rPr>
      <w:instrText xml:space="preserve"> PAGE  \* MERGEFORMAT </w:instrText>
    </w:r>
    <w:r w:rsidRPr="00EA2447">
      <w:rPr>
        <w:b/>
        <w:sz w:val="18"/>
      </w:rPr>
      <w:fldChar w:fldCharType="separate"/>
    </w:r>
    <w:r w:rsidRPr="00EA2447">
      <w:rPr>
        <w:b/>
        <w:noProof/>
        <w:sz w:val="18"/>
      </w:rPr>
      <w:t>3</w:t>
    </w:r>
    <w:r w:rsidRPr="00EA24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DC3" w14:textId="71FF0095" w:rsidR="007F20FA" w:rsidRPr="00EA2447" w:rsidRDefault="00EA2447" w:rsidP="00EA244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A54D0CF" wp14:editId="3D8AF8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23-11189  (F)</w:t>
    </w:r>
    <w:r>
      <w:rPr>
        <w:noProof/>
        <w:sz w:val="20"/>
      </w:rPr>
      <w:drawing>
        <wp:anchor distT="0" distB="0" distL="114300" distR="114300" simplePos="0" relativeHeight="251660288" behindDoc="0" locked="0" layoutInCell="1" allowOverlap="1" wp14:anchorId="74E0E742" wp14:editId="0FD447B5">
          <wp:simplePos x="0" y="0"/>
          <wp:positionH relativeFrom="margin">
            <wp:posOffset>5489575</wp:posOffset>
          </wp:positionH>
          <wp:positionV relativeFrom="margin">
            <wp:posOffset>8891905</wp:posOffset>
          </wp:positionV>
          <wp:extent cx="638175" cy="638175"/>
          <wp:effectExtent l="0" t="0" r="9525" b="9525"/>
          <wp:wrapNone/>
          <wp:docPr id="4492539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FF4">
      <w:rPr>
        <w:sz w:val="20"/>
      </w:rPr>
      <w:t xml:space="preserve">    060723    060723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A33D" w14:textId="77777777" w:rsidR="002C3418" w:rsidRPr="00AC3823" w:rsidRDefault="002C3418" w:rsidP="00AC3823">
      <w:pPr>
        <w:pStyle w:val="Pieddepage"/>
        <w:tabs>
          <w:tab w:val="right" w:pos="2155"/>
        </w:tabs>
        <w:spacing w:after="80" w:line="240" w:lineRule="atLeast"/>
        <w:ind w:left="680"/>
        <w:rPr>
          <w:u w:val="single"/>
        </w:rPr>
      </w:pPr>
      <w:r>
        <w:rPr>
          <w:u w:val="single"/>
        </w:rPr>
        <w:tab/>
      </w:r>
    </w:p>
  </w:footnote>
  <w:footnote w:type="continuationSeparator" w:id="0">
    <w:p w14:paraId="1240B767" w14:textId="77777777" w:rsidR="002C3418" w:rsidRPr="00AC3823" w:rsidRDefault="002C3418" w:rsidP="00AC3823">
      <w:pPr>
        <w:pStyle w:val="Pieddepage"/>
        <w:tabs>
          <w:tab w:val="right" w:pos="2155"/>
        </w:tabs>
        <w:spacing w:after="80" w:line="240" w:lineRule="atLeast"/>
        <w:ind w:left="680"/>
        <w:rPr>
          <w:u w:val="single"/>
        </w:rPr>
      </w:pPr>
      <w:r>
        <w:rPr>
          <w:u w:val="single"/>
        </w:rPr>
        <w:tab/>
      </w:r>
    </w:p>
  </w:footnote>
  <w:footnote w:type="continuationNotice" w:id="1">
    <w:p w14:paraId="49384B04" w14:textId="77777777" w:rsidR="002C3418" w:rsidRPr="00AC3823" w:rsidRDefault="002C3418">
      <w:pPr>
        <w:spacing w:line="240" w:lineRule="auto"/>
        <w:rPr>
          <w:sz w:val="2"/>
          <w:szCs w:val="2"/>
        </w:rPr>
      </w:pPr>
    </w:p>
  </w:footnote>
  <w:footnote w:id="2">
    <w:p w14:paraId="3923FA2B" w14:textId="59320C1A" w:rsidR="00EA2447" w:rsidRPr="00EA2447" w:rsidRDefault="00EA2447">
      <w:pPr>
        <w:pStyle w:val="Notedebasdepage"/>
      </w:pPr>
      <w:r>
        <w:rPr>
          <w:rStyle w:val="Appelnotedebasdep"/>
        </w:rPr>
        <w:tab/>
      </w:r>
      <w:r w:rsidRPr="00EA2447">
        <w:rPr>
          <w:rStyle w:val="Appelnotedebasdep"/>
          <w:sz w:val="20"/>
          <w:vertAlign w:val="baseline"/>
        </w:rPr>
        <w:t>*</w:t>
      </w:r>
      <w:r>
        <w:rPr>
          <w:rStyle w:val="Appelnotedebasdep"/>
          <w:sz w:val="20"/>
          <w:vertAlign w:val="baseline"/>
        </w:rPr>
        <w:tab/>
      </w:r>
      <w:r>
        <w:rPr>
          <w:lang w:val="fr-FR"/>
        </w:rPr>
        <w:t>Pour des raisons d</w:t>
      </w:r>
      <w:r w:rsidR="005C1A52">
        <w:rPr>
          <w:lang w:val="fr-FR"/>
        </w:rPr>
        <w:t>’</w:t>
      </w:r>
      <w:r>
        <w:rPr>
          <w:lang w:val="fr-FR"/>
        </w:rPr>
        <w:t>économie, les représentantes et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371161">
          <w:rPr>
            <w:rStyle w:val="Lienhypertexte"/>
            <w:lang w:val="fr-FR"/>
          </w:rPr>
          <w:t>https://unece.org/info/event</w:t>
        </w:r>
        <w:r w:rsidRPr="00371161">
          <w:rPr>
            <w:rStyle w:val="Lienhypertexte"/>
            <w:lang w:val="fr-FR"/>
          </w:rPr>
          <w:t>s</w:t>
        </w:r>
        <w:r w:rsidRPr="00371161">
          <w:rPr>
            <w:rStyle w:val="Lienhypertexte"/>
            <w:lang w:val="fr-FR"/>
          </w:rPr>
          <w:t>/event/374917</w:t>
        </w:r>
      </w:hyperlink>
      <w:r>
        <w:rPr>
          <w:lang w:val="fr-FR"/>
        </w:rPr>
        <w:t>). À titre exceptionnel, ils peuvent également être obtenus par courrier électronique (</w:t>
      </w:r>
      <w:hyperlink r:id="rId2" w:history="1">
        <w:r w:rsidRPr="00371161">
          <w:rPr>
            <w:rStyle w:val="Lienhypertexte"/>
            <w:lang w:val="fr-FR"/>
          </w:rPr>
          <w:t>GRBP@un.</w:t>
        </w:r>
        <w:r w:rsidRPr="00371161">
          <w:rPr>
            <w:rStyle w:val="Lienhypertexte"/>
            <w:lang w:val="fr-FR"/>
          </w:rPr>
          <w:t>o</w:t>
        </w:r>
        <w:r w:rsidRPr="00371161">
          <w:rPr>
            <w:rStyle w:val="Lienhypertexte"/>
            <w:lang w:val="fr-FR"/>
          </w:rPr>
          <w:t>rg</w:t>
        </w:r>
      </w:hyperlink>
      <w:r>
        <w:rPr>
          <w:lang w:val="fr-FR"/>
        </w:rPr>
        <w:t>). Durant la session, les documents officiels peuvent être obtenus auprès de la Section de la distribution des documents de l</w:t>
      </w:r>
      <w:r w:rsidR="005C1A52">
        <w:rPr>
          <w:lang w:val="fr-FR"/>
        </w:rPr>
        <w:t>’</w:t>
      </w:r>
      <w:r>
        <w:rPr>
          <w:lang w:val="fr-FR"/>
        </w:rPr>
        <w:t>ONUG (bureau C.337 au 3</w:t>
      </w:r>
      <w:r>
        <w:rPr>
          <w:vertAlign w:val="superscript"/>
          <w:lang w:val="fr-FR"/>
        </w:rPr>
        <w:t>e</w:t>
      </w:r>
      <w:r>
        <w:rPr>
          <w:lang w:val="fr-FR"/>
        </w:rPr>
        <w:t xml:space="preserve"> étage du Palais des Nations). Les différentes versions linguistiques de ces documents sont disponibles en accès public sur le Système de diffusion électronique des documents (SEDOC), à l</w:t>
      </w:r>
      <w:r w:rsidR="005C1A52">
        <w:rPr>
          <w:lang w:val="fr-FR"/>
        </w:rPr>
        <w:t>’</w:t>
      </w:r>
      <w:r>
        <w:rPr>
          <w:lang w:val="fr-FR"/>
        </w:rPr>
        <w:t xml:space="preserve">adresse </w:t>
      </w:r>
      <w:hyperlink r:id="rId3" w:history="1">
        <w:r w:rsidRPr="00EB5A8D">
          <w:rPr>
            <w:rStyle w:val="Lienhypertexte"/>
            <w:lang w:val="fr-FR"/>
          </w:rPr>
          <w:t>http://docum</w:t>
        </w:r>
        <w:r w:rsidRPr="00EB5A8D">
          <w:rPr>
            <w:rStyle w:val="Lienhypertexte"/>
            <w:lang w:val="fr-FR"/>
          </w:rPr>
          <w:t>e</w:t>
        </w:r>
        <w:r w:rsidRPr="00EB5A8D">
          <w:rPr>
            <w:rStyle w:val="Lienhypertexte"/>
            <w:lang w:val="fr-FR"/>
          </w:rPr>
          <w:t>nts.un.org/</w:t>
        </w:r>
      </w:hyperlink>
      <w:r>
        <w:rPr>
          <w:lang w:val="fr-FR"/>
        </w:rPr>
        <w:t>.</w:t>
      </w:r>
    </w:p>
  </w:footnote>
  <w:footnote w:id="3">
    <w:p w14:paraId="4599A193" w14:textId="04ECFD9F" w:rsidR="0042674E" w:rsidRPr="0042674E" w:rsidRDefault="0042674E">
      <w:pPr>
        <w:pStyle w:val="Notedebasdepage"/>
      </w:pPr>
      <w:r>
        <w:rPr>
          <w:rStyle w:val="Appelnotedebasdep"/>
        </w:rPr>
        <w:tab/>
      </w:r>
      <w:r w:rsidRPr="0042674E">
        <w:rPr>
          <w:rStyle w:val="Appelnotedebasdep"/>
          <w:sz w:val="20"/>
          <w:vertAlign w:val="baseline"/>
        </w:rPr>
        <w:t>**</w:t>
      </w:r>
      <w:r>
        <w:rPr>
          <w:rStyle w:val="Appelnotedebasdep"/>
          <w:sz w:val="20"/>
          <w:vertAlign w:val="baseline"/>
        </w:rPr>
        <w:tab/>
      </w:r>
      <w:r>
        <w:rPr>
          <w:lang w:val="fr-FR"/>
        </w:rPr>
        <w:t>Les représentantes et représentants sont priés de s</w:t>
      </w:r>
      <w:r w:rsidR="005C1A52">
        <w:rPr>
          <w:lang w:val="fr-FR"/>
        </w:rPr>
        <w:t>’</w:t>
      </w:r>
      <w:r>
        <w:rPr>
          <w:lang w:val="fr-FR"/>
        </w:rPr>
        <w:t>inscrire en ligne sur le site Web de la CEE (</w:t>
      </w:r>
      <w:hyperlink r:id="rId4" w:history="1">
        <w:r w:rsidRPr="00EB5A8D">
          <w:rPr>
            <w:rStyle w:val="Lienhypertexte"/>
            <w:lang w:val="fr-FR"/>
          </w:rPr>
          <w:t>https://indico.un.org/event/</w:t>
        </w:r>
        <w:r w:rsidRPr="00EB5A8D">
          <w:rPr>
            <w:rStyle w:val="Lienhypertexte"/>
            <w:lang w:val="fr-FR"/>
          </w:rPr>
          <w:t>1</w:t>
        </w:r>
        <w:r w:rsidRPr="00EB5A8D">
          <w:rPr>
            <w:rStyle w:val="Lienhypertexte"/>
            <w:lang w:val="fr-FR"/>
          </w:rPr>
          <w:t>00</w:t>
        </w:r>
        <w:r w:rsidRPr="00EB5A8D">
          <w:rPr>
            <w:rStyle w:val="Lienhypertexte"/>
            <w:lang w:val="fr-FR"/>
          </w:rPr>
          <w:t>2</w:t>
        </w:r>
        <w:r w:rsidRPr="00EB5A8D">
          <w:rPr>
            <w:rStyle w:val="Lienhypertexte"/>
            <w:lang w:val="fr-FR"/>
          </w:rPr>
          <w:t>198/</w:t>
        </w:r>
      </w:hyperlink>
      <w:r>
        <w:rPr>
          <w:lang w:val="fr-FR"/>
        </w:rPr>
        <w:t xml:space="preserve">). </w:t>
      </w:r>
      <w:r w:rsidR="00EB5A8D">
        <w:rPr>
          <w:lang w:val="fr-FR"/>
        </w:rPr>
        <w:t>À</w:t>
      </w:r>
      <w:r>
        <w:rPr>
          <w:lang w:val="fr-FR"/>
        </w:rPr>
        <w:t xml:space="preserve"> leur arrivée au Palais des Nations, ils doivent retirer un badge à la Section de la sécurité et de la sûreté de l</w:t>
      </w:r>
      <w:r w:rsidR="005C1A52">
        <w:rPr>
          <w:lang w:val="fr-FR"/>
        </w:rPr>
        <w:t>’</w:t>
      </w:r>
      <w:r>
        <w:rPr>
          <w:lang w:val="fr-FR"/>
        </w:rPr>
        <w:t>ONUG. En cas de difficulté, ils sont invités à contacter le secrétariat par téléphone (poste 74323). Un plan du Palais des Nations et d</w:t>
      </w:r>
      <w:r w:rsidR="005C1A52">
        <w:rPr>
          <w:lang w:val="fr-FR"/>
        </w:rPr>
        <w:t>’</w:t>
      </w:r>
      <w:r>
        <w:rPr>
          <w:lang w:val="fr-FR"/>
        </w:rPr>
        <w:t>autres renseignements utiles sont disponibles à l</w:t>
      </w:r>
      <w:r w:rsidR="005C1A52">
        <w:rPr>
          <w:lang w:val="fr-FR"/>
        </w:rPr>
        <w:t>’</w:t>
      </w:r>
      <w:r>
        <w:rPr>
          <w:lang w:val="fr-FR"/>
        </w:rPr>
        <w:t xml:space="preserve">adresse </w:t>
      </w:r>
      <w:hyperlink r:id="rId5" w:history="1">
        <w:r w:rsidR="00EB5A8D" w:rsidRPr="00EB5A8D">
          <w:rPr>
            <w:rStyle w:val="Lienhypertexte"/>
            <w:lang w:val="fr-FR"/>
          </w:rPr>
          <w:t>www.unece.org/meetin</w:t>
        </w:r>
        <w:r w:rsidR="00EB5A8D" w:rsidRPr="00EB5A8D">
          <w:rPr>
            <w:rStyle w:val="Lienhypertexte"/>
            <w:lang w:val="fr-FR"/>
          </w:rPr>
          <w:t>g</w:t>
        </w:r>
        <w:r w:rsidR="00EB5A8D" w:rsidRPr="00EB5A8D">
          <w:rPr>
            <w:rStyle w:val="Lienhypertexte"/>
            <w:lang w:val="fr-FR"/>
          </w:rPr>
          <w:t>s/pratical.html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A03F" w14:textId="45EFFEC6" w:rsidR="00EA2447" w:rsidRPr="00EA2447" w:rsidRDefault="00EA2447">
    <w:pPr>
      <w:pStyle w:val="En-tte"/>
    </w:pPr>
    <w:fldSimple w:instr=" TITLE  \* MERGEFORMAT ">
      <w:r>
        <w:t>ECE/TRANS/WP.29/GRBP/2023/13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83E8" w14:textId="782358FA" w:rsidR="00EA2447" w:rsidRPr="00EA2447" w:rsidRDefault="00EA2447" w:rsidP="00EA2447">
    <w:pPr>
      <w:pStyle w:val="En-tte"/>
      <w:jc w:val="right"/>
    </w:pPr>
    <w:fldSimple w:instr=" TITLE  \* MERGEFORMAT ">
      <w:r>
        <w:t>ECE/TRANS/WP.29/GRBP/2023/13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13545430">
    <w:abstractNumId w:val="12"/>
  </w:num>
  <w:num w:numId="2" w16cid:durableId="68308449">
    <w:abstractNumId w:val="11"/>
  </w:num>
  <w:num w:numId="3" w16cid:durableId="7678148">
    <w:abstractNumId w:val="10"/>
  </w:num>
  <w:num w:numId="4" w16cid:durableId="285745969">
    <w:abstractNumId w:val="8"/>
  </w:num>
  <w:num w:numId="5" w16cid:durableId="1478840844">
    <w:abstractNumId w:val="3"/>
  </w:num>
  <w:num w:numId="6" w16cid:durableId="749888027">
    <w:abstractNumId w:val="2"/>
  </w:num>
  <w:num w:numId="7" w16cid:durableId="1618562259">
    <w:abstractNumId w:val="1"/>
  </w:num>
  <w:num w:numId="8" w16cid:durableId="503130248">
    <w:abstractNumId w:val="0"/>
  </w:num>
  <w:num w:numId="9" w16cid:durableId="866453678">
    <w:abstractNumId w:val="9"/>
  </w:num>
  <w:num w:numId="10" w16cid:durableId="160434854">
    <w:abstractNumId w:val="7"/>
  </w:num>
  <w:num w:numId="11" w16cid:durableId="2081252179">
    <w:abstractNumId w:val="6"/>
  </w:num>
  <w:num w:numId="12" w16cid:durableId="992220657">
    <w:abstractNumId w:val="5"/>
  </w:num>
  <w:num w:numId="13" w16cid:durableId="1688680707">
    <w:abstractNumId w:val="4"/>
  </w:num>
  <w:num w:numId="14" w16cid:durableId="522325652">
    <w:abstractNumId w:val="12"/>
  </w:num>
  <w:num w:numId="15" w16cid:durableId="563683178">
    <w:abstractNumId w:val="11"/>
  </w:num>
  <w:num w:numId="16" w16cid:durableId="699283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18"/>
    <w:rsid w:val="00017F94"/>
    <w:rsid w:val="00023842"/>
    <w:rsid w:val="000334F9"/>
    <w:rsid w:val="00045FEB"/>
    <w:rsid w:val="0007796D"/>
    <w:rsid w:val="00091FF4"/>
    <w:rsid w:val="000B7790"/>
    <w:rsid w:val="00111F2F"/>
    <w:rsid w:val="0014365E"/>
    <w:rsid w:val="00143C66"/>
    <w:rsid w:val="00176178"/>
    <w:rsid w:val="001F525A"/>
    <w:rsid w:val="00201148"/>
    <w:rsid w:val="00223272"/>
    <w:rsid w:val="0024779E"/>
    <w:rsid w:val="00257168"/>
    <w:rsid w:val="002744B8"/>
    <w:rsid w:val="002832AC"/>
    <w:rsid w:val="002C3418"/>
    <w:rsid w:val="002D7C93"/>
    <w:rsid w:val="00305801"/>
    <w:rsid w:val="00331953"/>
    <w:rsid w:val="00337D1B"/>
    <w:rsid w:val="00371161"/>
    <w:rsid w:val="003916DE"/>
    <w:rsid w:val="003C45CF"/>
    <w:rsid w:val="00421996"/>
    <w:rsid w:val="0042674E"/>
    <w:rsid w:val="00441C3B"/>
    <w:rsid w:val="00446FE5"/>
    <w:rsid w:val="00452396"/>
    <w:rsid w:val="00477EB2"/>
    <w:rsid w:val="004837D8"/>
    <w:rsid w:val="004E2EED"/>
    <w:rsid w:val="004E468C"/>
    <w:rsid w:val="0053773A"/>
    <w:rsid w:val="005505B7"/>
    <w:rsid w:val="00573BE5"/>
    <w:rsid w:val="00586ED3"/>
    <w:rsid w:val="00596AA9"/>
    <w:rsid w:val="005C1A52"/>
    <w:rsid w:val="0071601D"/>
    <w:rsid w:val="007A62E6"/>
    <w:rsid w:val="007F20FA"/>
    <w:rsid w:val="0080684C"/>
    <w:rsid w:val="00871C75"/>
    <w:rsid w:val="008776DC"/>
    <w:rsid w:val="008D5EF9"/>
    <w:rsid w:val="009446C0"/>
    <w:rsid w:val="009705C8"/>
    <w:rsid w:val="009C1CF4"/>
    <w:rsid w:val="009F6B74"/>
    <w:rsid w:val="00A3029F"/>
    <w:rsid w:val="00A30353"/>
    <w:rsid w:val="00A44297"/>
    <w:rsid w:val="00AC3823"/>
    <w:rsid w:val="00AE323C"/>
    <w:rsid w:val="00AF0CB5"/>
    <w:rsid w:val="00B00181"/>
    <w:rsid w:val="00B00B0D"/>
    <w:rsid w:val="00B10D62"/>
    <w:rsid w:val="00B45F2E"/>
    <w:rsid w:val="00B765F7"/>
    <w:rsid w:val="00B77993"/>
    <w:rsid w:val="00BA0CA9"/>
    <w:rsid w:val="00C02897"/>
    <w:rsid w:val="00C97039"/>
    <w:rsid w:val="00D10AE5"/>
    <w:rsid w:val="00D3439C"/>
    <w:rsid w:val="00D7622E"/>
    <w:rsid w:val="00DB1831"/>
    <w:rsid w:val="00DD3BFD"/>
    <w:rsid w:val="00DF6678"/>
    <w:rsid w:val="00E0299A"/>
    <w:rsid w:val="00E85C74"/>
    <w:rsid w:val="00EA2447"/>
    <w:rsid w:val="00EA6547"/>
    <w:rsid w:val="00EB5A8D"/>
    <w:rsid w:val="00ED7237"/>
    <w:rsid w:val="00EF2E22"/>
    <w:rsid w:val="00F35BAF"/>
    <w:rsid w:val="00F41EB0"/>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0F4F7"/>
  <w15:docId w15:val="{E8F1E907-8425-4A65-B391-7C7BB1D0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37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GRBP@un.org" TargetMode="External"/><Relationship Id="rId1" Type="http://schemas.openxmlformats.org/officeDocument/2006/relationships/hyperlink" Target="https://unece.org/info/events/event/374917" TargetMode="External"/><Relationship Id="rId5" Type="http://schemas.openxmlformats.org/officeDocument/2006/relationships/hyperlink" Target="https://unece.org/practical-information-delegates" TargetMode="External"/><Relationship Id="rId4" Type="http://schemas.openxmlformats.org/officeDocument/2006/relationships/hyperlink" Target="https://indico.un.org/event/10021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1214</Words>
  <Characters>8505</Characters>
  <Application>Microsoft Office Word</Application>
  <DocSecurity>0</DocSecurity>
  <Lines>708</Lines>
  <Paragraphs>388</Paragraphs>
  <ScaleCrop>false</ScaleCrop>
  <HeadingPairs>
    <vt:vector size="2" baseType="variant">
      <vt:variant>
        <vt:lpstr>Titre</vt:lpstr>
      </vt:variant>
      <vt:variant>
        <vt:i4>1</vt:i4>
      </vt:variant>
    </vt:vector>
  </HeadingPairs>
  <TitlesOfParts>
    <vt:vector size="1" baseType="lpstr">
      <vt:lpstr>ECE/TRANS/WP.29/GRBP/2023/13</vt:lpstr>
    </vt:vector>
  </TitlesOfParts>
  <Company>DCM</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ECE/TRANS/WP.29/GRBP/2023/13</dc:title>
  <dc:subject/>
  <dc:creator>Julien OKRZESIK</dc:creator>
  <cp:keywords/>
  <cp:lastModifiedBy>Julien Okrzesik</cp:lastModifiedBy>
  <cp:revision>2</cp:revision>
  <cp:lastPrinted>2014-05-14T10:59:00Z</cp:lastPrinted>
  <dcterms:created xsi:type="dcterms:W3CDTF">2023-07-06T10:34:00Z</dcterms:created>
  <dcterms:modified xsi:type="dcterms:W3CDTF">2023-07-06T10:34:00Z</dcterms:modified>
</cp:coreProperties>
</file>