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6C025F" w:rsidRDefault="00B56E9C" w:rsidP="00D4168F">
            <w:pPr>
              <w:spacing w:after="80" w:line="240" w:lineRule="auto"/>
              <w:rPr>
                <w:b/>
              </w:rPr>
            </w:pPr>
          </w:p>
        </w:tc>
        <w:tc>
          <w:tcPr>
            <w:tcW w:w="6095" w:type="dxa"/>
            <w:tcBorders>
              <w:bottom w:val="single" w:sz="4" w:space="0" w:color="auto"/>
            </w:tcBorders>
            <w:shd w:val="clear" w:color="auto" w:fill="auto"/>
            <w:vAlign w:val="bottom"/>
          </w:tcPr>
          <w:p w14:paraId="2B4FDFE3" w14:textId="30DFA85F" w:rsidR="00B56E9C" w:rsidRPr="00B042C8" w:rsidRDefault="00CD57D2" w:rsidP="009F652C">
            <w:pPr>
              <w:suppressAutoHyphens w:val="0"/>
              <w:spacing w:after="20"/>
              <w:jc w:val="right"/>
              <w:rPr>
                <w:b/>
                <w:sz w:val="24"/>
                <w:szCs w:val="24"/>
              </w:rPr>
            </w:pPr>
            <w:r w:rsidRPr="00B042C8">
              <w:rPr>
                <w:b/>
                <w:sz w:val="24"/>
                <w:szCs w:val="24"/>
              </w:rPr>
              <w:t>INF.</w:t>
            </w:r>
            <w:r w:rsidR="008B394B">
              <w:rPr>
                <w:b/>
                <w:sz w:val="24"/>
                <w:szCs w:val="24"/>
              </w:rPr>
              <w:t>23</w:t>
            </w:r>
          </w:p>
        </w:tc>
      </w:tr>
    </w:tbl>
    <w:p w14:paraId="48559710" w14:textId="77777777" w:rsidR="00EC106A" w:rsidRPr="00FB5557" w:rsidRDefault="00EC106A">
      <w:pPr>
        <w:spacing w:before="120"/>
        <w:rPr>
          <w:b/>
          <w:sz w:val="28"/>
          <w:szCs w:val="28"/>
        </w:rPr>
      </w:pPr>
      <w:r w:rsidRPr="00FB5557">
        <w:rPr>
          <w:b/>
          <w:sz w:val="28"/>
          <w:szCs w:val="28"/>
        </w:rPr>
        <w:t>Economic Commission for Europe</w:t>
      </w:r>
    </w:p>
    <w:p w14:paraId="16911975" w14:textId="77777777" w:rsidR="00EC106A" w:rsidRPr="00FB5557" w:rsidRDefault="00EC106A">
      <w:pPr>
        <w:spacing w:before="120"/>
        <w:rPr>
          <w:sz w:val="28"/>
          <w:szCs w:val="28"/>
        </w:rPr>
      </w:pPr>
      <w:r w:rsidRPr="00FB5557">
        <w:rPr>
          <w:sz w:val="28"/>
          <w:szCs w:val="28"/>
        </w:rPr>
        <w:t>Inland Transport Committee</w:t>
      </w:r>
    </w:p>
    <w:p w14:paraId="578A4C68" w14:textId="77777777" w:rsidR="00EC106A" w:rsidRPr="00FB5557" w:rsidRDefault="00EC106A" w:rsidP="00EC106A">
      <w:pPr>
        <w:spacing w:before="120" w:after="120"/>
        <w:rPr>
          <w:b/>
          <w:sz w:val="24"/>
          <w:szCs w:val="24"/>
        </w:rPr>
      </w:pPr>
      <w:r w:rsidRPr="00FB5557">
        <w:rPr>
          <w:b/>
          <w:sz w:val="24"/>
          <w:szCs w:val="24"/>
        </w:rPr>
        <w:t>Working Party on the Transport of Dangerous Goods</w:t>
      </w:r>
    </w:p>
    <w:p w14:paraId="6FA226BE" w14:textId="77777777" w:rsidR="009D2A5B" w:rsidRPr="00FB5557" w:rsidRDefault="009D2A5B" w:rsidP="009D2A5B">
      <w:pPr>
        <w:rPr>
          <w:b/>
        </w:rPr>
      </w:pPr>
      <w:r w:rsidRPr="00FB5557">
        <w:rPr>
          <w:b/>
        </w:rPr>
        <w:t>Joint Meeting of the RID Committee of Experts and the</w:t>
      </w:r>
    </w:p>
    <w:p w14:paraId="3AB5359E" w14:textId="1EF6E9ED" w:rsidR="009D2A5B" w:rsidRPr="00FB5557" w:rsidRDefault="009D2A5B" w:rsidP="009D2A5B">
      <w:pPr>
        <w:rPr>
          <w:b/>
        </w:rPr>
      </w:pPr>
      <w:r w:rsidRPr="00FB5557">
        <w:rPr>
          <w:b/>
        </w:rPr>
        <w:t>Working Party on the Transport of Dangerous Goods</w:t>
      </w:r>
      <w:r w:rsidR="000A3752" w:rsidRPr="00FB5557">
        <w:rPr>
          <w:b/>
        </w:rPr>
        <w:tab/>
      </w:r>
      <w:r w:rsidR="000A3752" w:rsidRPr="00FB5557">
        <w:rPr>
          <w:b/>
        </w:rPr>
        <w:tab/>
      </w:r>
      <w:r w:rsidR="000A3752" w:rsidRPr="00FB5557">
        <w:rPr>
          <w:b/>
        </w:rPr>
        <w:tab/>
      </w:r>
      <w:r w:rsidR="000A3752" w:rsidRPr="00FB5557">
        <w:rPr>
          <w:b/>
        </w:rPr>
        <w:tab/>
      </w:r>
      <w:r w:rsidR="000A3752" w:rsidRPr="00FB5557">
        <w:rPr>
          <w:b/>
        </w:rPr>
        <w:tab/>
      </w:r>
      <w:r w:rsidR="00507993" w:rsidRPr="00FB5557">
        <w:rPr>
          <w:b/>
        </w:rPr>
        <w:tab/>
      </w:r>
      <w:r w:rsidR="008B394B">
        <w:rPr>
          <w:b/>
        </w:rPr>
        <w:t>6</w:t>
      </w:r>
      <w:r w:rsidR="002A009E" w:rsidRPr="00FB5557">
        <w:rPr>
          <w:b/>
        </w:rPr>
        <w:t xml:space="preserve"> </w:t>
      </w:r>
      <w:r w:rsidR="008B394B">
        <w:rPr>
          <w:b/>
        </w:rPr>
        <w:t>March</w:t>
      </w:r>
      <w:r w:rsidR="002A009E" w:rsidRPr="00FB5557">
        <w:rPr>
          <w:b/>
        </w:rPr>
        <w:t xml:space="preserve"> 2023</w:t>
      </w:r>
    </w:p>
    <w:p w14:paraId="54D6CC22" w14:textId="5F21C665" w:rsidR="009D2A5B" w:rsidRPr="00FB5557" w:rsidRDefault="00FB7679" w:rsidP="00BB7CD1">
      <w:r w:rsidRPr="00FB5557">
        <w:t>Bern</w:t>
      </w:r>
      <w:r w:rsidR="00BB7CD1" w:rsidRPr="00FB5557">
        <w:t xml:space="preserve">, </w:t>
      </w:r>
      <w:r w:rsidR="00E82755" w:rsidRPr="00FB5557">
        <w:t>20-24 March 2023</w:t>
      </w:r>
    </w:p>
    <w:p w14:paraId="23C4216C" w14:textId="38804CD0" w:rsidR="0067369E" w:rsidRPr="00FB5557" w:rsidRDefault="00433A32" w:rsidP="00433A32">
      <w:pPr>
        <w:rPr>
          <w:b/>
          <w:bCs/>
        </w:rPr>
      </w:pPr>
      <w:r w:rsidRPr="00FB5557">
        <w:t xml:space="preserve">Item </w:t>
      </w:r>
      <w:r w:rsidR="001416D0" w:rsidRPr="00FB5557">
        <w:t>9</w:t>
      </w:r>
      <w:r w:rsidR="00126221" w:rsidRPr="00FB5557">
        <w:t xml:space="preserve"> </w:t>
      </w:r>
      <w:r w:rsidR="001416D0" w:rsidRPr="00FB5557">
        <w:t>(b)</w:t>
      </w:r>
      <w:r w:rsidRPr="00FB5557">
        <w:t xml:space="preserve"> of the provisional agenda</w:t>
      </w:r>
      <w:r w:rsidR="00E312C3" w:rsidRPr="00FB5557">
        <w:br/>
      </w:r>
      <w:r w:rsidR="00C10415" w:rsidRPr="00FB5557">
        <w:rPr>
          <w:b/>
          <w:bCs/>
        </w:rPr>
        <w:t xml:space="preserve">Any other business: </w:t>
      </w:r>
    </w:p>
    <w:p w14:paraId="06858F9A" w14:textId="06FC9A9D" w:rsidR="00433A32" w:rsidRPr="00FB5557" w:rsidRDefault="00C10415" w:rsidP="00433A32">
      <w:pPr>
        <w:rPr>
          <w:b/>
          <w:bCs/>
          <w:lang w:eastAsia="fr-FR"/>
        </w:rPr>
      </w:pPr>
      <w:r w:rsidRPr="00FB5557">
        <w:rPr>
          <w:b/>
          <w:bCs/>
        </w:rPr>
        <w:t>Circular economy and sustainable development goals</w:t>
      </w:r>
    </w:p>
    <w:p w14:paraId="5AB16539" w14:textId="28ED79BF" w:rsidR="00F32051" w:rsidRPr="00FB5557" w:rsidRDefault="00AC3E5A" w:rsidP="00F32051">
      <w:pPr>
        <w:pStyle w:val="HChG"/>
        <w:rPr>
          <w:lang w:val="en-GB" w:eastAsia="de-DE"/>
        </w:rPr>
      </w:pPr>
      <w:r w:rsidRPr="00FB5557">
        <w:rPr>
          <w:lang w:val="en-GB"/>
        </w:rPr>
        <w:tab/>
      </w:r>
      <w:r w:rsidRPr="00FB5557">
        <w:rPr>
          <w:lang w:val="en-GB"/>
        </w:rPr>
        <w:tab/>
      </w:r>
      <w:r w:rsidR="009C5C51" w:rsidRPr="00FB5557">
        <w:rPr>
          <w:lang w:val="en-GB"/>
        </w:rPr>
        <w:t xml:space="preserve">Draft contribution to </w:t>
      </w:r>
      <w:r w:rsidR="00CB6414" w:rsidRPr="00FB5557">
        <w:rPr>
          <w:lang w:val="en-GB"/>
        </w:rPr>
        <w:t xml:space="preserve">United Nations </w:t>
      </w:r>
      <w:r w:rsidR="009C5C51" w:rsidRPr="00FB5557">
        <w:rPr>
          <w:lang w:val="en-GB"/>
        </w:rPr>
        <w:t>2030 Agenda for sustainable development</w:t>
      </w:r>
    </w:p>
    <w:p w14:paraId="16EE4EB6" w14:textId="1F40EF48" w:rsidR="00F32051" w:rsidRPr="00FB5557" w:rsidRDefault="00AC3E5A" w:rsidP="00A86508">
      <w:pPr>
        <w:pStyle w:val="HChG"/>
        <w:spacing w:before="240" w:after="120"/>
        <w:rPr>
          <w:sz w:val="24"/>
          <w:szCs w:val="24"/>
          <w:lang w:val="en-GB"/>
        </w:rPr>
      </w:pPr>
      <w:r w:rsidRPr="00FB5557">
        <w:rPr>
          <w:sz w:val="24"/>
          <w:szCs w:val="24"/>
          <w:lang w:val="en-GB"/>
        </w:rPr>
        <w:tab/>
      </w:r>
      <w:r w:rsidRPr="00FB5557">
        <w:rPr>
          <w:sz w:val="24"/>
          <w:szCs w:val="24"/>
          <w:lang w:val="en-GB"/>
        </w:rPr>
        <w:tab/>
      </w:r>
      <w:r w:rsidR="00657C7B" w:rsidRPr="00FB5557">
        <w:rPr>
          <w:sz w:val="24"/>
          <w:szCs w:val="24"/>
          <w:lang w:val="en-GB"/>
        </w:rPr>
        <w:t>Note by the</w:t>
      </w:r>
      <w:r w:rsidR="00F32051" w:rsidRPr="00FB5557">
        <w:rPr>
          <w:sz w:val="24"/>
          <w:szCs w:val="24"/>
          <w:lang w:val="en-GB"/>
        </w:rPr>
        <w:t xml:space="preserve"> </w:t>
      </w:r>
      <w:r w:rsidR="00657C7B" w:rsidRPr="00FB5557">
        <w:rPr>
          <w:sz w:val="24"/>
          <w:szCs w:val="24"/>
          <w:lang w:val="en-GB"/>
        </w:rPr>
        <w:t>secretariat</w:t>
      </w:r>
      <w:r w:rsidR="007F13F4" w:rsidRPr="00FB5557">
        <w:rPr>
          <w:sz w:val="24"/>
          <w:szCs w:val="24"/>
          <w:lang w:val="en-GB"/>
        </w:rPr>
        <w:t>s</w:t>
      </w:r>
    </w:p>
    <w:p w14:paraId="79DA348C" w14:textId="1B1D699C" w:rsidR="00F74D18" w:rsidRPr="00FB5557" w:rsidRDefault="00F74D18" w:rsidP="00A86508">
      <w:pPr>
        <w:pStyle w:val="HChG"/>
        <w:spacing w:before="240" w:after="120"/>
        <w:rPr>
          <w:lang w:val="en-GB" w:eastAsia="de-DE"/>
        </w:rPr>
      </w:pPr>
      <w:r w:rsidRPr="00FB5557">
        <w:rPr>
          <w:lang w:val="en-GB"/>
        </w:rPr>
        <w:tab/>
      </w:r>
      <w:r w:rsidR="00CF73CE" w:rsidRPr="00FB5557">
        <w:rPr>
          <w:lang w:val="en-GB"/>
        </w:rPr>
        <w:t>I.</w:t>
      </w:r>
      <w:r w:rsidRPr="00FB5557">
        <w:rPr>
          <w:lang w:val="en-GB"/>
        </w:rPr>
        <w:tab/>
        <w:t>Introduction</w:t>
      </w:r>
    </w:p>
    <w:p w14:paraId="68E7441F" w14:textId="248F7F07" w:rsidR="009A2F41" w:rsidRPr="00FB5557" w:rsidRDefault="00A56C21" w:rsidP="009C5E54">
      <w:pPr>
        <w:tabs>
          <w:tab w:val="left" w:pos="1701"/>
          <w:tab w:val="left" w:pos="2268"/>
        </w:tabs>
        <w:spacing w:after="120"/>
        <w:ind w:left="1134" w:right="1134"/>
        <w:jc w:val="both"/>
      </w:pPr>
      <w:r w:rsidRPr="00FB5557">
        <w:rPr>
          <w:rFonts w:eastAsia="SimSun"/>
          <w:lang w:eastAsia="zh-CN"/>
        </w:rPr>
        <w:t>1.</w:t>
      </w:r>
      <w:r w:rsidRPr="00FB5557">
        <w:rPr>
          <w:rFonts w:eastAsia="SimSun"/>
          <w:lang w:eastAsia="zh-CN"/>
        </w:rPr>
        <w:tab/>
      </w:r>
      <w:r w:rsidR="009C5E54" w:rsidRPr="00FB5557">
        <w:rPr>
          <w:rFonts w:eastAsia="SimSun"/>
          <w:lang w:eastAsia="zh-CN"/>
        </w:rPr>
        <w:t xml:space="preserve">As </w:t>
      </w:r>
      <w:r w:rsidR="005F625F" w:rsidRPr="00FB5557">
        <w:rPr>
          <w:rFonts w:eastAsia="SimSun"/>
          <w:lang w:eastAsia="zh-CN"/>
        </w:rPr>
        <w:t xml:space="preserve">a </w:t>
      </w:r>
      <w:r w:rsidR="00A92DB8" w:rsidRPr="00FB5557">
        <w:rPr>
          <w:rFonts w:eastAsia="SimSun"/>
          <w:lang w:eastAsia="zh-CN"/>
        </w:rPr>
        <w:t>follow</w:t>
      </w:r>
      <w:r w:rsidR="009C5E54" w:rsidRPr="00FB5557">
        <w:rPr>
          <w:rFonts w:eastAsia="SimSun"/>
          <w:lang w:eastAsia="zh-CN"/>
        </w:rPr>
        <w:t xml:space="preserve">-up of the discussion at the </w:t>
      </w:r>
      <w:r w:rsidR="00053947" w:rsidRPr="00FB5557">
        <w:rPr>
          <w:rFonts w:eastAsia="SimSun"/>
          <w:lang w:eastAsia="zh-CN"/>
        </w:rPr>
        <w:t xml:space="preserve">recent sessions of </w:t>
      </w:r>
      <w:r w:rsidR="008F2FC1" w:rsidRPr="00FB5557">
        <w:rPr>
          <w:rFonts w:eastAsia="SimSun"/>
          <w:lang w:eastAsia="zh-CN"/>
        </w:rPr>
        <w:t xml:space="preserve">the Working Party on the Transport of </w:t>
      </w:r>
      <w:r w:rsidR="004F774C" w:rsidRPr="00FB5557">
        <w:rPr>
          <w:rFonts w:eastAsia="SimSun"/>
          <w:lang w:eastAsia="zh-CN"/>
        </w:rPr>
        <w:t>Dangerous</w:t>
      </w:r>
      <w:r w:rsidR="008F2FC1" w:rsidRPr="00FB5557">
        <w:rPr>
          <w:rFonts w:eastAsia="SimSun"/>
          <w:lang w:eastAsia="zh-CN"/>
        </w:rPr>
        <w:t xml:space="preserve"> Goods</w:t>
      </w:r>
      <w:r w:rsidR="004F774C" w:rsidRPr="00FB5557">
        <w:rPr>
          <w:rFonts w:eastAsia="SimSun"/>
          <w:lang w:eastAsia="zh-CN"/>
        </w:rPr>
        <w:t xml:space="preserve"> (</w:t>
      </w:r>
      <w:r w:rsidR="009C5E54" w:rsidRPr="00FB5557">
        <w:rPr>
          <w:rFonts w:eastAsia="SimSun"/>
          <w:lang w:eastAsia="zh-CN"/>
        </w:rPr>
        <w:t>W</w:t>
      </w:r>
      <w:r w:rsidR="00BA4750" w:rsidRPr="00FB5557">
        <w:rPr>
          <w:rFonts w:eastAsia="SimSun"/>
          <w:lang w:eastAsia="zh-CN"/>
        </w:rPr>
        <w:t>P.15</w:t>
      </w:r>
      <w:r w:rsidR="004F774C" w:rsidRPr="00FB5557">
        <w:rPr>
          <w:rFonts w:eastAsia="SimSun"/>
          <w:lang w:eastAsia="zh-CN"/>
        </w:rPr>
        <w:t>)</w:t>
      </w:r>
      <w:r w:rsidR="00BA4750" w:rsidRPr="00FB5557">
        <w:rPr>
          <w:rFonts w:eastAsia="SimSun"/>
          <w:lang w:eastAsia="zh-CN"/>
        </w:rPr>
        <w:t xml:space="preserve"> and ADN </w:t>
      </w:r>
      <w:r w:rsidR="00EC1FB8" w:rsidRPr="00FB5557">
        <w:rPr>
          <w:rFonts w:eastAsia="SimSun"/>
          <w:lang w:eastAsia="zh-CN"/>
        </w:rPr>
        <w:t>Safety</w:t>
      </w:r>
      <w:r w:rsidR="00BA4750" w:rsidRPr="00FB5557">
        <w:rPr>
          <w:rFonts w:eastAsia="SimSun"/>
          <w:lang w:eastAsia="zh-CN"/>
        </w:rPr>
        <w:t xml:space="preserve"> Committee</w:t>
      </w:r>
      <w:r w:rsidR="00053947" w:rsidRPr="00FB5557">
        <w:rPr>
          <w:rFonts w:eastAsia="SimSun"/>
          <w:lang w:eastAsia="zh-CN"/>
        </w:rPr>
        <w:t>,</w:t>
      </w:r>
      <w:r w:rsidR="0077656F" w:rsidRPr="00FB5557">
        <w:t xml:space="preserve"> </w:t>
      </w:r>
      <w:r w:rsidR="00053947" w:rsidRPr="00FB5557">
        <w:t xml:space="preserve">the secretariats </w:t>
      </w:r>
      <w:r w:rsidR="0046571F" w:rsidRPr="00FB5557">
        <w:t xml:space="preserve">propose some </w:t>
      </w:r>
      <w:r w:rsidR="005F625F" w:rsidRPr="00FB5557">
        <w:t xml:space="preserve">possible </w:t>
      </w:r>
      <w:r w:rsidR="00606302" w:rsidRPr="00FB5557">
        <w:t xml:space="preserve">follow-up </w:t>
      </w:r>
      <w:r w:rsidR="005F625F" w:rsidRPr="00FB5557">
        <w:t>actions</w:t>
      </w:r>
      <w:r w:rsidR="00606302" w:rsidRPr="00FB5557">
        <w:t xml:space="preserve"> and contribution</w:t>
      </w:r>
      <w:r w:rsidR="0046571F" w:rsidRPr="00FB5557">
        <w:t xml:space="preserve"> to United Nations 2030 Agenda for sustainable development</w:t>
      </w:r>
      <w:r w:rsidR="00606302" w:rsidRPr="00FB5557">
        <w:t xml:space="preserve"> in relation </w:t>
      </w:r>
      <w:r w:rsidR="0077656F" w:rsidRPr="00FB5557">
        <w:t xml:space="preserve">to the work </w:t>
      </w:r>
      <w:r w:rsidR="00B15092" w:rsidRPr="00FB5557">
        <w:t xml:space="preserve">of the RID/ADR/ADN Joint Meeting </w:t>
      </w:r>
      <w:r w:rsidR="0077656F" w:rsidRPr="00FB5557">
        <w:t xml:space="preserve">on the </w:t>
      </w:r>
      <w:r w:rsidR="00BA7001" w:rsidRPr="00FB5557">
        <w:t>carriage</w:t>
      </w:r>
      <w:r w:rsidR="0077656F" w:rsidRPr="00FB5557">
        <w:t xml:space="preserve"> of dangerous goods </w:t>
      </w:r>
      <w:r w:rsidR="00BA7001" w:rsidRPr="00FB5557">
        <w:t>by</w:t>
      </w:r>
      <w:r w:rsidR="0077656F" w:rsidRPr="00FB5557">
        <w:t xml:space="preserve"> inland transport modes</w:t>
      </w:r>
      <w:r w:rsidR="00AF31F2" w:rsidRPr="00FB5557">
        <w:t>.</w:t>
      </w:r>
    </w:p>
    <w:p w14:paraId="0F2DDB28" w14:textId="2E1D50AE" w:rsidR="00EF09DC" w:rsidRPr="00FB5557" w:rsidRDefault="005A6036" w:rsidP="0064256C">
      <w:pPr>
        <w:tabs>
          <w:tab w:val="left" w:pos="1701"/>
          <w:tab w:val="left" w:pos="2268"/>
        </w:tabs>
        <w:spacing w:after="120"/>
        <w:ind w:left="1134" w:right="1134"/>
        <w:jc w:val="both"/>
      </w:pPr>
      <w:r w:rsidRPr="00FB5557">
        <w:t>2.</w:t>
      </w:r>
      <w:r w:rsidRPr="00FB5557">
        <w:tab/>
      </w:r>
      <w:r w:rsidR="00056C55" w:rsidRPr="00FB5557">
        <w:t xml:space="preserve">For the biennium 2021-2022, the Economic and Social Council (ECOSOC) invited its subsidiary bodies </w:t>
      </w:r>
      <w:r w:rsidR="00120E43" w:rsidRPr="00FB5557">
        <w:t xml:space="preserve">(including the </w:t>
      </w:r>
      <w:r w:rsidR="00817BDE" w:rsidRPr="00FB5557">
        <w:t xml:space="preserve">Committee of Experts on the Transport of Dangerous Goods and on the Globally Harmonized System of Classification and Labelling of Chemicals (GHS) and its </w:t>
      </w:r>
      <w:r w:rsidR="00120E43" w:rsidRPr="00FB5557">
        <w:t>sub-committees</w:t>
      </w:r>
      <w:r w:rsidR="00817BDE" w:rsidRPr="00FB5557">
        <w:t>)</w:t>
      </w:r>
      <w:r w:rsidR="00120E43" w:rsidRPr="00FB5557">
        <w:t xml:space="preserve"> </w:t>
      </w:r>
      <w:r w:rsidR="00056C55" w:rsidRPr="00FB5557">
        <w:t>to consider the theme “Accelerating the recovery from the coronavirus disease (COVID-19) and the full implementation of the 2030 Agenda for Sustainable Development at all levels”, and, without prejudice to the integrated, indivisible and interlinked nature of the SDGs, review in-depth goals 6 (on clean water and sanitation), 7 (on affordable and clean energy), 9 (on industry, innovation and infrastructure), 11 (on sustainable cities and communities)</w:t>
      </w:r>
      <w:r w:rsidR="00DE40A3" w:rsidRPr="00FB5557">
        <w:t xml:space="preserve"> </w:t>
      </w:r>
      <w:r w:rsidR="00056C55" w:rsidRPr="00FB5557">
        <w:t>and 17 (on partnerships for the Goals).</w:t>
      </w:r>
      <w:r w:rsidR="00DE5E3E" w:rsidRPr="00FB5557">
        <w:t xml:space="preserve"> In this respect, </w:t>
      </w:r>
      <w:r w:rsidR="00583F2D" w:rsidRPr="00FB5557">
        <w:t>bo</w:t>
      </w:r>
      <w:r w:rsidR="00DE5E3E" w:rsidRPr="00FB5557">
        <w:t xml:space="preserve">th </w:t>
      </w:r>
      <w:r w:rsidR="00596FD5" w:rsidRPr="00FB5557">
        <w:t>subcommittees</w:t>
      </w:r>
      <w:r w:rsidR="00583F2D" w:rsidRPr="00FB5557">
        <w:t xml:space="preserve"> discussed </w:t>
      </w:r>
      <w:r w:rsidR="0082020F" w:rsidRPr="00FB5557">
        <w:t>proposals by the secretariat (</w:t>
      </w:r>
      <w:r w:rsidR="002C3210" w:rsidRPr="00FB5557">
        <w:t xml:space="preserve">informal documents INF.31/Rev.1 </w:t>
      </w:r>
      <w:r w:rsidR="0042260F" w:rsidRPr="00FB5557">
        <w:t>of the fifty-ninth session o</w:t>
      </w:r>
      <w:r w:rsidR="002C3210" w:rsidRPr="00FB5557">
        <w:t>f the TDG Sub-Committee and INF.5</w:t>
      </w:r>
      <w:r w:rsidR="007A37A6" w:rsidRPr="00FB5557">
        <w:t xml:space="preserve"> of the</w:t>
      </w:r>
      <w:r w:rsidR="0042260F" w:rsidRPr="00FB5557">
        <w:t xml:space="preserve"> forty-first session</w:t>
      </w:r>
      <w:r w:rsidR="007A37A6" w:rsidRPr="00FB5557">
        <w:t xml:space="preserve"> o</w:t>
      </w:r>
      <w:r w:rsidR="002C3210" w:rsidRPr="00FB5557">
        <w:t>f the GHS Sub-Committee</w:t>
      </w:r>
      <w:r w:rsidR="0082020F" w:rsidRPr="00FB5557">
        <w:t>)</w:t>
      </w:r>
      <w:r w:rsidR="002C3210" w:rsidRPr="00FB5557">
        <w:t xml:space="preserve"> </w:t>
      </w:r>
      <w:r w:rsidR="0028721F">
        <w:t xml:space="preserve">and </w:t>
      </w:r>
      <w:r w:rsidR="007A37A6" w:rsidRPr="00FB5557">
        <w:t xml:space="preserve">it was agreed to </w:t>
      </w:r>
      <w:r w:rsidR="0064256C" w:rsidRPr="00FB5557">
        <w:t xml:space="preserve">summarize </w:t>
      </w:r>
      <w:r w:rsidR="003728AA" w:rsidRPr="00FB5557">
        <w:t xml:space="preserve">the interlinkage </w:t>
      </w:r>
      <w:r w:rsidR="0064256C" w:rsidRPr="00FB5557">
        <w:t xml:space="preserve">of their work </w:t>
      </w:r>
      <w:r w:rsidR="003728AA" w:rsidRPr="00FB5557">
        <w:t>to the</w:t>
      </w:r>
      <w:r w:rsidR="00484E25" w:rsidRPr="00FB5557">
        <w:t xml:space="preserve"> </w:t>
      </w:r>
      <w:r w:rsidR="004A30AB" w:rsidRPr="00FB5557">
        <w:t xml:space="preserve">SDGs </w:t>
      </w:r>
      <w:r w:rsidR="004E369D" w:rsidRPr="00FB5557">
        <w:t xml:space="preserve">which is </w:t>
      </w:r>
      <w:r w:rsidR="0064256C" w:rsidRPr="00FB5557">
        <w:t>currently</w:t>
      </w:r>
      <w:r w:rsidR="00545752" w:rsidRPr="00FB5557">
        <w:t xml:space="preserve"> available at the </w:t>
      </w:r>
      <w:r w:rsidR="003E71E8" w:rsidRPr="00FB5557">
        <w:t>UNECE website</w:t>
      </w:r>
      <w:r w:rsidR="0054171D" w:rsidRPr="00FB5557">
        <w:t xml:space="preserve"> at: </w:t>
      </w:r>
      <w:hyperlink r:id="rId11" w:anchor="accordion_8" w:history="1">
        <w:r w:rsidR="0054171D" w:rsidRPr="00FB5557">
          <w:rPr>
            <w:rStyle w:val="Hyperlink"/>
          </w:rPr>
          <w:t>unece.org/transport/dangerous-goods/ecosoc-bodies-dealing-chemicals-safety#accordion_8</w:t>
        </w:r>
      </w:hyperlink>
      <w:r w:rsidR="003E71E8" w:rsidRPr="00FB5557">
        <w:t>.</w:t>
      </w:r>
    </w:p>
    <w:p w14:paraId="46188FCA" w14:textId="63C3E66A" w:rsidR="00E72587" w:rsidRPr="00FB5557" w:rsidRDefault="00E72587" w:rsidP="00E72587">
      <w:pPr>
        <w:pStyle w:val="HChG"/>
        <w:rPr>
          <w:lang w:val="en-GB" w:eastAsia="de-DE"/>
        </w:rPr>
      </w:pPr>
      <w:r w:rsidRPr="00FB5557">
        <w:rPr>
          <w:lang w:val="en-GB"/>
        </w:rPr>
        <w:tab/>
        <w:t>II.</w:t>
      </w:r>
      <w:r w:rsidRPr="00FB5557">
        <w:rPr>
          <w:lang w:val="en-GB"/>
        </w:rPr>
        <w:tab/>
        <w:t>Proposal</w:t>
      </w:r>
    </w:p>
    <w:p w14:paraId="56A2D6F0" w14:textId="5B0A4A92" w:rsidR="00191AE0" w:rsidRPr="00FB5557" w:rsidRDefault="00F50C3D" w:rsidP="00260898">
      <w:pPr>
        <w:tabs>
          <w:tab w:val="left" w:pos="1701"/>
          <w:tab w:val="left" w:pos="2268"/>
        </w:tabs>
        <w:spacing w:after="120"/>
        <w:ind w:left="1134" w:right="1134"/>
        <w:jc w:val="both"/>
      </w:pPr>
      <w:r w:rsidRPr="00FB5557">
        <w:t>3.</w:t>
      </w:r>
      <w:r w:rsidR="009E1451" w:rsidRPr="00FB5557">
        <w:tab/>
      </w:r>
      <w:r w:rsidR="00191AE0" w:rsidRPr="00FB5557">
        <w:t xml:space="preserve">The secretariat </w:t>
      </w:r>
      <w:r w:rsidR="00260898" w:rsidRPr="00FB5557">
        <w:t xml:space="preserve">already </w:t>
      </w:r>
      <w:r w:rsidR="009E1451" w:rsidRPr="00FB5557">
        <w:t xml:space="preserve">prepared a </w:t>
      </w:r>
      <w:r w:rsidR="00191AE0" w:rsidRPr="00FB5557">
        <w:t xml:space="preserve">generic </w:t>
      </w:r>
      <w:r w:rsidR="009E1451" w:rsidRPr="00FB5557">
        <w:t xml:space="preserve">website for </w:t>
      </w:r>
      <w:r w:rsidR="00191AE0" w:rsidRPr="00FB5557">
        <w:t>UNECE</w:t>
      </w:r>
      <w:r w:rsidR="00D55386" w:rsidRPr="00FB5557">
        <w:t xml:space="preserve"> bodies dealing with transport of dangerous goods</w:t>
      </w:r>
      <w:r w:rsidR="00260898" w:rsidRPr="00FB5557">
        <w:t xml:space="preserve"> a</w:t>
      </w:r>
      <w:r w:rsidR="00191AE0" w:rsidRPr="00FB5557">
        <w:t xml:space="preserve">vailable at: </w:t>
      </w:r>
      <w:hyperlink r:id="rId12" w:history="1">
        <w:r w:rsidR="00191AE0" w:rsidRPr="00FB5557">
          <w:rPr>
            <w:rStyle w:val="Hyperlink"/>
          </w:rPr>
          <w:t>https://unece.org/transport/dangerous-goods/unece-bodies-dealing-transport-dangerous-goods</w:t>
        </w:r>
      </w:hyperlink>
      <w:r w:rsidR="00260898" w:rsidRPr="00FB5557">
        <w:t>.</w:t>
      </w:r>
    </w:p>
    <w:p w14:paraId="374F27A2" w14:textId="33949561" w:rsidR="000D5404" w:rsidRPr="00FB5557" w:rsidRDefault="00042AF8" w:rsidP="007101A2">
      <w:pPr>
        <w:pStyle w:val="SingleTxtG"/>
        <w:rPr>
          <w:lang w:val="en-GB"/>
        </w:rPr>
      </w:pPr>
      <w:r w:rsidRPr="00FB5557">
        <w:rPr>
          <w:lang w:val="en-GB"/>
        </w:rPr>
        <w:t>4.</w:t>
      </w:r>
      <w:r w:rsidRPr="00FB5557">
        <w:rPr>
          <w:lang w:val="en-GB"/>
        </w:rPr>
        <w:tab/>
        <w:t>It is pro</w:t>
      </w:r>
      <w:r w:rsidR="00803D96" w:rsidRPr="00FB5557">
        <w:rPr>
          <w:lang w:val="en-GB"/>
        </w:rPr>
        <w:t>po</w:t>
      </w:r>
      <w:r w:rsidRPr="00FB5557">
        <w:rPr>
          <w:lang w:val="en-GB"/>
        </w:rPr>
        <w:t xml:space="preserve">sed to </w:t>
      </w:r>
      <w:r w:rsidR="003C0F17" w:rsidRPr="00FB5557">
        <w:rPr>
          <w:lang w:val="en-GB"/>
        </w:rPr>
        <w:t xml:space="preserve">add </w:t>
      </w:r>
      <w:r w:rsidR="00AD12EC" w:rsidRPr="00FB5557">
        <w:rPr>
          <w:lang w:val="en-GB"/>
        </w:rPr>
        <w:t xml:space="preserve">further </w:t>
      </w:r>
      <w:r w:rsidR="006E2AE8" w:rsidRPr="00FB5557">
        <w:rPr>
          <w:lang w:val="en-GB"/>
        </w:rPr>
        <w:t xml:space="preserve">entries </w:t>
      </w:r>
      <w:r w:rsidR="003C0F17" w:rsidRPr="00FB5557">
        <w:rPr>
          <w:lang w:val="en-GB"/>
        </w:rPr>
        <w:t xml:space="preserve">similarly to the </w:t>
      </w:r>
      <w:r w:rsidR="00CC6217" w:rsidRPr="00FB5557">
        <w:rPr>
          <w:lang w:val="en-GB"/>
        </w:rPr>
        <w:t xml:space="preserve">contributions </w:t>
      </w:r>
      <w:r w:rsidR="000F1EA9" w:rsidRPr="00FB5557">
        <w:rPr>
          <w:lang w:val="en-GB"/>
        </w:rPr>
        <w:t>already available at</w:t>
      </w:r>
      <w:r w:rsidR="00CC6217" w:rsidRPr="00FB5557">
        <w:rPr>
          <w:lang w:val="en-GB"/>
        </w:rPr>
        <w:t xml:space="preserve"> the </w:t>
      </w:r>
      <w:r w:rsidR="00FB5557" w:rsidRPr="00FB5557">
        <w:rPr>
          <w:lang w:val="en-GB"/>
        </w:rPr>
        <w:t xml:space="preserve">afore-mentioned </w:t>
      </w:r>
      <w:r w:rsidR="00CC6217" w:rsidRPr="00FB5557">
        <w:rPr>
          <w:lang w:val="en-GB"/>
        </w:rPr>
        <w:t xml:space="preserve">ECOSOC website </w:t>
      </w:r>
      <w:r w:rsidR="006E2AE8" w:rsidRPr="00FB5557">
        <w:rPr>
          <w:lang w:val="en-GB"/>
        </w:rPr>
        <w:t xml:space="preserve">for the </w:t>
      </w:r>
      <w:r w:rsidR="00A14AD0" w:rsidRPr="00FB5557">
        <w:rPr>
          <w:lang w:val="en-GB"/>
        </w:rPr>
        <w:t xml:space="preserve">goals of interest </w:t>
      </w:r>
      <w:r w:rsidR="008F2FC1" w:rsidRPr="00FB5557">
        <w:rPr>
          <w:lang w:val="en-GB"/>
        </w:rPr>
        <w:t xml:space="preserve">of the </w:t>
      </w:r>
      <w:r w:rsidR="00736532" w:rsidRPr="00FB5557">
        <w:rPr>
          <w:lang w:val="en-GB"/>
        </w:rPr>
        <w:t>ITC subsidi</w:t>
      </w:r>
      <w:r w:rsidR="005F6817" w:rsidRPr="00FB5557">
        <w:rPr>
          <w:lang w:val="en-GB"/>
        </w:rPr>
        <w:t xml:space="preserve">ary </w:t>
      </w:r>
      <w:r w:rsidR="008F2FC1" w:rsidRPr="00FB5557">
        <w:rPr>
          <w:lang w:val="en-GB"/>
        </w:rPr>
        <w:t xml:space="preserve">bodies </w:t>
      </w:r>
      <w:r w:rsidR="004F774C" w:rsidRPr="00FB5557">
        <w:rPr>
          <w:lang w:val="en-GB"/>
        </w:rPr>
        <w:t xml:space="preserve">WP.15, ADN Safety Committee and the RID/ADR/ADN Joint Meeting </w:t>
      </w:r>
      <w:r w:rsidR="00EA29DA" w:rsidRPr="00FB5557">
        <w:rPr>
          <w:lang w:val="en-GB"/>
        </w:rPr>
        <w:t>activities</w:t>
      </w:r>
      <w:r w:rsidR="00CF38EC" w:rsidRPr="00FB5557">
        <w:rPr>
          <w:lang w:val="en-GB"/>
        </w:rPr>
        <w:t xml:space="preserve"> </w:t>
      </w:r>
      <w:r w:rsidR="009A6061" w:rsidRPr="00FB5557">
        <w:rPr>
          <w:lang w:val="en-GB"/>
        </w:rPr>
        <w:t xml:space="preserve">on the safe </w:t>
      </w:r>
      <w:r w:rsidR="000D4562">
        <w:rPr>
          <w:lang w:val="en-GB"/>
        </w:rPr>
        <w:t>carriage</w:t>
      </w:r>
      <w:r w:rsidR="009A6061" w:rsidRPr="00FB5557">
        <w:rPr>
          <w:lang w:val="en-GB"/>
        </w:rPr>
        <w:t xml:space="preserve"> of dangerous goods </w:t>
      </w:r>
      <w:r w:rsidR="001746AD" w:rsidRPr="00FB5557">
        <w:rPr>
          <w:lang w:val="en-GB"/>
        </w:rPr>
        <w:t xml:space="preserve">by the inland transport modes road, rail and inland waterways </w:t>
      </w:r>
      <w:r w:rsidR="00CF38EC" w:rsidRPr="00FB5557">
        <w:rPr>
          <w:lang w:val="en-GB"/>
        </w:rPr>
        <w:t xml:space="preserve">in close cooperation </w:t>
      </w:r>
      <w:r w:rsidR="00355417" w:rsidRPr="00FB5557">
        <w:rPr>
          <w:lang w:val="en-GB"/>
        </w:rPr>
        <w:t xml:space="preserve">and </w:t>
      </w:r>
      <w:r w:rsidR="00CF38EC" w:rsidRPr="00FB5557">
        <w:rPr>
          <w:lang w:val="en-GB"/>
        </w:rPr>
        <w:t>partnership with</w:t>
      </w:r>
      <w:r w:rsidR="00355417" w:rsidRPr="00FB5557">
        <w:rPr>
          <w:lang w:val="en-GB"/>
        </w:rPr>
        <w:t xml:space="preserve"> OTIF and</w:t>
      </w:r>
      <w:r w:rsidR="00CF38EC" w:rsidRPr="00FB5557">
        <w:rPr>
          <w:lang w:val="en-GB"/>
        </w:rPr>
        <w:t xml:space="preserve"> CCNR</w:t>
      </w:r>
      <w:r w:rsidR="002460CA" w:rsidRPr="00FB5557">
        <w:rPr>
          <w:lang w:val="en-GB"/>
        </w:rPr>
        <w:t>.</w:t>
      </w:r>
      <w:r w:rsidR="005F6817" w:rsidRPr="00FB5557">
        <w:rPr>
          <w:lang w:val="en-GB"/>
        </w:rPr>
        <w:t xml:space="preserve"> A </w:t>
      </w:r>
      <w:r w:rsidR="00B21C05" w:rsidRPr="00FB5557">
        <w:rPr>
          <w:lang w:val="en-GB"/>
        </w:rPr>
        <w:t>draft</w:t>
      </w:r>
      <w:r w:rsidR="005F6817" w:rsidRPr="00FB5557">
        <w:rPr>
          <w:lang w:val="en-GB"/>
        </w:rPr>
        <w:t xml:space="preserve"> contribution </w:t>
      </w:r>
      <w:r w:rsidR="000C6224" w:rsidRPr="00FB5557">
        <w:rPr>
          <w:lang w:val="en-GB"/>
        </w:rPr>
        <w:t xml:space="preserve">is tabled </w:t>
      </w:r>
      <w:r w:rsidR="005F6817" w:rsidRPr="00FB5557">
        <w:rPr>
          <w:lang w:val="en-GB"/>
        </w:rPr>
        <w:t xml:space="preserve">in the annex </w:t>
      </w:r>
      <w:r w:rsidR="000C6224" w:rsidRPr="00FB5557">
        <w:rPr>
          <w:lang w:val="en-GB"/>
        </w:rPr>
        <w:t>of</w:t>
      </w:r>
      <w:r w:rsidR="005F6817" w:rsidRPr="00FB5557">
        <w:rPr>
          <w:lang w:val="en-GB"/>
        </w:rPr>
        <w:t xml:space="preserve"> this doc</w:t>
      </w:r>
      <w:r w:rsidR="00B23FF7" w:rsidRPr="00FB5557">
        <w:rPr>
          <w:lang w:val="en-GB"/>
        </w:rPr>
        <w:t>ument.</w:t>
      </w:r>
    </w:p>
    <w:p w14:paraId="26A5486E" w14:textId="5A2CE94D" w:rsidR="005A6036" w:rsidRPr="00FB5557" w:rsidRDefault="007101A2" w:rsidP="00B21C05">
      <w:pPr>
        <w:pStyle w:val="SingleTxtG"/>
        <w:rPr>
          <w:lang w:val="en-GB"/>
        </w:rPr>
      </w:pPr>
      <w:r w:rsidRPr="00FB5557">
        <w:rPr>
          <w:lang w:val="en-GB"/>
        </w:rPr>
        <w:t>5.</w:t>
      </w:r>
      <w:r w:rsidRPr="00FB5557">
        <w:rPr>
          <w:lang w:val="en-GB"/>
        </w:rPr>
        <w:tab/>
      </w:r>
      <w:r w:rsidR="00B21C05" w:rsidRPr="00FB5557">
        <w:rPr>
          <w:lang w:val="en-GB"/>
        </w:rPr>
        <w:t>T</w:t>
      </w:r>
      <w:r w:rsidRPr="00FB5557">
        <w:rPr>
          <w:lang w:val="en-GB"/>
        </w:rPr>
        <w:t xml:space="preserve">he Joint Meeting is invited to </w:t>
      </w:r>
      <w:r w:rsidRPr="00FB5557">
        <w:rPr>
          <w:rFonts w:eastAsia="SimSun"/>
          <w:lang w:val="en-GB" w:eastAsia="zh-CN"/>
        </w:rPr>
        <w:t>consider the proposed contribution in the light of SDGs applicable to its work from the perspective of multimodal transport of dangerous goods</w:t>
      </w:r>
      <w:r w:rsidRPr="00FB5557">
        <w:rPr>
          <w:lang w:val="en-GB"/>
        </w:rPr>
        <w:t>.</w:t>
      </w:r>
    </w:p>
    <w:p w14:paraId="741E39AA" w14:textId="77777777" w:rsidR="00B83337" w:rsidRDefault="00B83337" w:rsidP="00F74D18">
      <w:pPr>
        <w:widowControl w:val="0"/>
        <w:jc w:val="center"/>
      </w:pPr>
    </w:p>
    <w:p w14:paraId="74E18EB9" w14:textId="767B52A3" w:rsidR="008F2699" w:rsidRDefault="008F2699" w:rsidP="008F2699">
      <w:pPr>
        <w:widowControl w:val="0"/>
        <w:jc w:val="both"/>
        <w:sectPr w:rsidR="008F2699" w:rsidSect="00F62D2C">
          <w:headerReference w:type="even" r:id="rId13"/>
          <w:headerReference w:type="default" r:id="rId14"/>
          <w:footerReference w:type="even" r:id="rId15"/>
          <w:footerReference w:type="default" r:id="rId16"/>
          <w:headerReference w:type="first" r:id="rId17"/>
          <w:type w:val="continuous"/>
          <w:pgSz w:w="11907" w:h="16840" w:code="9"/>
          <w:pgMar w:top="1418" w:right="1134" w:bottom="1134" w:left="1134" w:header="851" w:footer="567" w:gutter="0"/>
          <w:cols w:space="720"/>
          <w:docGrid w:linePitch="272"/>
        </w:sectPr>
      </w:pPr>
    </w:p>
    <w:tbl>
      <w:tblPr>
        <w:tblStyle w:val="TableGrid"/>
        <w:tblW w:w="146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907"/>
      </w:tblGrid>
      <w:tr w:rsidR="004D31DB" w:rsidRPr="000217EA" w14:paraId="75D4BD83" w14:textId="77777777" w:rsidTr="00A60CB6">
        <w:tc>
          <w:tcPr>
            <w:tcW w:w="993" w:type="dxa"/>
          </w:tcPr>
          <w:p w14:paraId="01023881" w14:textId="6BE34219" w:rsidR="004D31DB" w:rsidRPr="00DB3716" w:rsidRDefault="0040379D" w:rsidP="00556197">
            <w:pPr>
              <w:jc w:val="center"/>
              <w:rPr>
                <w:b/>
                <w:bCs/>
              </w:rPr>
            </w:pPr>
            <w:r>
              <w:rPr>
                <w:b/>
                <w:bCs/>
              </w:rPr>
              <w:lastRenderedPageBreak/>
              <w:t xml:space="preserve"> </w:t>
            </w:r>
          </w:p>
        </w:tc>
        <w:tc>
          <w:tcPr>
            <w:tcW w:w="1701" w:type="dxa"/>
          </w:tcPr>
          <w:p w14:paraId="4D3E515A" w14:textId="77777777" w:rsidR="004D31DB" w:rsidRPr="00DB3716" w:rsidRDefault="004D31DB" w:rsidP="00556197">
            <w:pPr>
              <w:jc w:val="center"/>
              <w:rPr>
                <w:b/>
                <w:bCs/>
              </w:rPr>
            </w:pPr>
            <w:r w:rsidRPr="00DB3716">
              <w:rPr>
                <w:b/>
                <w:bCs/>
              </w:rPr>
              <w:t>Subsidiary body</w:t>
            </w:r>
          </w:p>
        </w:tc>
        <w:tc>
          <w:tcPr>
            <w:tcW w:w="11907" w:type="dxa"/>
          </w:tcPr>
          <w:p w14:paraId="6AC3D524" w14:textId="77777777" w:rsidR="004D31DB" w:rsidRPr="00DB3716" w:rsidRDefault="004D31DB" w:rsidP="00556197">
            <w:pPr>
              <w:jc w:val="center"/>
              <w:rPr>
                <w:b/>
                <w:bCs/>
              </w:rPr>
            </w:pPr>
            <w:r w:rsidRPr="00DB3716">
              <w:rPr>
                <w:b/>
                <w:bCs/>
              </w:rPr>
              <w:t>Regulatory work, capacity building and analytical work</w:t>
            </w:r>
          </w:p>
        </w:tc>
      </w:tr>
      <w:tr w:rsidR="004D31DB" w:rsidRPr="000217EA" w14:paraId="3B8E3AC8" w14:textId="77777777" w:rsidTr="00A60CB6">
        <w:tc>
          <w:tcPr>
            <w:tcW w:w="993" w:type="dxa"/>
          </w:tcPr>
          <w:p w14:paraId="7D7738F5" w14:textId="77777777" w:rsidR="004D31DB" w:rsidRPr="000217EA" w:rsidRDefault="004D31DB" w:rsidP="00556197">
            <w:pPr>
              <w:jc w:val="center"/>
            </w:pPr>
            <w:r w:rsidRPr="000217EA">
              <w:rPr>
                <w:noProof/>
              </w:rPr>
              <w:drawing>
                <wp:inline distT="0" distB="0" distL="0" distR="0" wp14:anchorId="7437871F" wp14:editId="1147AB4C">
                  <wp:extent cx="521208" cy="5120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521208" cy="512064"/>
                          </a:xfrm>
                          <a:prstGeom prst="rect">
                            <a:avLst/>
                          </a:prstGeom>
                        </pic:spPr>
                      </pic:pic>
                    </a:graphicData>
                  </a:graphic>
                </wp:inline>
              </w:drawing>
            </w:r>
          </w:p>
        </w:tc>
        <w:tc>
          <w:tcPr>
            <w:tcW w:w="1701" w:type="dxa"/>
          </w:tcPr>
          <w:p w14:paraId="61D0FE45" w14:textId="77777777" w:rsidR="004D31DB" w:rsidRDefault="004D31DB" w:rsidP="00556197">
            <w:pPr>
              <w:jc w:val="center"/>
              <w:rPr>
                <w:b/>
                <w:bCs/>
                <w:sz w:val="18"/>
                <w:szCs w:val="18"/>
              </w:rPr>
            </w:pPr>
            <w:r>
              <w:rPr>
                <w:b/>
                <w:bCs/>
                <w:sz w:val="18"/>
                <w:szCs w:val="18"/>
              </w:rPr>
              <w:t xml:space="preserve">ECOSOC CE </w:t>
            </w:r>
          </w:p>
          <w:p w14:paraId="29B7933B" w14:textId="77777777" w:rsidR="004D31DB" w:rsidRDefault="004D31DB" w:rsidP="00556197">
            <w:pPr>
              <w:jc w:val="center"/>
              <w:rPr>
                <w:b/>
                <w:bCs/>
                <w:sz w:val="18"/>
                <w:szCs w:val="18"/>
              </w:rPr>
            </w:pPr>
            <w:r>
              <w:rPr>
                <w:b/>
                <w:bCs/>
                <w:sz w:val="18"/>
                <w:szCs w:val="18"/>
              </w:rPr>
              <w:t>and</w:t>
            </w:r>
          </w:p>
          <w:p w14:paraId="02980312" w14:textId="77777777" w:rsidR="004D31DB" w:rsidRPr="000217EA" w:rsidRDefault="004D31DB" w:rsidP="00556197">
            <w:pPr>
              <w:jc w:val="center"/>
            </w:pPr>
            <w:r>
              <w:rPr>
                <w:b/>
                <w:bCs/>
                <w:sz w:val="18"/>
                <w:szCs w:val="18"/>
              </w:rPr>
              <w:t>ITC/</w:t>
            </w:r>
            <w:r w:rsidRPr="00450FEA">
              <w:rPr>
                <w:b/>
                <w:bCs/>
                <w:sz w:val="18"/>
                <w:szCs w:val="18"/>
              </w:rPr>
              <w:t>WP.15</w:t>
            </w:r>
          </w:p>
        </w:tc>
        <w:tc>
          <w:tcPr>
            <w:tcW w:w="11907" w:type="dxa"/>
          </w:tcPr>
          <w:p w14:paraId="1CBA8BB4" w14:textId="77777777" w:rsidR="004D31DB" w:rsidRPr="000217EA" w:rsidRDefault="004D31DB" w:rsidP="00556197">
            <w:r w:rsidRPr="000217EA">
              <w:t xml:space="preserve">Develops mechanisms addressing the harmonization of classification and labelling criteria (GHS) and the transport conditions for land, </w:t>
            </w:r>
            <w:proofErr w:type="gramStart"/>
            <w:r w:rsidRPr="000217EA">
              <w:t>air</w:t>
            </w:r>
            <w:proofErr w:type="gramEnd"/>
            <w:r w:rsidRPr="000217EA">
              <w:t xml:space="preserve"> and sea (Model Regulations). Implement</w:t>
            </w:r>
            <w:r>
              <w:t>s</w:t>
            </w:r>
            <w:r w:rsidRPr="000217EA">
              <w:t xml:space="preserve"> </w:t>
            </w:r>
            <w:r>
              <w:t>the</w:t>
            </w:r>
            <w:r w:rsidRPr="000217EA">
              <w:t xml:space="preserve"> transport of dangerous goods regulations based on the Model Regulations, such as those developed by WP.15 (</w:t>
            </w:r>
            <w:proofErr w:type="gramStart"/>
            <w:r w:rsidRPr="000217EA">
              <w:t>i.e.</w:t>
            </w:r>
            <w:proofErr w:type="gramEnd"/>
            <w:r w:rsidRPr="000217EA">
              <w:t xml:space="preserve"> ADR for road transport, ADN for inland waterways transport) and classification and labelling of chemicals in accordance with the GHS, ensures the safe transport, handling and use of hazardous chemicals. Thanks to these harmonization mechanisms companies, countries, </w:t>
            </w:r>
            <w:proofErr w:type="gramStart"/>
            <w:r w:rsidRPr="000217EA">
              <w:t>workers</w:t>
            </w:r>
            <w:proofErr w:type="gramEnd"/>
            <w:r w:rsidRPr="000217EA">
              <w:t xml:space="preserve"> and consumers have consistent and appropriate information on the chemicals they import, produce, handle, transport or use, as well as information about their physical, health and environmental hazards through their life cycle.</w:t>
            </w:r>
          </w:p>
        </w:tc>
      </w:tr>
      <w:tr w:rsidR="004D31DB" w:rsidRPr="000217EA" w14:paraId="7A7B8D9F" w14:textId="77777777" w:rsidTr="00A60CB6">
        <w:tc>
          <w:tcPr>
            <w:tcW w:w="993" w:type="dxa"/>
          </w:tcPr>
          <w:p w14:paraId="5A71D296" w14:textId="77777777" w:rsidR="004D31DB" w:rsidRPr="000217EA" w:rsidRDefault="004D31DB" w:rsidP="00556197">
            <w:pPr>
              <w:jc w:val="center"/>
            </w:pPr>
            <w:r>
              <w:rPr>
                <w:noProof/>
              </w:rPr>
              <w:drawing>
                <wp:inline distT="0" distB="0" distL="0" distR="0" wp14:anchorId="05833FFB" wp14:editId="173A2A99">
                  <wp:extent cx="530352" cy="530352"/>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a:fillRect/>
                          </a:stretch>
                        </pic:blipFill>
                        <pic:spPr>
                          <a:xfrm>
                            <a:off x="0" y="0"/>
                            <a:ext cx="530352" cy="530352"/>
                          </a:xfrm>
                          <a:prstGeom prst="rect">
                            <a:avLst/>
                          </a:prstGeom>
                        </pic:spPr>
                      </pic:pic>
                    </a:graphicData>
                  </a:graphic>
                </wp:inline>
              </w:drawing>
            </w:r>
          </w:p>
        </w:tc>
        <w:tc>
          <w:tcPr>
            <w:tcW w:w="1701" w:type="dxa"/>
          </w:tcPr>
          <w:p w14:paraId="5BA8ACB7" w14:textId="77777777" w:rsidR="004D31DB" w:rsidRDefault="004D31DB" w:rsidP="00556197">
            <w:pPr>
              <w:jc w:val="center"/>
              <w:rPr>
                <w:b/>
                <w:bCs/>
                <w:sz w:val="18"/>
                <w:szCs w:val="18"/>
              </w:rPr>
            </w:pPr>
            <w:r>
              <w:rPr>
                <w:b/>
                <w:bCs/>
                <w:sz w:val="18"/>
                <w:szCs w:val="18"/>
              </w:rPr>
              <w:t xml:space="preserve">ECOSOC CE </w:t>
            </w:r>
          </w:p>
          <w:p w14:paraId="70F6DBB8" w14:textId="77777777" w:rsidR="004D31DB" w:rsidRDefault="004D31DB" w:rsidP="00556197">
            <w:pPr>
              <w:jc w:val="center"/>
              <w:rPr>
                <w:b/>
                <w:bCs/>
                <w:sz w:val="18"/>
                <w:szCs w:val="18"/>
              </w:rPr>
            </w:pPr>
            <w:r>
              <w:rPr>
                <w:b/>
                <w:bCs/>
                <w:sz w:val="18"/>
                <w:szCs w:val="18"/>
              </w:rPr>
              <w:t>and</w:t>
            </w:r>
          </w:p>
          <w:p w14:paraId="4958099F" w14:textId="77777777" w:rsidR="004D31DB" w:rsidRPr="000217EA" w:rsidRDefault="004D31DB" w:rsidP="00556197">
            <w:pPr>
              <w:jc w:val="center"/>
            </w:pPr>
            <w:r>
              <w:rPr>
                <w:b/>
                <w:bCs/>
                <w:sz w:val="18"/>
                <w:szCs w:val="18"/>
              </w:rPr>
              <w:t>ITC/</w:t>
            </w:r>
            <w:r w:rsidRPr="00450FEA">
              <w:rPr>
                <w:b/>
                <w:bCs/>
                <w:sz w:val="18"/>
                <w:szCs w:val="18"/>
              </w:rPr>
              <w:t>WP.15</w:t>
            </w:r>
          </w:p>
        </w:tc>
        <w:tc>
          <w:tcPr>
            <w:tcW w:w="11907" w:type="dxa"/>
          </w:tcPr>
          <w:p w14:paraId="5175E244" w14:textId="77777777" w:rsidR="004D31DB" w:rsidRDefault="004D31DB" w:rsidP="00556197">
            <w:r w:rsidRPr="000217EA">
              <w:t>Develop mechanisms addressing identification of chemicals hazardous to the aquatic environment as well as the conditions to ensure their safe transport and handling</w:t>
            </w:r>
            <w:r>
              <w:t xml:space="preserve"> through </w:t>
            </w:r>
            <w:r w:rsidRPr="000217EA">
              <w:t xml:space="preserve">the GHS </w:t>
            </w:r>
            <w:r>
              <w:t xml:space="preserve">and </w:t>
            </w:r>
            <w:r w:rsidRPr="000217EA">
              <w:t>the Model Regulations</w:t>
            </w:r>
            <w:r>
              <w:t>.</w:t>
            </w:r>
          </w:p>
          <w:p w14:paraId="32762BD0" w14:textId="77777777" w:rsidR="004D31DB" w:rsidRPr="000217EA" w:rsidRDefault="004D31DB" w:rsidP="00556197">
            <w:r w:rsidRPr="000217EA">
              <w:t xml:space="preserve">Their implementation </w:t>
            </w:r>
            <w:r>
              <w:t xml:space="preserve">through the </w:t>
            </w:r>
            <w:r w:rsidRPr="000217EA">
              <w:t>Agreements concerning the International Carriage of Dangerous Goods by Road (ADR) and by Inland Waterways (ADN</w:t>
            </w:r>
            <w:r>
              <w:t xml:space="preserve">) </w:t>
            </w:r>
            <w:r w:rsidRPr="000217EA">
              <w:t>contributes to minimise the risks of release into the environment thus preventing water</w:t>
            </w:r>
            <w:r>
              <w:t xml:space="preserve"> </w:t>
            </w:r>
            <w:r w:rsidRPr="000217EA">
              <w:t>contamination.</w:t>
            </w:r>
          </w:p>
        </w:tc>
      </w:tr>
      <w:tr w:rsidR="004D31DB" w:rsidRPr="000217EA" w14:paraId="7E9E6280" w14:textId="77777777" w:rsidTr="00A60CB6">
        <w:tc>
          <w:tcPr>
            <w:tcW w:w="993" w:type="dxa"/>
          </w:tcPr>
          <w:p w14:paraId="70F4FC67" w14:textId="77777777" w:rsidR="004D31DB" w:rsidRPr="000217EA" w:rsidRDefault="004D31DB" w:rsidP="00556197">
            <w:pPr>
              <w:jc w:val="center"/>
            </w:pPr>
            <w:r>
              <w:rPr>
                <w:noProof/>
              </w:rPr>
              <w:drawing>
                <wp:inline distT="0" distB="0" distL="0" distR="0" wp14:anchorId="2D80DBB7" wp14:editId="4379D4CC">
                  <wp:extent cx="521208"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521208" cy="512064"/>
                          </a:xfrm>
                          <a:prstGeom prst="rect">
                            <a:avLst/>
                          </a:prstGeom>
                        </pic:spPr>
                      </pic:pic>
                    </a:graphicData>
                  </a:graphic>
                </wp:inline>
              </w:drawing>
            </w:r>
          </w:p>
        </w:tc>
        <w:tc>
          <w:tcPr>
            <w:tcW w:w="1701" w:type="dxa"/>
          </w:tcPr>
          <w:p w14:paraId="0183EE23" w14:textId="77777777" w:rsidR="004D31DB" w:rsidRDefault="004D31DB" w:rsidP="00556197">
            <w:pPr>
              <w:jc w:val="center"/>
              <w:rPr>
                <w:b/>
                <w:bCs/>
                <w:sz w:val="18"/>
                <w:szCs w:val="18"/>
              </w:rPr>
            </w:pPr>
            <w:r>
              <w:rPr>
                <w:b/>
                <w:bCs/>
                <w:sz w:val="18"/>
                <w:szCs w:val="18"/>
              </w:rPr>
              <w:t>ITC/</w:t>
            </w:r>
            <w:r w:rsidRPr="002A3B1B">
              <w:rPr>
                <w:b/>
                <w:bCs/>
                <w:sz w:val="18"/>
                <w:szCs w:val="18"/>
              </w:rPr>
              <w:t>WP.15</w:t>
            </w:r>
          </w:p>
          <w:p w14:paraId="3D536BCA" w14:textId="77777777" w:rsidR="004D31DB" w:rsidRDefault="004D31DB" w:rsidP="00556197">
            <w:pPr>
              <w:jc w:val="center"/>
              <w:rPr>
                <w:b/>
                <w:bCs/>
                <w:sz w:val="18"/>
                <w:szCs w:val="18"/>
              </w:rPr>
            </w:pPr>
            <w:r>
              <w:rPr>
                <w:b/>
                <w:bCs/>
                <w:sz w:val="18"/>
                <w:szCs w:val="18"/>
              </w:rPr>
              <w:t>and</w:t>
            </w:r>
          </w:p>
          <w:p w14:paraId="445AEB44" w14:textId="77777777" w:rsidR="004D31DB" w:rsidRPr="002A3B1B" w:rsidRDefault="004D31DB" w:rsidP="00556197">
            <w:pPr>
              <w:jc w:val="center"/>
              <w:rPr>
                <w:b/>
                <w:bCs/>
                <w:sz w:val="18"/>
                <w:szCs w:val="18"/>
              </w:rPr>
            </w:pPr>
            <w:r>
              <w:rPr>
                <w:b/>
                <w:bCs/>
                <w:sz w:val="18"/>
                <w:szCs w:val="18"/>
              </w:rPr>
              <w:t>ECOSOC SC GHS</w:t>
            </w:r>
          </w:p>
        </w:tc>
        <w:tc>
          <w:tcPr>
            <w:tcW w:w="11907" w:type="dxa"/>
          </w:tcPr>
          <w:p w14:paraId="6F006E8F" w14:textId="77777777" w:rsidR="004D31DB" w:rsidRPr="000217EA" w:rsidRDefault="004D31DB" w:rsidP="00556197">
            <w:r w:rsidRPr="002A3B1B">
              <w:t>ADR and ADN ensure mutual recognitions of certificates for vehicles, vessels, drivers, etc</w:t>
            </w:r>
            <w:r>
              <w:t>.</w:t>
            </w:r>
            <w:r w:rsidRPr="002A3B1B">
              <w:t xml:space="preserve"> and provide a framework for information exchange among Contracting Parties </w:t>
            </w:r>
            <w:r>
              <w:t xml:space="preserve">and </w:t>
            </w:r>
            <w:r w:rsidRPr="002A3B1B">
              <w:t>thus contribut</w:t>
            </w:r>
            <w:r>
              <w:t>e</w:t>
            </w:r>
            <w:r w:rsidRPr="002A3B1B">
              <w:t xml:space="preserve"> to reduce the number of checks and the overall waiting time at </w:t>
            </w:r>
            <w:r>
              <w:t xml:space="preserve">country </w:t>
            </w:r>
            <w:r w:rsidRPr="002A3B1B">
              <w:t>border</w:t>
            </w:r>
            <w:r>
              <w:t>s</w:t>
            </w:r>
            <w:r w:rsidRPr="002A3B1B">
              <w:t xml:space="preserve"> </w:t>
            </w:r>
            <w:r>
              <w:t>for</w:t>
            </w:r>
            <w:r w:rsidRPr="002A3B1B">
              <w:t xml:space="preserve"> vehicles and vessels transporting dangerous goods.</w:t>
            </w:r>
            <w:r>
              <w:t xml:space="preserve"> GHS d</w:t>
            </w:r>
            <w:r w:rsidRPr="002A3B1B">
              <w:t>efines a worldwide harmonized set of criteria for identification of hazards posed by chemicals and standardizing the hazard communication tools, thus protecting labour rights and ensuring safe working conditions. Workers in countries implementing them have access to the same level of protection and information, as regards the hazards and protective measures to be taken depending on the hazardous chemicals they use at the workplace</w:t>
            </w:r>
            <w:r>
              <w:t>.</w:t>
            </w:r>
          </w:p>
        </w:tc>
      </w:tr>
      <w:tr w:rsidR="004D31DB" w:rsidRPr="000217EA" w14:paraId="5A0FFB83" w14:textId="77777777" w:rsidTr="00A60CB6">
        <w:tc>
          <w:tcPr>
            <w:tcW w:w="993" w:type="dxa"/>
          </w:tcPr>
          <w:p w14:paraId="1D35C0C3" w14:textId="77777777" w:rsidR="004D31DB" w:rsidRPr="000217EA" w:rsidRDefault="004D31DB" w:rsidP="00556197">
            <w:pPr>
              <w:jc w:val="center"/>
            </w:pPr>
            <w:r>
              <w:rPr>
                <w:noProof/>
              </w:rPr>
              <w:drawing>
                <wp:inline distT="0" distB="0" distL="0" distR="0" wp14:anchorId="33E55D5E" wp14:editId="013BAF07">
                  <wp:extent cx="530352" cy="530352"/>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530352" cy="530352"/>
                          </a:xfrm>
                          <a:prstGeom prst="rect">
                            <a:avLst/>
                          </a:prstGeom>
                        </pic:spPr>
                      </pic:pic>
                    </a:graphicData>
                  </a:graphic>
                </wp:inline>
              </w:drawing>
            </w:r>
          </w:p>
        </w:tc>
        <w:tc>
          <w:tcPr>
            <w:tcW w:w="1701" w:type="dxa"/>
          </w:tcPr>
          <w:p w14:paraId="3230C0D9" w14:textId="77777777" w:rsidR="004D31DB" w:rsidRPr="000217EA" w:rsidRDefault="004D31DB" w:rsidP="00556197">
            <w:pPr>
              <w:jc w:val="center"/>
            </w:pPr>
            <w:r>
              <w:rPr>
                <w:b/>
                <w:bCs/>
                <w:sz w:val="18"/>
                <w:szCs w:val="18"/>
              </w:rPr>
              <w:t>ITC/</w:t>
            </w:r>
            <w:r w:rsidRPr="002A3B1B">
              <w:rPr>
                <w:b/>
                <w:bCs/>
                <w:sz w:val="18"/>
                <w:szCs w:val="18"/>
              </w:rPr>
              <w:t>WP.15</w:t>
            </w:r>
          </w:p>
        </w:tc>
        <w:tc>
          <w:tcPr>
            <w:tcW w:w="11907" w:type="dxa"/>
          </w:tcPr>
          <w:p w14:paraId="13630DAA" w14:textId="5C312BBC" w:rsidR="004D31DB" w:rsidRPr="000217EA" w:rsidRDefault="004D31DB" w:rsidP="00556197">
            <w:r>
              <w:t>The subsidiary bodies s</w:t>
            </w:r>
            <w:r w:rsidRPr="00560EDB">
              <w:t xml:space="preserve">hape the legal framework related to </w:t>
            </w:r>
            <w:r>
              <w:t>carriage</w:t>
            </w:r>
            <w:r w:rsidRPr="00560EDB">
              <w:t xml:space="preserve"> of dangerous goods </w:t>
            </w:r>
            <w:r>
              <w:t xml:space="preserve">by inland transport modes </w:t>
            </w:r>
            <w:r w:rsidRPr="00560EDB">
              <w:t>to prevent accidents</w:t>
            </w:r>
            <w:r>
              <w:t xml:space="preserve"> and damage</w:t>
            </w:r>
            <w:r w:rsidRPr="00560EDB">
              <w:t xml:space="preserve"> to persons, </w:t>
            </w:r>
            <w:proofErr w:type="gramStart"/>
            <w:r w:rsidRPr="00560EDB">
              <w:t>property</w:t>
            </w:r>
            <w:proofErr w:type="gramEnd"/>
            <w:r w:rsidRPr="00560EDB">
              <w:t xml:space="preserve"> or the environment, to other goods or to the means of transport employed, including in urban environments.</w:t>
            </w:r>
            <w:r>
              <w:t xml:space="preserve"> To r</w:t>
            </w:r>
            <w:r w:rsidRPr="00AB0645">
              <w:t>educe the environmental impacts of cities</w:t>
            </w:r>
            <w:r>
              <w:t xml:space="preserve">, </w:t>
            </w:r>
            <w:r w:rsidRPr="00AB0645">
              <w:t>W</w:t>
            </w:r>
            <w:r>
              <w:t>P</w:t>
            </w:r>
            <w:r w:rsidRPr="00AB0645">
              <w:t xml:space="preserve">.15 is considering options to </w:t>
            </w:r>
            <w:r w:rsidR="00F52AE6" w:rsidRPr="00AB0645">
              <w:t xml:space="preserve">safely </w:t>
            </w:r>
            <w:r w:rsidRPr="00AB0645">
              <w:t>deliver dangerous goods in cities with lighter, more agile, and cleaner vehicles like three-wheelers or electric vehicles.</w:t>
            </w:r>
          </w:p>
        </w:tc>
      </w:tr>
      <w:tr w:rsidR="004D31DB" w:rsidRPr="000217EA" w14:paraId="5AA2701F" w14:textId="77777777" w:rsidTr="00A60CB6">
        <w:tc>
          <w:tcPr>
            <w:tcW w:w="993" w:type="dxa"/>
          </w:tcPr>
          <w:p w14:paraId="3230B8BE" w14:textId="77777777" w:rsidR="004D31DB" w:rsidRPr="000217EA" w:rsidRDefault="004D31DB" w:rsidP="00556197">
            <w:pPr>
              <w:jc w:val="center"/>
            </w:pPr>
            <w:r>
              <w:rPr>
                <w:noProof/>
              </w:rPr>
              <w:drawing>
                <wp:inline distT="0" distB="0" distL="0" distR="0" wp14:anchorId="69B644C8" wp14:editId="10799111">
                  <wp:extent cx="521208" cy="5212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521208" cy="521208"/>
                          </a:xfrm>
                          <a:prstGeom prst="rect">
                            <a:avLst/>
                          </a:prstGeom>
                        </pic:spPr>
                      </pic:pic>
                    </a:graphicData>
                  </a:graphic>
                </wp:inline>
              </w:drawing>
            </w:r>
          </w:p>
        </w:tc>
        <w:tc>
          <w:tcPr>
            <w:tcW w:w="1701" w:type="dxa"/>
          </w:tcPr>
          <w:p w14:paraId="122C16EF" w14:textId="77777777" w:rsidR="004D31DB" w:rsidRDefault="004D31DB" w:rsidP="00556197">
            <w:pPr>
              <w:jc w:val="center"/>
              <w:rPr>
                <w:b/>
                <w:bCs/>
                <w:sz w:val="18"/>
                <w:szCs w:val="18"/>
              </w:rPr>
            </w:pPr>
            <w:r>
              <w:rPr>
                <w:b/>
                <w:bCs/>
                <w:sz w:val="18"/>
                <w:szCs w:val="18"/>
              </w:rPr>
              <w:t>ECOSOC CE</w:t>
            </w:r>
          </w:p>
          <w:p w14:paraId="4078945C" w14:textId="77777777" w:rsidR="004D31DB" w:rsidRDefault="004D31DB" w:rsidP="00556197">
            <w:pPr>
              <w:jc w:val="center"/>
              <w:rPr>
                <w:b/>
                <w:bCs/>
                <w:sz w:val="18"/>
                <w:szCs w:val="18"/>
              </w:rPr>
            </w:pPr>
            <w:r>
              <w:rPr>
                <w:b/>
                <w:bCs/>
                <w:sz w:val="18"/>
                <w:szCs w:val="18"/>
              </w:rPr>
              <w:t>and</w:t>
            </w:r>
          </w:p>
          <w:p w14:paraId="6CE05679" w14:textId="77777777" w:rsidR="004D31DB" w:rsidRPr="000217EA" w:rsidRDefault="004D31DB" w:rsidP="00556197">
            <w:pPr>
              <w:jc w:val="center"/>
            </w:pPr>
            <w:r>
              <w:rPr>
                <w:b/>
                <w:bCs/>
                <w:sz w:val="18"/>
                <w:szCs w:val="18"/>
              </w:rPr>
              <w:t>ITC/</w:t>
            </w:r>
            <w:r w:rsidRPr="00450FEA">
              <w:rPr>
                <w:b/>
                <w:bCs/>
                <w:sz w:val="18"/>
                <w:szCs w:val="18"/>
              </w:rPr>
              <w:t>WP.15</w:t>
            </w:r>
          </w:p>
        </w:tc>
        <w:tc>
          <w:tcPr>
            <w:tcW w:w="11907" w:type="dxa"/>
          </w:tcPr>
          <w:p w14:paraId="756263FA" w14:textId="55099145" w:rsidR="004D31DB" w:rsidRPr="000217EA" w:rsidRDefault="0034181E" w:rsidP="00023CB0">
            <w:r>
              <w:t>ECOSOC CE d</w:t>
            </w:r>
            <w:r w:rsidR="004D31DB" w:rsidRPr="000B1896">
              <w:t>evelops and updates the Model Regulations and the GHS</w:t>
            </w:r>
            <w:r w:rsidR="004D31DB">
              <w:t>,</w:t>
            </w:r>
            <w:r w:rsidR="004D31DB" w:rsidRPr="000B1896">
              <w:t xml:space="preserve"> thereby contribut</w:t>
            </w:r>
            <w:r w:rsidR="004D31DB">
              <w:t>es</w:t>
            </w:r>
            <w:r w:rsidR="004D31DB" w:rsidRPr="000B1896">
              <w:t xml:space="preserve"> to achieve the environmentally sound management of chemicals</w:t>
            </w:r>
            <w:r w:rsidR="004D31DB">
              <w:t xml:space="preserve"> </w:t>
            </w:r>
            <w:r w:rsidR="005A2A87">
              <w:t xml:space="preserve">and </w:t>
            </w:r>
            <w:r w:rsidR="004D31DB">
              <w:t>the transport of dangerous goods</w:t>
            </w:r>
            <w:r w:rsidR="0038088E">
              <w:t xml:space="preserve">, </w:t>
            </w:r>
            <w:proofErr w:type="gramStart"/>
            <w:r w:rsidR="0038088E">
              <w:t>in particular on</w:t>
            </w:r>
            <w:proofErr w:type="gramEnd"/>
            <w:r w:rsidR="0038088E">
              <w:t xml:space="preserve"> provisions for the reuse of plastics material for </w:t>
            </w:r>
            <w:r w:rsidR="0038088E" w:rsidRPr="00D64B3E">
              <w:t>packaging</w:t>
            </w:r>
            <w:r w:rsidR="0038088E">
              <w:t>s</w:t>
            </w:r>
            <w:r w:rsidR="004D31DB" w:rsidRPr="000B1896">
              <w:t>.</w:t>
            </w:r>
            <w:r w:rsidR="004D31DB">
              <w:t xml:space="preserve"> WP.</w:t>
            </w:r>
            <w:r w:rsidR="00E01CE2">
              <w:t>15 is</w:t>
            </w:r>
            <w:r w:rsidR="004D31DB">
              <w:t xml:space="preserve"> w</w:t>
            </w:r>
            <w:r w:rsidR="004D31DB" w:rsidRPr="00D64B3E">
              <w:t>ork</w:t>
            </w:r>
            <w:r w:rsidR="004D31DB">
              <w:t>ing</w:t>
            </w:r>
            <w:r w:rsidR="004D31DB" w:rsidRPr="00D64B3E">
              <w:t xml:space="preserve"> on provisions related to the circular economy </w:t>
            </w:r>
            <w:r w:rsidR="00937D11">
              <w:t xml:space="preserve">and the sustainable use of </w:t>
            </w:r>
            <w:r w:rsidR="00462B09">
              <w:t>natural resources</w:t>
            </w:r>
            <w:r w:rsidR="00376EEB">
              <w:t xml:space="preserve"> including the reduction of transport related emissions of greenhouse gases</w:t>
            </w:r>
            <w:r w:rsidR="00E13901">
              <w:t xml:space="preserve"> and</w:t>
            </w:r>
            <w:r w:rsidR="00CF4236">
              <w:t xml:space="preserve"> </w:t>
            </w:r>
            <w:r w:rsidR="0023272F">
              <w:t xml:space="preserve">the </w:t>
            </w:r>
            <w:r w:rsidR="004D31DB">
              <w:t xml:space="preserve">recycling/repurpose of </w:t>
            </w:r>
            <w:r w:rsidR="004D31DB" w:rsidRPr="00D64B3E">
              <w:t xml:space="preserve">used </w:t>
            </w:r>
            <w:r w:rsidR="002A6F3C">
              <w:t xml:space="preserve">cells and </w:t>
            </w:r>
            <w:r w:rsidR="004D31DB" w:rsidRPr="00D64B3E">
              <w:t>batteries</w:t>
            </w:r>
            <w:r w:rsidR="00F31119">
              <w:t xml:space="preserve">, </w:t>
            </w:r>
            <w:r w:rsidR="002732EE" w:rsidRPr="002732EE">
              <w:t>thus reducing waste production</w:t>
            </w:r>
            <w:r w:rsidR="004D31DB">
              <w:t>.</w:t>
            </w:r>
          </w:p>
        </w:tc>
      </w:tr>
      <w:tr w:rsidR="004D31DB" w:rsidRPr="000217EA" w14:paraId="09D86A22" w14:textId="77777777" w:rsidTr="00A60CB6">
        <w:tc>
          <w:tcPr>
            <w:tcW w:w="993" w:type="dxa"/>
          </w:tcPr>
          <w:p w14:paraId="24B42A4F" w14:textId="77777777" w:rsidR="004D31DB" w:rsidRDefault="004D31DB" w:rsidP="00556197">
            <w:pPr>
              <w:jc w:val="center"/>
              <w:rPr>
                <w:noProof/>
              </w:rPr>
            </w:pPr>
            <w:r>
              <w:rPr>
                <w:noProof/>
              </w:rPr>
              <w:drawing>
                <wp:inline distT="0" distB="0" distL="0" distR="0" wp14:anchorId="22BEE10A" wp14:editId="0FCC0863">
                  <wp:extent cx="530352" cy="51206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Lst>
                          </a:blip>
                          <a:stretch>
                            <a:fillRect/>
                          </a:stretch>
                        </pic:blipFill>
                        <pic:spPr>
                          <a:xfrm>
                            <a:off x="0" y="0"/>
                            <a:ext cx="530352" cy="512064"/>
                          </a:xfrm>
                          <a:prstGeom prst="rect">
                            <a:avLst/>
                          </a:prstGeom>
                        </pic:spPr>
                      </pic:pic>
                    </a:graphicData>
                  </a:graphic>
                </wp:inline>
              </w:drawing>
            </w:r>
          </w:p>
        </w:tc>
        <w:tc>
          <w:tcPr>
            <w:tcW w:w="1701" w:type="dxa"/>
          </w:tcPr>
          <w:p w14:paraId="2EC7D265" w14:textId="77777777" w:rsidR="004D31DB" w:rsidRDefault="004D31DB" w:rsidP="00556197">
            <w:pPr>
              <w:jc w:val="center"/>
              <w:rPr>
                <w:b/>
                <w:bCs/>
                <w:sz w:val="18"/>
                <w:szCs w:val="18"/>
              </w:rPr>
            </w:pPr>
            <w:r>
              <w:rPr>
                <w:b/>
                <w:bCs/>
                <w:sz w:val="18"/>
                <w:szCs w:val="18"/>
              </w:rPr>
              <w:t>ITC/</w:t>
            </w:r>
            <w:r w:rsidRPr="002A3B1B">
              <w:rPr>
                <w:b/>
                <w:bCs/>
                <w:sz w:val="18"/>
                <w:szCs w:val="18"/>
              </w:rPr>
              <w:t>WP.15</w:t>
            </w:r>
          </w:p>
        </w:tc>
        <w:tc>
          <w:tcPr>
            <w:tcW w:w="11907" w:type="dxa"/>
          </w:tcPr>
          <w:p w14:paraId="42DF4149" w14:textId="52AED0F7" w:rsidR="004D31DB" w:rsidRPr="000B1896" w:rsidRDefault="004D31DB" w:rsidP="00556197">
            <w:r>
              <w:t>To t</w:t>
            </w:r>
            <w:r w:rsidRPr="00896316">
              <w:t>ake urgent action to combat climate change and its impacts</w:t>
            </w:r>
            <w:r>
              <w:t>, W</w:t>
            </w:r>
            <w:r w:rsidRPr="00896316">
              <w:t xml:space="preserve">P.15 works on solutions to use electric vehicles and vehicles with cleaner and more efficient internal combustion engine for transport of dangerous goods. </w:t>
            </w:r>
            <w:r w:rsidR="00F173F0">
              <w:t>It</w:t>
            </w:r>
            <w:r w:rsidRPr="00896316">
              <w:t xml:space="preserve"> also develop</w:t>
            </w:r>
            <w:r w:rsidR="00674849">
              <w:t>s</w:t>
            </w:r>
            <w:r w:rsidRPr="00896316">
              <w:t xml:space="preserve"> provisions on how to </w:t>
            </w:r>
            <w:r w:rsidR="00B97884">
              <w:t xml:space="preserve">safely </w:t>
            </w:r>
            <w:r w:rsidRPr="00896316">
              <w:t>transport batteries and electrified vehicles at all stages of their life cycle.</w:t>
            </w:r>
          </w:p>
        </w:tc>
      </w:tr>
      <w:tr w:rsidR="004D31DB" w:rsidRPr="000217EA" w14:paraId="6A55D575" w14:textId="77777777" w:rsidTr="00A60CB6">
        <w:tc>
          <w:tcPr>
            <w:tcW w:w="993" w:type="dxa"/>
          </w:tcPr>
          <w:p w14:paraId="4E6C614F" w14:textId="77777777" w:rsidR="004D31DB" w:rsidRPr="000217EA" w:rsidRDefault="004D31DB" w:rsidP="00556197">
            <w:pPr>
              <w:jc w:val="center"/>
            </w:pPr>
            <w:r>
              <w:rPr>
                <w:noProof/>
              </w:rPr>
              <w:drawing>
                <wp:inline distT="0" distB="0" distL="0" distR="0" wp14:anchorId="216A89F2" wp14:editId="0F3AC370">
                  <wp:extent cx="530352" cy="521208"/>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Lst>
                          </a:blip>
                          <a:stretch>
                            <a:fillRect/>
                          </a:stretch>
                        </pic:blipFill>
                        <pic:spPr>
                          <a:xfrm>
                            <a:off x="0" y="0"/>
                            <a:ext cx="530352" cy="521208"/>
                          </a:xfrm>
                          <a:prstGeom prst="rect">
                            <a:avLst/>
                          </a:prstGeom>
                        </pic:spPr>
                      </pic:pic>
                    </a:graphicData>
                  </a:graphic>
                </wp:inline>
              </w:drawing>
            </w:r>
          </w:p>
        </w:tc>
        <w:tc>
          <w:tcPr>
            <w:tcW w:w="1701" w:type="dxa"/>
          </w:tcPr>
          <w:p w14:paraId="46FC7496" w14:textId="5E118405" w:rsidR="005C59C7" w:rsidRDefault="004D31DB" w:rsidP="005C59C7">
            <w:pPr>
              <w:jc w:val="center"/>
              <w:rPr>
                <w:b/>
                <w:bCs/>
                <w:sz w:val="18"/>
                <w:szCs w:val="18"/>
              </w:rPr>
            </w:pPr>
            <w:r w:rsidRPr="002E71CC">
              <w:rPr>
                <w:b/>
                <w:bCs/>
                <w:sz w:val="18"/>
                <w:szCs w:val="18"/>
              </w:rPr>
              <w:t>ECOSOC</w:t>
            </w:r>
            <w:r>
              <w:rPr>
                <w:b/>
                <w:bCs/>
                <w:sz w:val="18"/>
                <w:szCs w:val="18"/>
              </w:rPr>
              <w:t xml:space="preserve"> CE</w:t>
            </w:r>
          </w:p>
          <w:p w14:paraId="5E634D3C" w14:textId="73DB814E" w:rsidR="005C59C7" w:rsidRDefault="005C59C7" w:rsidP="005C59C7">
            <w:pPr>
              <w:jc w:val="center"/>
              <w:rPr>
                <w:b/>
                <w:bCs/>
                <w:sz w:val="18"/>
                <w:szCs w:val="18"/>
              </w:rPr>
            </w:pPr>
            <w:r>
              <w:rPr>
                <w:b/>
                <w:bCs/>
                <w:sz w:val="18"/>
                <w:szCs w:val="18"/>
              </w:rPr>
              <w:t>and</w:t>
            </w:r>
          </w:p>
          <w:p w14:paraId="2EDDEE10" w14:textId="2296EBFD" w:rsidR="004D31DB" w:rsidRPr="000217EA" w:rsidRDefault="005C59C7" w:rsidP="005C59C7">
            <w:pPr>
              <w:jc w:val="center"/>
            </w:pPr>
            <w:r>
              <w:rPr>
                <w:b/>
                <w:bCs/>
                <w:sz w:val="18"/>
                <w:szCs w:val="18"/>
              </w:rPr>
              <w:t>ITC/</w:t>
            </w:r>
            <w:r w:rsidRPr="00450FEA">
              <w:rPr>
                <w:b/>
                <w:bCs/>
                <w:sz w:val="18"/>
                <w:szCs w:val="18"/>
              </w:rPr>
              <w:t>WP.15</w:t>
            </w:r>
          </w:p>
        </w:tc>
        <w:tc>
          <w:tcPr>
            <w:tcW w:w="11907" w:type="dxa"/>
          </w:tcPr>
          <w:p w14:paraId="1302B7E7" w14:textId="4FFFC176" w:rsidR="004D31DB" w:rsidRPr="000217EA" w:rsidRDefault="0089284A" w:rsidP="00491006">
            <w:r>
              <w:t xml:space="preserve">ECOSOC CE </w:t>
            </w:r>
            <w:r>
              <w:t>d</w:t>
            </w:r>
            <w:r w:rsidR="004D31DB" w:rsidRPr="00861172">
              <w:t xml:space="preserve">evelops and updates the Model Regulations and </w:t>
            </w:r>
            <w:r w:rsidR="004D31DB">
              <w:t xml:space="preserve">the </w:t>
            </w:r>
            <w:r w:rsidR="004D31DB" w:rsidRPr="00861172">
              <w:t>GHS</w:t>
            </w:r>
            <w:r w:rsidR="004D31DB">
              <w:t xml:space="preserve"> enhancing the</w:t>
            </w:r>
            <w:r w:rsidR="004D31DB" w:rsidRPr="00861172">
              <w:t xml:space="preserve"> identification of chemicals hazardous to the aquatic environment as well as the conditions to ensure their safe transport and handling, thus preventing pollution from land-based activities</w:t>
            </w:r>
            <w:r w:rsidR="004D31DB">
              <w:t>.</w:t>
            </w:r>
            <w:r w:rsidR="00491006">
              <w:t xml:space="preserve"> </w:t>
            </w:r>
            <w:r w:rsidR="00491006">
              <w:t xml:space="preserve">The </w:t>
            </w:r>
            <w:r w:rsidR="00E920F6">
              <w:t>AD</w:t>
            </w:r>
            <w:r w:rsidR="00983E30">
              <w:t>N</w:t>
            </w:r>
            <w:r w:rsidR="00E920F6">
              <w:t xml:space="preserve"> Safety Committee </w:t>
            </w:r>
            <w:r w:rsidR="00CA1653">
              <w:t>continues its</w:t>
            </w:r>
            <w:r w:rsidR="00491006">
              <w:t xml:space="preserve"> activities related </w:t>
            </w:r>
            <w:r w:rsidR="000860F4">
              <w:t xml:space="preserve">to </w:t>
            </w:r>
            <w:r w:rsidR="00491006">
              <w:t xml:space="preserve">greening of the inland </w:t>
            </w:r>
            <w:r w:rsidR="00147BD7">
              <w:t xml:space="preserve">vessel </w:t>
            </w:r>
            <w:r w:rsidR="00491006">
              <w:t xml:space="preserve">fleet towards a modern, </w:t>
            </w:r>
            <w:proofErr w:type="gramStart"/>
            <w:r w:rsidR="00491006">
              <w:t>sustainable</w:t>
            </w:r>
            <w:proofErr w:type="gramEnd"/>
            <w:r w:rsidR="00491006">
              <w:t xml:space="preserve"> and resilient waterway network</w:t>
            </w:r>
            <w:r w:rsidR="000860F4">
              <w:t xml:space="preserve"> </w:t>
            </w:r>
            <w:r w:rsidR="00A95BE4">
              <w:t xml:space="preserve">for the </w:t>
            </w:r>
            <w:r w:rsidR="00147BD7">
              <w:t xml:space="preserve">safe </w:t>
            </w:r>
            <w:r w:rsidR="00A95BE4">
              <w:t xml:space="preserve">transport of dangerous goods </w:t>
            </w:r>
            <w:r w:rsidR="00E01542">
              <w:t>and</w:t>
            </w:r>
            <w:r w:rsidR="0023305C">
              <w:t>,</w:t>
            </w:r>
            <w:r w:rsidR="00E01542">
              <w:t xml:space="preserve"> thus</w:t>
            </w:r>
            <w:r w:rsidR="0023305C">
              <w:t>,</w:t>
            </w:r>
            <w:r w:rsidR="00E873A8">
              <w:t xml:space="preserve"> contribute</w:t>
            </w:r>
            <w:r w:rsidR="0023305C">
              <w:t>s</w:t>
            </w:r>
            <w:r w:rsidR="00E01542">
              <w:t xml:space="preserve"> </w:t>
            </w:r>
            <w:r w:rsidR="000860F4" w:rsidRPr="00F80D69">
              <w:t xml:space="preserve">to </w:t>
            </w:r>
            <w:r w:rsidR="00892127" w:rsidRPr="00F80D69">
              <w:t xml:space="preserve">combat </w:t>
            </w:r>
            <w:r w:rsidR="000860F4" w:rsidRPr="00F80D69">
              <w:t>climate change and</w:t>
            </w:r>
            <w:r w:rsidR="00307541" w:rsidRPr="000217EA">
              <w:t xml:space="preserve"> </w:t>
            </w:r>
            <w:r w:rsidR="007E09DE">
              <w:t xml:space="preserve">reduce </w:t>
            </w:r>
            <w:r w:rsidR="00307541" w:rsidRPr="000217EA">
              <w:t>hazard</w:t>
            </w:r>
            <w:r w:rsidR="007E09DE">
              <w:t>s</w:t>
            </w:r>
            <w:r w:rsidR="00307541" w:rsidRPr="000217EA">
              <w:t xml:space="preserve"> to the aquatic environment</w:t>
            </w:r>
            <w:r w:rsidR="0077673D">
              <w:t>.</w:t>
            </w:r>
          </w:p>
        </w:tc>
      </w:tr>
      <w:tr w:rsidR="004D31DB" w:rsidRPr="000217EA" w14:paraId="24268135" w14:textId="77777777" w:rsidTr="00A60CB6">
        <w:tc>
          <w:tcPr>
            <w:tcW w:w="993" w:type="dxa"/>
          </w:tcPr>
          <w:p w14:paraId="79EAE0B6" w14:textId="77777777" w:rsidR="004D31DB" w:rsidRDefault="004D31DB" w:rsidP="00556197">
            <w:pPr>
              <w:jc w:val="center"/>
              <w:rPr>
                <w:noProof/>
              </w:rPr>
            </w:pPr>
            <w:r>
              <w:rPr>
                <w:noProof/>
              </w:rPr>
              <w:drawing>
                <wp:inline distT="0" distB="0" distL="0" distR="0" wp14:anchorId="5C684DD8" wp14:editId="287F2D1D">
                  <wp:extent cx="521208" cy="51206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1208" cy="512064"/>
                          </a:xfrm>
                          <a:prstGeom prst="rect">
                            <a:avLst/>
                          </a:prstGeom>
                        </pic:spPr>
                      </pic:pic>
                    </a:graphicData>
                  </a:graphic>
                </wp:inline>
              </w:drawing>
            </w:r>
          </w:p>
        </w:tc>
        <w:tc>
          <w:tcPr>
            <w:tcW w:w="1701" w:type="dxa"/>
          </w:tcPr>
          <w:p w14:paraId="42BBA5F2" w14:textId="77777777" w:rsidR="004D31DB" w:rsidRDefault="004D31DB" w:rsidP="00556197">
            <w:pPr>
              <w:jc w:val="center"/>
              <w:rPr>
                <w:b/>
                <w:bCs/>
                <w:sz w:val="18"/>
                <w:szCs w:val="18"/>
              </w:rPr>
            </w:pPr>
            <w:r>
              <w:rPr>
                <w:b/>
                <w:bCs/>
                <w:sz w:val="18"/>
                <w:szCs w:val="18"/>
              </w:rPr>
              <w:t>ITC/</w:t>
            </w:r>
            <w:r w:rsidRPr="00450FEA">
              <w:rPr>
                <w:b/>
                <w:bCs/>
                <w:sz w:val="18"/>
                <w:szCs w:val="18"/>
              </w:rPr>
              <w:t>WP.15</w:t>
            </w:r>
          </w:p>
          <w:p w14:paraId="33DA0A42" w14:textId="77777777" w:rsidR="004D31DB" w:rsidRDefault="004D31DB" w:rsidP="00556197">
            <w:pPr>
              <w:jc w:val="center"/>
              <w:rPr>
                <w:b/>
                <w:bCs/>
                <w:sz w:val="18"/>
                <w:szCs w:val="18"/>
              </w:rPr>
            </w:pPr>
            <w:r>
              <w:rPr>
                <w:b/>
                <w:bCs/>
                <w:sz w:val="18"/>
                <w:szCs w:val="18"/>
              </w:rPr>
              <w:t>and</w:t>
            </w:r>
          </w:p>
          <w:p w14:paraId="4EC85B8B" w14:textId="77777777" w:rsidR="004D31DB" w:rsidRPr="002E71CC" w:rsidRDefault="004D31DB" w:rsidP="00556197">
            <w:pPr>
              <w:jc w:val="center"/>
              <w:rPr>
                <w:b/>
                <w:bCs/>
                <w:sz w:val="18"/>
                <w:szCs w:val="18"/>
              </w:rPr>
            </w:pPr>
            <w:r>
              <w:rPr>
                <w:b/>
                <w:bCs/>
                <w:sz w:val="18"/>
                <w:szCs w:val="18"/>
              </w:rPr>
              <w:t>ECOSOC CE</w:t>
            </w:r>
          </w:p>
        </w:tc>
        <w:tc>
          <w:tcPr>
            <w:tcW w:w="11907" w:type="dxa"/>
          </w:tcPr>
          <w:p w14:paraId="776CCDF7" w14:textId="7606F154" w:rsidR="004D31DB" w:rsidRPr="00861172" w:rsidRDefault="004D31DB" w:rsidP="00556197">
            <w:r w:rsidRPr="00C648DA">
              <w:t xml:space="preserve">WP.15 </w:t>
            </w:r>
            <w:r>
              <w:t>focus</w:t>
            </w:r>
            <w:r w:rsidR="00A133B2">
              <w:t>es</w:t>
            </w:r>
            <w:r>
              <w:t xml:space="preserve"> on their regulatory work on the safe transport of dangerous goods by road, rail and inland waterways </w:t>
            </w:r>
            <w:r w:rsidRPr="00C648DA">
              <w:t>in close cooperation and partnership with</w:t>
            </w:r>
            <w:r>
              <w:t xml:space="preserve"> the</w:t>
            </w:r>
            <w:r w:rsidRPr="00B23CA0">
              <w:t xml:space="preserve"> Intergovernmental Organisation for International Carriage by Rail</w:t>
            </w:r>
            <w:r w:rsidRPr="00C648DA">
              <w:t xml:space="preserve"> </w:t>
            </w:r>
            <w:r>
              <w:t>(</w:t>
            </w:r>
            <w:r w:rsidRPr="00C648DA">
              <w:t>OTIF</w:t>
            </w:r>
            <w:r>
              <w:t>)</w:t>
            </w:r>
            <w:r w:rsidRPr="00C648DA">
              <w:t xml:space="preserve"> and the Central Commission for the Navigation of the Rhine (CCNR).</w:t>
            </w:r>
            <w:r>
              <w:t xml:space="preserve"> </w:t>
            </w:r>
            <w:r w:rsidRPr="00C648DA">
              <w:t xml:space="preserve">A broad </w:t>
            </w:r>
            <w:r>
              <w:t>collaboration</w:t>
            </w:r>
            <w:r w:rsidRPr="00C648DA">
              <w:t xml:space="preserve"> </w:t>
            </w:r>
            <w:r>
              <w:t>between</w:t>
            </w:r>
            <w:r w:rsidRPr="00C648DA">
              <w:t xml:space="preserve"> all stakeholders involved in the international and multimodal transport of dangerous goods exists to regularly update the major international conventions and agreements </w:t>
            </w:r>
            <w:r>
              <w:t>on</w:t>
            </w:r>
            <w:r w:rsidRPr="00C648DA">
              <w:t xml:space="preserve"> the carriage of dangerous goods, such as the RID, ADR and ADN, </w:t>
            </w:r>
            <w:proofErr w:type="gramStart"/>
            <w:r w:rsidRPr="00C648DA">
              <w:t>and also</w:t>
            </w:r>
            <w:proofErr w:type="gramEnd"/>
            <w:r w:rsidRPr="00C648DA">
              <w:t xml:space="preserve"> the IMDG, TI and SSR-6 </w:t>
            </w:r>
            <w:r w:rsidRPr="003A72D7">
              <w:rPr>
                <w:rStyle w:val="FootnoteReference"/>
              </w:rPr>
              <w:footnoteReference w:id="2"/>
            </w:r>
            <w:r w:rsidRPr="003A72D7">
              <w:t xml:space="preserve"> </w:t>
            </w:r>
            <w:r w:rsidRPr="00C648DA">
              <w:t>in line with the UN Model Regulations developed by the ECOSOC Committee of Experts</w:t>
            </w:r>
            <w:r>
              <w:t>.</w:t>
            </w:r>
          </w:p>
        </w:tc>
      </w:tr>
    </w:tbl>
    <w:p w14:paraId="77878BBC" w14:textId="77777777" w:rsidR="00BA678B" w:rsidRDefault="00BA678B" w:rsidP="00CE0D15">
      <w:pPr>
        <w:rPr>
          <w:b/>
          <w:bCs/>
        </w:rPr>
      </w:pPr>
    </w:p>
    <w:p w14:paraId="7613F999" w14:textId="79100B1F" w:rsidR="00CE0D15" w:rsidRPr="00CE0D15" w:rsidRDefault="00CE0D15" w:rsidP="00CE0D15">
      <w:pPr>
        <w:rPr>
          <w:b/>
          <w:bCs/>
        </w:rPr>
      </w:pPr>
      <w:r w:rsidRPr="00CE0D15">
        <w:rPr>
          <w:b/>
          <w:bCs/>
        </w:rPr>
        <w:t xml:space="preserve">Regulatory work, capacity building and analytical work </w:t>
      </w:r>
    </w:p>
    <w:p w14:paraId="775B609C" w14:textId="77777777" w:rsidR="00CE0D15" w:rsidRPr="001B6891" w:rsidRDefault="00CE0D15" w:rsidP="00CE0D15"/>
    <w:tbl>
      <w:tblPr>
        <w:tblStyle w:val="TableGrid"/>
        <w:tblW w:w="0" w:type="auto"/>
        <w:tblLook w:val="04A0" w:firstRow="1" w:lastRow="0" w:firstColumn="1" w:lastColumn="0" w:noHBand="0" w:noVBand="1"/>
      </w:tblPr>
      <w:tblGrid>
        <w:gridCol w:w="462"/>
        <w:gridCol w:w="1250"/>
        <w:gridCol w:w="1408"/>
        <w:gridCol w:w="1409"/>
        <w:gridCol w:w="1408"/>
        <w:gridCol w:w="1409"/>
        <w:gridCol w:w="1317"/>
        <w:gridCol w:w="1362"/>
        <w:gridCol w:w="1276"/>
        <w:gridCol w:w="2268"/>
      </w:tblGrid>
      <w:tr w:rsidR="00CE0D15" w:rsidRPr="001B6891" w14:paraId="557F03D9" w14:textId="77777777" w:rsidTr="00556197">
        <w:tc>
          <w:tcPr>
            <w:tcW w:w="1463" w:type="dxa"/>
            <w:gridSpan w:val="2"/>
          </w:tcPr>
          <w:p w14:paraId="07962E98" w14:textId="77777777" w:rsidR="00CE0D15" w:rsidRPr="001B6891" w:rsidRDefault="00CE0D15" w:rsidP="00556197">
            <w:pPr>
              <w:rPr>
                <w:noProof/>
              </w:rPr>
            </w:pPr>
          </w:p>
        </w:tc>
        <w:tc>
          <w:tcPr>
            <w:tcW w:w="1408" w:type="dxa"/>
          </w:tcPr>
          <w:p w14:paraId="278642AE" w14:textId="77777777" w:rsidR="00CE0D15" w:rsidRPr="001B6891" w:rsidRDefault="00CE0D15" w:rsidP="00556197">
            <w:r w:rsidRPr="001B6891">
              <w:rPr>
                <w:noProof/>
              </w:rPr>
              <w:drawing>
                <wp:inline distT="0" distB="0" distL="0" distR="0" wp14:anchorId="589C5AB5" wp14:editId="0150B064">
                  <wp:extent cx="521208" cy="512064"/>
                  <wp:effectExtent l="0" t="0" r="0" b="25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521208" cy="512064"/>
                          </a:xfrm>
                          <a:prstGeom prst="rect">
                            <a:avLst/>
                          </a:prstGeom>
                        </pic:spPr>
                      </pic:pic>
                    </a:graphicData>
                  </a:graphic>
                </wp:inline>
              </w:drawing>
            </w:r>
          </w:p>
        </w:tc>
        <w:tc>
          <w:tcPr>
            <w:tcW w:w="1409" w:type="dxa"/>
          </w:tcPr>
          <w:p w14:paraId="64B8CF4C" w14:textId="77777777" w:rsidR="00CE0D15" w:rsidRPr="001B6891" w:rsidRDefault="00CE0D15" w:rsidP="00556197">
            <w:r w:rsidRPr="001B6891">
              <w:rPr>
                <w:noProof/>
              </w:rPr>
              <w:drawing>
                <wp:inline distT="0" distB="0" distL="0" distR="0" wp14:anchorId="0F8BAF9E" wp14:editId="7CDCF838">
                  <wp:extent cx="530352" cy="530352"/>
                  <wp:effectExtent l="0" t="0" r="3175" b="317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a:fillRect/>
                          </a:stretch>
                        </pic:blipFill>
                        <pic:spPr>
                          <a:xfrm>
                            <a:off x="0" y="0"/>
                            <a:ext cx="530352" cy="530352"/>
                          </a:xfrm>
                          <a:prstGeom prst="rect">
                            <a:avLst/>
                          </a:prstGeom>
                        </pic:spPr>
                      </pic:pic>
                    </a:graphicData>
                  </a:graphic>
                </wp:inline>
              </w:drawing>
            </w:r>
          </w:p>
        </w:tc>
        <w:tc>
          <w:tcPr>
            <w:tcW w:w="1408" w:type="dxa"/>
          </w:tcPr>
          <w:p w14:paraId="20F57865" w14:textId="77777777" w:rsidR="00CE0D15" w:rsidRPr="001B6891" w:rsidRDefault="00CE0D15" w:rsidP="00556197">
            <w:r>
              <w:rPr>
                <w:noProof/>
              </w:rPr>
              <w:drawing>
                <wp:inline distT="0" distB="0" distL="0" distR="0" wp14:anchorId="442B6E0C" wp14:editId="5129A198">
                  <wp:extent cx="539693" cy="530225"/>
                  <wp:effectExtent l="0" t="0" r="0" b="317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543959" cy="534416"/>
                          </a:xfrm>
                          <a:prstGeom prst="rect">
                            <a:avLst/>
                          </a:prstGeom>
                        </pic:spPr>
                      </pic:pic>
                    </a:graphicData>
                  </a:graphic>
                </wp:inline>
              </w:drawing>
            </w:r>
          </w:p>
        </w:tc>
        <w:tc>
          <w:tcPr>
            <w:tcW w:w="1409" w:type="dxa"/>
          </w:tcPr>
          <w:p w14:paraId="04186FBF" w14:textId="77777777" w:rsidR="00CE0D15" w:rsidRPr="001B6891" w:rsidRDefault="00CE0D15" w:rsidP="00556197">
            <w:r>
              <w:rPr>
                <w:noProof/>
              </w:rPr>
              <w:drawing>
                <wp:inline distT="0" distB="0" distL="0" distR="0" wp14:anchorId="452918E3" wp14:editId="54ACA00B">
                  <wp:extent cx="530352" cy="530352"/>
                  <wp:effectExtent l="0" t="0" r="3175" b="317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530352" cy="530352"/>
                          </a:xfrm>
                          <a:prstGeom prst="rect">
                            <a:avLst/>
                          </a:prstGeom>
                        </pic:spPr>
                      </pic:pic>
                    </a:graphicData>
                  </a:graphic>
                </wp:inline>
              </w:drawing>
            </w:r>
          </w:p>
        </w:tc>
        <w:tc>
          <w:tcPr>
            <w:tcW w:w="1317" w:type="dxa"/>
          </w:tcPr>
          <w:p w14:paraId="38839694" w14:textId="77777777" w:rsidR="00CE0D15" w:rsidRPr="001B6891" w:rsidRDefault="00CE0D15" w:rsidP="00556197">
            <w:r>
              <w:rPr>
                <w:noProof/>
              </w:rPr>
              <w:drawing>
                <wp:inline distT="0" distB="0" distL="0" distR="0" wp14:anchorId="7D84AF31" wp14:editId="6641EBE6">
                  <wp:extent cx="521208" cy="521208"/>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521208" cy="521208"/>
                          </a:xfrm>
                          <a:prstGeom prst="rect">
                            <a:avLst/>
                          </a:prstGeom>
                        </pic:spPr>
                      </pic:pic>
                    </a:graphicData>
                  </a:graphic>
                </wp:inline>
              </w:drawing>
            </w:r>
          </w:p>
        </w:tc>
        <w:tc>
          <w:tcPr>
            <w:tcW w:w="1362" w:type="dxa"/>
          </w:tcPr>
          <w:p w14:paraId="2B347B57" w14:textId="77777777" w:rsidR="00CE0D15" w:rsidRPr="001B6891" w:rsidRDefault="00CE0D15" w:rsidP="00556197">
            <w:r>
              <w:rPr>
                <w:noProof/>
              </w:rPr>
              <w:drawing>
                <wp:inline distT="0" distB="0" distL="0" distR="0" wp14:anchorId="0A03D590" wp14:editId="5024A438">
                  <wp:extent cx="530352" cy="512064"/>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Lst>
                          </a:blip>
                          <a:stretch>
                            <a:fillRect/>
                          </a:stretch>
                        </pic:blipFill>
                        <pic:spPr>
                          <a:xfrm>
                            <a:off x="0" y="0"/>
                            <a:ext cx="530352" cy="512064"/>
                          </a:xfrm>
                          <a:prstGeom prst="rect">
                            <a:avLst/>
                          </a:prstGeom>
                        </pic:spPr>
                      </pic:pic>
                    </a:graphicData>
                  </a:graphic>
                </wp:inline>
              </w:drawing>
            </w:r>
          </w:p>
        </w:tc>
        <w:tc>
          <w:tcPr>
            <w:tcW w:w="1276" w:type="dxa"/>
          </w:tcPr>
          <w:p w14:paraId="176C8EB3" w14:textId="77777777" w:rsidR="00CE0D15" w:rsidRPr="001B6891" w:rsidRDefault="00CE0D15" w:rsidP="00556197">
            <w:r>
              <w:rPr>
                <w:noProof/>
              </w:rPr>
              <w:drawing>
                <wp:inline distT="0" distB="0" distL="0" distR="0" wp14:anchorId="28BCC6F2" wp14:editId="6D28FA24">
                  <wp:extent cx="539527" cy="530225"/>
                  <wp:effectExtent l="0" t="0" r="0" b="317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Lst>
                          </a:blip>
                          <a:stretch>
                            <a:fillRect/>
                          </a:stretch>
                        </pic:blipFill>
                        <pic:spPr>
                          <a:xfrm>
                            <a:off x="0" y="0"/>
                            <a:ext cx="540466" cy="531148"/>
                          </a:xfrm>
                          <a:prstGeom prst="rect">
                            <a:avLst/>
                          </a:prstGeom>
                        </pic:spPr>
                      </pic:pic>
                    </a:graphicData>
                  </a:graphic>
                </wp:inline>
              </w:drawing>
            </w:r>
          </w:p>
        </w:tc>
        <w:tc>
          <w:tcPr>
            <w:tcW w:w="2268" w:type="dxa"/>
          </w:tcPr>
          <w:p w14:paraId="3AAB378E" w14:textId="77777777" w:rsidR="00CE0D15" w:rsidRPr="001B6891" w:rsidRDefault="00CE0D15" w:rsidP="00556197">
            <w:r>
              <w:rPr>
                <w:noProof/>
              </w:rPr>
              <w:drawing>
                <wp:inline distT="0" distB="0" distL="0" distR="0" wp14:anchorId="58113B2D" wp14:editId="2818102E">
                  <wp:extent cx="521208" cy="512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1208" cy="512064"/>
                          </a:xfrm>
                          <a:prstGeom prst="rect">
                            <a:avLst/>
                          </a:prstGeom>
                        </pic:spPr>
                      </pic:pic>
                    </a:graphicData>
                  </a:graphic>
                </wp:inline>
              </w:drawing>
            </w:r>
          </w:p>
        </w:tc>
      </w:tr>
      <w:tr w:rsidR="00CE0D15" w:rsidRPr="001B6891" w14:paraId="18F9989B" w14:textId="77777777" w:rsidTr="00556197">
        <w:tc>
          <w:tcPr>
            <w:tcW w:w="419" w:type="dxa"/>
            <w:vMerge w:val="restart"/>
            <w:textDirection w:val="btLr"/>
          </w:tcPr>
          <w:p w14:paraId="04C37DB1" w14:textId="77777777" w:rsidR="00CE0D15" w:rsidRPr="001B6891" w:rsidRDefault="00CE0D15" w:rsidP="00556197">
            <w:pPr>
              <w:ind w:left="113" w:right="113"/>
              <w:jc w:val="center"/>
            </w:pPr>
            <w:r w:rsidRPr="001B6891">
              <w:t>ECOSOC</w:t>
            </w:r>
          </w:p>
        </w:tc>
        <w:tc>
          <w:tcPr>
            <w:tcW w:w="1044" w:type="dxa"/>
          </w:tcPr>
          <w:p w14:paraId="5AB9AB51" w14:textId="77777777" w:rsidR="00CE0D15" w:rsidRPr="001B6891" w:rsidRDefault="00CE0D15" w:rsidP="00556197">
            <w:r w:rsidRPr="001B6891">
              <w:t>CE</w:t>
            </w:r>
          </w:p>
        </w:tc>
        <w:tc>
          <w:tcPr>
            <w:tcW w:w="11857" w:type="dxa"/>
            <w:gridSpan w:val="8"/>
          </w:tcPr>
          <w:p w14:paraId="1FEE2F39" w14:textId="08D4C16E" w:rsidR="00CE0D15" w:rsidRDefault="00CE0D15" w:rsidP="00556197">
            <w:r w:rsidRPr="001B6891">
              <w:t xml:space="preserve">Develops mechanisms addressing the harmonization of classification and labelling criteria of chemicals and recommendations on the </w:t>
            </w:r>
            <w:r w:rsidR="00A572FB">
              <w:t xml:space="preserve">inland, </w:t>
            </w:r>
            <w:r w:rsidR="00CA59AB">
              <w:t xml:space="preserve">sea and air </w:t>
            </w:r>
            <w:r w:rsidRPr="001B6891">
              <w:t>transport of dangerous goods</w:t>
            </w:r>
            <w:r>
              <w:t>.</w:t>
            </w:r>
          </w:p>
          <w:p w14:paraId="0F966DA9" w14:textId="77777777" w:rsidR="00CE0D15" w:rsidRPr="001B6891" w:rsidRDefault="00CE0D15" w:rsidP="00556197">
            <w:r w:rsidRPr="00987E88">
              <w:t xml:space="preserve">Thanks to these harmonization mechanisms companies, countries, </w:t>
            </w:r>
            <w:proofErr w:type="gramStart"/>
            <w:r w:rsidRPr="00987E88">
              <w:t>workers</w:t>
            </w:r>
            <w:proofErr w:type="gramEnd"/>
            <w:r w:rsidRPr="00987E88">
              <w:t xml:space="preserve"> and consumers have consistent and appropriate information on the chemicals they import, produce, handle, transport or use, as well as information about their physical, health and environmental hazards through their life cycle.</w:t>
            </w:r>
          </w:p>
        </w:tc>
      </w:tr>
      <w:tr w:rsidR="00CE0D15" w:rsidRPr="001B6891" w14:paraId="43E0F1F7" w14:textId="77777777" w:rsidTr="00556197">
        <w:tc>
          <w:tcPr>
            <w:tcW w:w="419" w:type="dxa"/>
            <w:vMerge/>
          </w:tcPr>
          <w:p w14:paraId="3A602C3B" w14:textId="77777777" w:rsidR="00CE0D15" w:rsidRPr="001B6891" w:rsidRDefault="00CE0D15" w:rsidP="00556197"/>
        </w:tc>
        <w:tc>
          <w:tcPr>
            <w:tcW w:w="1044" w:type="dxa"/>
          </w:tcPr>
          <w:p w14:paraId="168D9692" w14:textId="77777777" w:rsidR="00CE0D15" w:rsidRPr="001B6891" w:rsidRDefault="00CE0D15" w:rsidP="00556197">
            <w:r w:rsidRPr="001B6891">
              <w:t>GHS SC</w:t>
            </w:r>
          </w:p>
        </w:tc>
        <w:tc>
          <w:tcPr>
            <w:tcW w:w="11857" w:type="dxa"/>
            <w:gridSpan w:val="8"/>
          </w:tcPr>
          <w:p w14:paraId="50D62F49" w14:textId="77777777" w:rsidR="00CE0D15" w:rsidRPr="001B6891" w:rsidRDefault="00CE0D15" w:rsidP="00556197">
            <w:r w:rsidRPr="001B6891">
              <w:t>Develops and updates the Globally Harmonized System of Classification and Labelling of Chemicals (GHS)</w:t>
            </w:r>
            <w:r>
              <w:t xml:space="preserve"> (</w:t>
            </w:r>
            <w:r w:rsidRPr="001C7CE7">
              <w:t xml:space="preserve">ensures the safe transport, </w:t>
            </w:r>
            <w:proofErr w:type="gramStart"/>
            <w:r w:rsidRPr="001C7CE7">
              <w:t>handling</w:t>
            </w:r>
            <w:proofErr w:type="gramEnd"/>
            <w:r w:rsidRPr="001C7CE7">
              <w:t xml:space="preserve"> and use of hazardous chemicals</w:t>
            </w:r>
            <w:r>
              <w:t>)</w:t>
            </w:r>
          </w:p>
        </w:tc>
      </w:tr>
      <w:tr w:rsidR="00CE0D15" w:rsidRPr="001B6891" w14:paraId="1C406549" w14:textId="77777777" w:rsidTr="00556197">
        <w:tc>
          <w:tcPr>
            <w:tcW w:w="419" w:type="dxa"/>
            <w:vMerge/>
          </w:tcPr>
          <w:p w14:paraId="27AF6088" w14:textId="77777777" w:rsidR="00CE0D15" w:rsidRPr="001B6891" w:rsidRDefault="00CE0D15" w:rsidP="00556197"/>
        </w:tc>
        <w:tc>
          <w:tcPr>
            <w:tcW w:w="1044" w:type="dxa"/>
          </w:tcPr>
          <w:p w14:paraId="0E17060B" w14:textId="77777777" w:rsidR="00CE0D15" w:rsidRPr="001B6891" w:rsidRDefault="00CE0D15" w:rsidP="00556197">
            <w:r w:rsidRPr="001B6891">
              <w:t>TDG SC</w:t>
            </w:r>
          </w:p>
        </w:tc>
        <w:tc>
          <w:tcPr>
            <w:tcW w:w="11857" w:type="dxa"/>
            <w:gridSpan w:val="8"/>
          </w:tcPr>
          <w:p w14:paraId="244F9629" w14:textId="77777777" w:rsidR="00CE0D15" w:rsidRPr="001B6891" w:rsidRDefault="00CE0D15" w:rsidP="00556197">
            <w:r w:rsidRPr="001B6891">
              <w:t>Develops and updates the Model Regulations on the Transport of Dangerous Goods (Orange Book)</w:t>
            </w:r>
          </w:p>
        </w:tc>
      </w:tr>
      <w:tr w:rsidR="00CE0D15" w:rsidRPr="001B6891" w14:paraId="1E0275B0" w14:textId="77777777" w:rsidTr="00556197">
        <w:trPr>
          <w:cantSplit/>
          <w:trHeight w:val="545"/>
        </w:trPr>
        <w:tc>
          <w:tcPr>
            <w:tcW w:w="419" w:type="dxa"/>
            <w:vMerge w:val="restart"/>
            <w:textDirection w:val="btLr"/>
          </w:tcPr>
          <w:p w14:paraId="6D7A5272" w14:textId="77777777" w:rsidR="00CE0D15" w:rsidRPr="001B6891" w:rsidRDefault="00CE0D15" w:rsidP="00556197">
            <w:pPr>
              <w:ind w:left="113" w:right="113"/>
              <w:jc w:val="center"/>
            </w:pPr>
            <w:r w:rsidRPr="001B6891">
              <w:t>ITC/WP.15</w:t>
            </w:r>
          </w:p>
        </w:tc>
        <w:tc>
          <w:tcPr>
            <w:tcW w:w="1044" w:type="dxa"/>
          </w:tcPr>
          <w:p w14:paraId="08B9D0B6" w14:textId="77777777" w:rsidR="00CE0D15" w:rsidRPr="001B6891" w:rsidRDefault="00CE0D15" w:rsidP="00556197">
            <w:r>
              <w:t>WP.15</w:t>
            </w:r>
          </w:p>
        </w:tc>
        <w:tc>
          <w:tcPr>
            <w:tcW w:w="11857" w:type="dxa"/>
            <w:gridSpan w:val="8"/>
          </w:tcPr>
          <w:p w14:paraId="5B887BCE" w14:textId="77777777" w:rsidR="00CE0D15" w:rsidRPr="001B6891" w:rsidRDefault="00CE0D15" w:rsidP="00556197">
            <w:r>
              <w:t>B</w:t>
            </w:r>
            <w:r w:rsidRPr="001B6891">
              <w:t>ased on the Model Regulations</w:t>
            </w:r>
            <w:r>
              <w:t>, i</w:t>
            </w:r>
            <w:r w:rsidRPr="001B6891">
              <w:t>mplement</w:t>
            </w:r>
            <w:r>
              <w:t>s the</w:t>
            </w:r>
            <w:r w:rsidRPr="001B6891">
              <w:t xml:space="preserve"> </w:t>
            </w:r>
            <w:r>
              <w:t>carriage</w:t>
            </w:r>
            <w:r w:rsidRPr="001B6891">
              <w:t xml:space="preserve"> of dangerous goods </w:t>
            </w:r>
            <w:r>
              <w:t>on roads (</w:t>
            </w:r>
            <w:r w:rsidRPr="001B6891">
              <w:t xml:space="preserve">ADR </w:t>
            </w:r>
            <w:r>
              <w:t xml:space="preserve">Agreement). </w:t>
            </w:r>
            <w:r w:rsidRPr="004B5FF9">
              <w:t>ADR and ADN ensure mutual recognitions of certificates for vehicles, vessels, drivers, etc, and provide a framework for information exchange among Contracting Parties thus contributing to reduce the number of checks and the overall waiting time at the border of vehicles and vessels transporting dangerous goods.</w:t>
            </w:r>
          </w:p>
        </w:tc>
      </w:tr>
      <w:tr w:rsidR="00CE0D15" w:rsidRPr="001B6891" w14:paraId="739EE003" w14:textId="77777777" w:rsidTr="00556197">
        <w:tc>
          <w:tcPr>
            <w:tcW w:w="419" w:type="dxa"/>
            <w:vMerge/>
          </w:tcPr>
          <w:p w14:paraId="5F69B155" w14:textId="77777777" w:rsidR="00CE0D15" w:rsidRPr="001B6891" w:rsidRDefault="00CE0D15" w:rsidP="00556197"/>
        </w:tc>
        <w:tc>
          <w:tcPr>
            <w:tcW w:w="1044" w:type="dxa"/>
          </w:tcPr>
          <w:p w14:paraId="74C50642" w14:textId="77777777" w:rsidR="00CE0D15" w:rsidRPr="001B6891" w:rsidRDefault="00CE0D15" w:rsidP="00556197">
            <w:r>
              <w:t>WP.15/AC.1</w:t>
            </w:r>
          </w:p>
        </w:tc>
        <w:tc>
          <w:tcPr>
            <w:tcW w:w="11857" w:type="dxa"/>
            <w:gridSpan w:val="8"/>
          </w:tcPr>
          <w:p w14:paraId="458DFFE5" w14:textId="77777777" w:rsidR="00CE0D15" w:rsidRPr="001B6891" w:rsidRDefault="00CE0D15" w:rsidP="00556197">
            <w:r>
              <w:t xml:space="preserve">Coordinates the </w:t>
            </w:r>
            <w:r w:rsidRPr="00482105">
              <w:t xml:space="preserve">harmonization of </w:t>
            </w:r>
            <w:r>
              <w:t xml:space="preserve">the provisions of </w:t>
            </w:r>
            <w:r w:rsidRPr="00482105">
              <w:t>RID/ADR/ADN with the UN</w:t>
            </w:r>
            <w:r>
              <w:t xml:space="preserve"> </w:t>
            </w:r>
            <w:r w:rsidRPr="00482105">
              <w:t>Recommendations on the Transport of Dangerous Goods, Model Regulations</w:t>
            </w:r>
          </w:p>
        </w:tc>
      </w:tr>
      <w:tr w:rsidR="00CE0D15" w:rsidRPr="001B6891" w14:paraId="02367793" w14:textId="77777777" w:rsidTr="00556197">
        <w:tc>
          <w:tcPr>
            <w:tcW w:w="419" w:type="dxa"/>
            <w:vMerge/>
          </w:tcPr>
          <w:p w14:paraId="3104BB8B" w14:textId="77777777" w:rsidR="00CE0D15" w:rsidRPr="001B6891" w:rsidRDefault="00CE0D15" w:rsidP="00556197"/>
        </w:tc>
        <w:tc>
          <w:tcPr>
            <w:tcW w:w="1044" w:type="dxa"/>
          </w:tcPr>
          <w:p w14:paraId="1D9B7F11" w14:textId="77777777" w:rsidR="00CE0D15" w:rsidRDefault="00CE0D15" w:rsidP="00556197">
            <w:r>
              <w:t>WP.15/AC.2</w:t>
            </w:r>
          </w:p>
        </w:tc>
        <w:tc>
          <w:tcPr>
            <w:tcW w:w="11857" w:type="dxa"/>
            <w:gridSpan w:val="8"/>
          </w:tcPr>
          <w:p w14:paraId="71667229" w14:textId="77777777" w:rsidR="00CE0D15" w:rsidRDefault="00CE0D15" w:rsidP="00556197">
            <w:r>
              <w:t>B</w:t>
            </w:r>
            <w:r w:rsidRPr="001B6891">
              <w:t>ased on the Model Regulations</w:t>
            </w:r>
            <w:r>
              <w:t>, i</w:t>
            </w:r>
            <w:r w:rsidRPr="001B6891">
              <w:t>mplement</w:t>
            </w:r>
            <w:r>
              <w:t>s the</w:t>
            </w:r>
            <w:r w:rsidRPr="001B6891">
              <w:t xml:space="preserve"> </w:t>
            </w:r>
            <w:r>
              <w:t>carriage</w:t>
            </w:r>
            <w:r w:rsidRPr="001B6891">
              <w:t xml:space="preserve"> of dangerous goods </w:t>
            </w:r>
            <w:r>
              <w:t>on inland waterways (ADN Agreement). The</w:t>
            </w:r>
            <w:r w:rsidRPr="00DB01B1">
              <w:t xml:space="preserve"> implementation contributes to minimise risks of release into the environment thus preventing water</w:t>
            </w:r>
            <w:r>
              <w:t xml:space="preserve"> </w:t>
            </w:r>
            <w:r w:rsidRPr="00DB01B1">
              <w:t>contamination</w:t>
            </w:r>
            <w:r>
              <w:t>.</w:t>
            </w:r>
          </w:p>
        </w:tc>
      </w:tr>
    </w:tbl>
    <w:p w14:paraId="7E95EC6F" w14:textId="77777777" w:rsidR="00CE0D15" w:rsidRPr="001B6891" w:rsidRDefault="00CE0D15" w:rsidP="00CE0D15"/>
    <w:p w14:paraId="6D5563EC" w14:textId="54C4CCDB" w:rsidR="00F74D18" w:rsidRDefault="00CE0D15" w:rsidP="005A116E">
      <w:pPr>
        <w:widowControl w:val="0"/>
        <w:jc w:val="center"/>
      </w:pPr>
      <w:r>
        <w:t>_________________</w:t>
      </w:r>
    </w:p>
    <w:sectPr w:rsidR="00F74D18" w:rsidSect="00A60CB6">
      <w:pgSz w:w="16840" w:h="11907" w:orient="landscape" w:code="9"/>
      <w:pgMar w:top="851" w:right="1418" w:bottom="993"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CDF4" w14:textId="77777777" w:rsidR="00151E9B" w:rsidRDefault="00151E9B"/>
  </w:endnote>
  <w:endnote w:type="continuationSeparator" w:id="0">
    <w:p w14:paraId="0B8AEB08" w14:textId="77777777" w:rsidR="00151E9B" w:rsidRDefault="00151E9B"/>
  </w:endnote>
  <w:endnote w:type="continuationNotice" w:id="1">
    <w:p w14:paraId="76AF11CF" w14:textId="77777777" w:rsidR="00151E9B" w:rsidRDefault="0015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rsidP="00CB650D">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884F" w14:textId="77777777" w:rsidR="00151E9B" w:rsidRPr="000B175B" w:rsidRDefault="00151E9B" w:rsidP="000B175B">
      <w:pPr>
        <w:tabs>
          <w:tab w:val="right" w:pos="2155"/>
        </w:tabs>
        <w:spacing w:after="80"/>
        <w:ind w:left="680"/>
        <w:rPr>
          <w:u w:val="single"/>
        </w:rPr>
      </w:pPr>
      <w:r>
        <w:rPr>
          <w:u w:val="single"/>
        </w:rPr>
        <w:tab/>
      </w:r>
    </w:p>
  </w:footnote>
  <w:footnote w:type="continuationSeparator" w:id="0">
    <w:p w14:paraId="4216EE2E" w14:textId="77777777" w:rsidR="00151E9B" w:rsidRPr="00FC68B7" w:rsidRDefault="00151E9B" w:rsidP="00FC68B7">
      <w:pPr>
        <w:tabs>
          <w:tab w:val="left" w:pos="2155"/>
        </w:tabs>
        <w:spacing w:after="80"/>
        <w:ind w:left="680"/>
        <w:rPr>
          <w:u w:val="single"/>
        </w:rPr>
      </w:pPr>
      <w:r>
        <w:rPr>
          <w:u w:val="single"/>
        </w:rPr>
        <w:tab/>
      </w:r>
    </w:p>
  </w:footnote>
  <w:footnote w:type="continuationNotice" w:id="1">
    <w:p w14:paraId="40C35338" w14:textId="77777777" w:rsidR="00151E9B" w:rsidRDefault="00151E9B"/>
  </w:footnote>
  <w:footnote w:id="2">
    <w:p w14:paraId="31F27C9D" w14:textId="77777777" w:rsidR="004D31DB" w:rsidRPr="00CC2FF5" w:rsidRDefault="004D31DB" w:rsidP="004D31DB">
      <w:pPr>
        <w:pStyle w:val="FootnoteText"/>
        <w:rPr>
          <w:lang w:val="fr-CH"/>
        </w:rPr>
      </w:pPr>
      <w:r>
        <w:tab/>
      </w:r>
      <w:r>
        <w:rPr>
          <w:rStyle w:val="FootnoteReference"/>
        </w:rPr>
        <w:footnoteRef/>
      </w:r>
      <w:r>
        <w:t xml:space="preserve"> </w:t>
      </w:r>
      <w:r>
        <w:tab/>
      </w:r>
      <w:r w:rsidRPr="00B41336">
        <w:rPr>
          <w:lang w:val="en-GB"/>
        </w:rPr>
        <w:t xml:space="preserve">Including the International Maritime Dangerous Goods Code </w:t>
      </w:r>
      <w:r>
        <w:rPr>
          <w:lang w:val="en-GB"/>
        </w:rPr>
        <w:t xml:space="preserve">(IMDG) </w:t>
      </w:r>
      <w:r w:rsidRPr="00B41336">
        <w:rPr>
          <w:lang w:val="en-GB"/>
        </w:rPr>
        <w:t xml:space="preserve">of the International Maritime Organization (IMO), the Technical Instructions </w:t>
      </w:r>
      <w:r>
        <w:rPr>
          <w:lang w:val="en-GB"/>
        </w:rPr>
        <w:t xml:space="preserve">(TI) </w:t>
      </w:r>
      <w:r w:rsidRPr="00B41336">
        <w:rPr>
          <w:lang w:val="en-GB"/>
        </w:rPr>
        <w:t xml:space="preserve">of the International Civil Aviation Organization (ICAO) and the Safety Standards for </w:t>
      </w:r>
      <w:r>
        <w:rPr>
          <w:lang w:val="en-GB"/>
        </w:rPr>
        <w:t>R</w:t>
      </w:r>
      <w:r w:rsidRPr="00B41336">
        <w:rPr>
          <w:lang w:val="en-GB"/>
        </w:rPr>
        <w:t xml:space="preserve">adioactive </w:t>
      </w:r>
      <w:r>
        <w:rPr>
          <w:lang w:val="en-GB"/>
        </w:rPr>
        <w:t>M</w:t>
      </w:r>
      <w:r w:rsidRPr="00B41336">
        <w:rPr>
          <w:lang w:val="en-GB"/>
        </w:rPr>
        <w:t xml:space="preserve">aterial </w:t>
      </w:r>
      <w:r>
        <w:rPr>
          <w:lang w:val="en-GB"/>
        </w:rPr>
        <w:t xml:space="preserve">(SSR-6) </w:t>
      </w:r>
      <w:r w:rsidRPr="00B41336">
        <w:rPr>
          <w:lang w:val="en-GB"/>
        </w:rPr>
        <w:t>of International Atomic Energy Agency (IAEA).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141F349C" w:rsidR="00652CFC" w:rsidRPr="00652CFC" w:rsidRDefault="00C3219B" w:rsidP="00BA3AEB">
    <w:pPr>
      <w:jc w:val="center"/>
      <w:rPr>
        <w:lang w:val="fr-CH"/>
      </w:rPr>
    </w:pPr>
    <w:r>
      <w:rPr>
        <w:b/>
        <w:bCs/>
      </w:rPr>
      <w:t>Annex</w:t>
    </w:r>
    <w:r w:rsidR="00E64549">
      <w:rPr>
        <w:b/>
        <w:bCs/>
      </w:rPr>
      <w:t xml:space="preserve">: </w:t>
    </w:r>
    <w:r w:rsidR="00BA3AEB" w:rsidRPr="00BA3742">
      <w:rPr>
        <w:b/>
        <w:bCs/>
      </w:rPr>
      <w:t>ECOSOC/ITC subsidiary bodies in charge of the transport of dangerous goods provides regulatory work, capacity building and analytical work on SDGs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2CF5BD0E" w:rsidR="00652CFC" w:rsidRPr="00652CFC" w:rsidRDefault="00652CFC" w:rsidP="00F62D2C">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48AE9277" w:rsidR="00872E49" w:rsidRPr="0040379D" w:rsidRDefault="0040379D" w:rsidP="0040379D">
    <w:pPr>
      <w:pStyle w:val="Header"/>
      <w:pBdr>
        <w:bottom w:val="none" w:sz="0" w:space="0" w:color="auto"/>
      </w:pBdr>
      <w:jc w:val="center"/>
    </w:pPr>
    <w:r w:rsidRPr="0040379D">
      <w:t>ECOSOC/ITC subsidiary bodies in charge of the transport of dangerous goods provides regulatory work, capacity building and analytical work on SDGs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28"/>
  </w:num>
  <w:num w:numId="15" w16cid:durableId="1918859082">
    <w:abstractNumId w:val="16"/>
  </w:num>
  <w:num w:numId="16" w16cid:durableId="352342099">
    <w:abstractNumId w:val="13"/>
  </w:num>
  <w:num w:numId="17" w16cid:durableId="1027408441">
    <w:abstractNumId w:val="30"/>
  </w:num>
  <w:num w:numId="18" w16cid:durableId="78060936">
    <w:abstractNumId w:val="17"/>
  </w:num>
  <w:num w:numId="19" w16cid:durableId="1631209920">
    <w:abstractNumId w:val="31"/>
  </w:num>
  <w:num w:numId="20" w16cid:durableId="1282761901">
    <w:abstractNumId w:val="25"/>
  </w:num>
  <w:num w:numId="21" w16cid:durableId="1450857240">
    <w:abstractNumId w:val="29"/>
  </w:num>
  <w:num w:numId="22" w16cid:durableId="302586995">
    <w:abstractNumId w:val="14"/>
  </w:num>
  <w:num w:numId="23" w16cid:durableId="645086031">
    <w:abstractNumId w:val="26"/>
  </w:num>
  <w:num w:numId="24" w16cid:durableId="1267810753">
    <w:abstractNumId w:val="27"/>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6DC2"/>
    <w:rsid w:val="0001176F"/>
    <w:rsid w:val="00020276"/>
    <w:rsid w:val="000217B5"/>
    <w:rsid w:val="0002216E"/>
    <w:rsid w:val="00023CB0"/>
    <w:rsid w:val="000305B1"/>
    <w:rsid w:val="00036B9E"/>
    <w:rsid w:val="00037F90"/>
    <w:rsid w:val="000412D8"/>
    <w:rsid w:val="00042AF8"/>
    <w:rsid w:val="00044805"/>
    <w:rsid w:val="00044F99"/>
    <w:rsid w:val="00045BBE"/>
    <w:rsid w:val="00046B1F"/>
    <w:rsid w:val="00047DD3"/>
    <w:rsid w:val="00050F6B"/>
    <w:rsid w:val="00052E55"/>
    <w:rsid w:val="00053947"/>
    <w:rsid w:val="00056C55"/>
    <w:rsid w:val="00057E97"/>
    <w:rsid w:val="00063ABA"/>
    <w:rsid w:val="00064E9A"/>
    <w:rsid w:val="000657C0"/>
    <w:rsid w:val="00072C8C"/>
    <w:rsid w:val="000733B5"/>
    <w:rsid w:val="00081815"/>
    <w:rsid w:val="00083DAB"/>
    <w:rsid w:val="000860F4"/>
    <w:rsid w:val="000931C0"/>
    <w:rsid w:val="000943A1"/>
    <w:rsid w:val="00096262"/>
    <w:rsid w:val="00097556"/>
    <w:rsid w:val="000A3752"/>
    <w:rsid w:val="000A7267"/>
    <w:rsid w:val="000B0595"/>
    <w:rsid w:val="000B1000"/>
    <w:rsid w:val="000B1660"/>
    <w:rsid w:val="000B175B"/>
    <w:rsid w:val="000B296B"/>
    <w:rsid w:val="000B3A0F"/>
    <w:rsid w:val="000B4EF7"/>
    <w:rsid w:val="000B633F"/>
    <w:rsid w:val="000C1287"/>
    <w:rsid w:val="000C2C03"/>
    <w:rsid w:val="000C2D2E"/>
    <w:rsid w:val="000C3ED1"/>
    <w:rsid w:val="000C4D51"/>
    <w:rsid w:val="000C597E"/>
    <w:rsid w:val="000C6224"/>
    <w:rsid w:val="000C7F79"/>
    <w:rsid w:val="000D1F0E"/>
    <w:rsid w:val="000D4562"/>
    <w:rsid w:val="000D5404"/>
    <w:rsid w:val="000E0415"/>
    <w:rsid w:val="000E08C2"/>
    <w:rsid w:val="000E4B01"/>
    <w:rsid w:val="000F1EA9"/>
    <w:rsid w:val="000F4FF6"/>
    <w:rsid w:val="000F567A"/>
    <w:rsid w:val="0010391C"/>
    <w:rsid w:val="00104CDA"/>
    <w:rsid w:val="00105827"/>
    <w:rsid w:val="00105935"/>
    <w:rsid w:val="001103AA"/>
    <w:rsid w:val="00115C11"/>
    <w:rsid w:val="0011666B"/>
    <w:rsid w:val="00120E43"/>
    <w:rsid w:val="001247DF"/>
    <w:rsid w:val="00125117"/>
    <w:rsid w:val="00126221"/>
    <w:rsid w:val="00127810"/>
    <w:rsid w:val="001343BC"/>
    <w:rsid w:val="001416D0"/>
    <w:rsid w:val="00147BD7"/>
    <w:rsid w:val="00151686"/>
    <w:rsid w:val="00151E9B"/>
    <w:rsid w:val="00155068"/>
    <w:rsid w:val="001555BF"/>
    <w:rsid w:val="00156009"/>
    <w:rsid w:val="001575FF"/>
    <w:rsid w:val="00165F3A"/>
    <w:rsid w:val="001746AD"/>
    <w:rsid w:val="001766DA"/>
    <w:rsid w:val="00180AB0"/>
    <w:rsid w:val="001818BC"/>
    <w:rsid w:val="00186205"/>
    <w:rsid w:val="00191AE0"/>
    <w:rsid w:val="00195ED3"/>
    <w:rsid w:val="001A57BD"/>
    <w:rsid w:val="001A6E55"/>
    <w:rsid w:val="001B13A5"/>
    <w:rsid w:val="001B2401"/>
    <w:rsid w:val="001B4375"/>
    <w:rsid w:val="001B4B04"/>
    <w:rsid w:val="001B68BC"/>
    <w:rsid w:val="001C1DF0"/>
    <w:rsid w:val="001C50CD"/>
    <w:rsid w:val="001C6663"/>
    <w:rsid w:val="001C7895"/>
    <w:rsid w:val="001D0C8C"/>
    <w:rsid w:val="001D1419"/>
    <w:rsid w:val="001D26DF"/>
    <w:rsid w:val="001D3A03"/>
    <w:rsid w:val="001D64BB"/>
    <w:rsid w:val="001D7AD4"/>
    <w:rsid w:val="001E0495"/>
    <w:rsid w:val="001E0B9E"/>
    <w:rsid w:val="001E300A"/>
    <w:rsid w:val="001E45CD"/>
    <w:rsid w:val="001E49E0"/>
    <w:rsid w:val="001E7B67"/>
    <w:rsid w:val="001F1E44"/>
    <w:rsid w:val="001F34E3"/>
    <w:rsid w:val="001F5970"/>
    <w:rsid w:val="001F6DCC"/>
    <w:rsid w:val="001F7435"/>
    <w:rsid w:val="00202DA8"/>
    <w:rsid w:val="00203753"/>
    <w:rsid w:val="00207463"/>
    <w:rsid w:val="002102FF"/>
    <w:rsid w:val="0021114C"/>
    <w:rsid w:val="0021157B"/>
    <w:rsid w:val="00211DC0"/>
    <w:rsid w:val="00211E0B"/>
    <w:rsid w:val="00222436"/>
    <w:rsid w:val="002248F2"/>
    <w:rsid w:val="0023272F"/>
    <w:rsid w:val="0023305C"/>
    <w:rsid w:val="002336E0"/>
    <w:rsid w:val="00236DA5"/>
    <w:rsid w:val="00236F7D"/>
    <w:rsid w:val="0024023A"/>
    <w:rsid w:val="00241E38"/>
    <w:rsid w:val="00243217"/>
    <w:rsid w:val="00243B56"/>
    <w:rsid w:val="002460CA"/>
    <w:rsid w:val="002500D9"/>
    <w:rsid w:val="00252290"/>
    <w:rsid w:val="00252ADF"/>
    <w:rsid w:val="0025693F"/>
    <w:rsid w:val="00260898"/>
    <w:rsid w:val="00263469"/>
    <w:rsid w:val="00265023"/>
    <w:rsid w:val="0026532A"/>
    <w:rsid w:val="00265963"/>
    <w:rsid w:val="00267AAF"/>
    <w:rsid w:val="00267F5F"/>
    <w:rsid w:val="002732EE"/>
    <w:rsid w:val="002844CF"/>
    <w:rsid w:val="00286B4D"/>
    <w:rsid w:val="0028721F"/>
    <w:rsid w:val="002877DD"/>
    <w:rsid w:val="002925FF"/>
    <w:rsid w:val="00293582"/>
    <w:rsid w:val="002A009E"/>
    <w:rsid w:val="002A138A"/>
    <w:rsid w:val="002A2828"/>
    <w:rsid w:val="002A3C85"/>
    <w:rsid w:val="002A603B"/>
    <w:rsid w:val="002A68EA"/>
    <w:rsid w:val="002A6F3C"/>
    <w:rsid w:val="002B5C1D"/>
    <w:rsid w:val="002B6DC4"/>
    <w:rsid w:val="002C2884"/>
    <w:rsid w:val="002C3210"/>
    <w:rsid w:val="002C4B75"/>
    <w:rsid w:val="002D4643"/>
    <w:rsid w:val="002D4B6C"/>
    <w:rsid w:val="002D659E"/>
    <w:rsid w:val="002E26B9"/>
    <w:rsid w:val="002E3026"/>
    <w:rsid w:val="002F175C"/>
    <w:rsid w:val="003007DB"/>
    <w:rsid w:val="00302E18"/>
    <w:rsid w:val="003032E0"/>
    <w:rsid w:val="003050A4"/>
    <w:rsid w:val="0030606F"/>
    <w:rsid w:val="00307541"/>
    <w:rsid w:val="00310FC9"/>
    <w:rsid w:val="00311AD3"/>
    <w:rsid w:val="003126E7"/>
    <w:rsid w:val="003204CE"/>
    <w:rsid w:val="00321582"/>
    <w:rsid w:val="003229D8"/>
    <w:rsid w:val="00325EE8"/>
    <w:rsid w:val="0033051B"/>
    <w:rsid w:val="003358CF"/>
    <w:rsid w:val="00337BA0"/>
    <w:rsid w:val="00337E4E"/>
    <w:rsid w:val="00340F2D"/>
    <w:rsid w:val="0034177B"/>
    <w:rsid w:val="0034181E"/>
    <w:rsid w:val="00345184"/>
    <w:rsid w:val="003505DA"/>
    <w:rsid w:val="00350A2F"/>
    <w:rsid w:val="00350D88"/>
    <w:rsid w:val="00352709"/>
    <w:rsid w:val="00355417"/>
    <w:rsid w:val="003571EA"/>
    <w:rsid w:val="00360391"/>
    <w:rsid w:val="003635B9"/>
    <w:rsid w:val="00371178"/>
    <w:rsid w:val="003728AA"/>
    <w:rsid w:val="00376EEB"/>
    <w:rsid w:val="00377883"/>
    <w:rsid w:val="0038088E"/>
    <w:rsid w:val="003826D3"/>
    <w:rsid w:val="0038272B"/>
    <w:rsid w:val="00383710"/>
    <w:rsid w:val="0038743C"/>
    <w:rsid w:val="0039354D"/>
    <w:rsid w:val="003956BD"/>
    <w:rsid w:val="003958E4"/>
    <w:rsid w:val="00396800"/>
    <w:rsid w:val="00397DF6"/>
    <w:rsid w:val="003A480D"/>
    <w:rsid w:val="003A53DA"/>
    <w:rsid w:val="003A593B"/>
    <w:rsid w:val="003A6810"/>
    <w:rsid w:val="003A72D7"/>
    <w:rsid w:val="003A7F75"/>
    <w:rsid w:val="003B0571"/>
    <w:rsid w:val="003B148D"/>
    <w:rsid w:val="003B311A"/>
    <w:rsid w:val="003B36D1"/>
    <w:rsid w:val="003B56C1"/>
    <w:rsid w:val="003C0F17"/>
    <w:rsid w:val="003C2CC4"/>
    <w:rsid w:val="003C6BCE"/>
    <w:rsid w:val="003C732E"/>
    <w:rsid w:val="003C7C2C"/>
    <w:rsid w:val="003C7D8F"/>
    <w:rsid w:val="003D0957"/>
    <w:rsid w:val="003D49AC"/>
    <w:rsid w:val="003D4B23"/>
    <w:rsid w:val="003D5DB4"/>
    <w:rsid w:val="003E0C3C"/>
    <w:rsid w:val="003E71E8"/>
    <w:rsid w:val="00400297"/>
    <w:rsid w:val="0040379D"/>
    <w:rsid w:val="00405491"/>
    <w:rsid w:val="00410C89"/>
    <w:rsid w:val="00410FEC"/>
    <w:rsid w:val="00414137"/>
    <w:rsid w:val="0042260F"/>
    <w:rsid w:val="004226EE"/>
    <w:rsid w:val="00422E03"/>
    <w:rsid w:val="00426B9B"/>
    <w:rsid w:val="004325CB"/>
    <w:rsid w:val="00433A32"/>
    <w:rsid w:val="004356D2"/>
    <w:rsid w:val="00435F27"/>
    <w:rsid w:val="00442A83"/>
    <w:rsid w:val="004532AC"/>
    <w:rsid w:val="0045495B"/>
    <w:rsid w:val="00455F38"/>
    <w:rsid w:val="00461D1B"/>
    <w:rsid w:val="00461F7D"/>
    <w:rsid w:val="00462B09"/>
    <w:rsid w:val="00464C81"/>
    <w:rsid w:val="0046571F"/>
    <w:rsid w:val="0048397A"/>
    <w:rsid w:val="00483F1B"/>
    <w:rsid w:val="00484E25"/>
    <w:rsid w:val="00491006"/>
    <w:rsid w:val="004962EF"/>
    <w:rsid w:val="00496740"/>
    <w:rsid w:val="004A12F2"/>
    <w:rsid w:val="004A28A3"/>
    <w:rsid w:val="004A30AB"/>
    <w:rsid w:val="004A6561"/>
    <w:rsid w:val="004B138F"/>
    <w:rsid w:val="004B1892"/>
    <w:rsid w:val="004B3010"/>
    <w:rsid w:val="004B484F"/>
    <w:rsid w:val="004C2461"/>
    <w:rsid w:val="004C408F"/>
    <w:rsid w:val="004C64C0"/>
    <w:rsid w:val="004C7462"/>
    <w:rsid w:val="004D12C5"/>
    <w:rsid w:val="004D31DB"/>
    <w:rsid w:val="004D440A"/>
    <w:rsid w:val="004D4E04"/>
    <w:rsid w:val="004D5426"/>
    <w:rsid w:val="004E065B"/>
    <w:rsid w:val="004E0C05"/>
    <w:rsid w:val="004E369D"/>
    <w:rsid w:val="004E3AA8"/>
    <w:rsid w:val="004E69B9"/>
    <w:rsid w:val="004E6E17"/>
    <w:rsid w:val="004E77B2"/>
    <w:rsid w:val="004F3D1D"/>
    <w:rsid w:val="004F774C"/>
    <w:rsid w:val="0050175B"/>
    <w:rsid w:val="00503DEB"/>
    <w:rsid w:val="00504B2D"/>
    <w:rsid w:val="005072AF"/>
    <w:rsid w:val="00507993"/>
    <w:rsid w:val="00514A11"/>
    <w:rsid w:val="0052136D"/>
    <w:rsid w:val="00522B58"/>
    <w:rsid w:val="00523CD7"/>
    <w:rsid w:val="005258AB"/>
    <w:rsid w:val="00527321"/>
    <w:rsid w:val="0052775E"/>
    <w:rsid w:val="005313DD"/>
    <w:rsid w:val="00535506"/>
    <w:rsid w:val="00537388"/>
    <w:rsid w:val="0054171D"/>
    <w:rsid w:val="005420F2"/>
    <w:rsid w:val="00542540"/>
    <w:rsid w:val="00543B68"/>
    <w:rsid w:val="00545752"/>
    <w:rsid w:val="00546993"/>
    <w:rsid w:val="005501AB"/>
    <w:rsid w:val="00550806"/>
    <w:rsid w:val="0056075B"/>
    <w:rsid w:val="00560FD7"/>
    <w:rsid w:val="005628B6"/>
    <w:rsid w:val="00562CBB"/>
    <w:rsid w:val="00566FC4"/>
    <w:rsid w:val="00571EAB"/>
    <w:rsid w:val="00573E03"/>
    <w:rsid w:val="00574011"/>
    <w:rsid w:val="00574886"/>
    <w:rsid w:val="00583F2D"/>
    <w:rsid w:val="00584B44"/>
    <w:rsid w:val="00586813"/>
    <w:rsid w:val="005873C1"/>
    <w:rsid w:val="0059363D"/>
    <w:rsid w:val="00596FD5"/>
    <w:rsid w:val="005970A6"/>
    <w:rsid w:val="00597863"/>
    <w:rsid w:val="005A116E"/>
    <w:rsid w:val="005A29A3"/>
    <w:rsid w:val="005A2A87"/>
    <w:rsid w:val="005A6036"/>
    <w:rsid w:val="005A753B"/>
    <w:rsid w:val="005B12FC"/>
    <w:rsid w:val="005B232C"/>
    <w:rsid w:val="005B2B2D"/>
    <w:rsid w:val="005B3DB3"/>
    <w:rsid w:val="005B47EF"/>
    <w:rsid w:val="005B4E13"/>
    <w:rsid w:val="005B7628"/>
    <w:rsid w:val="005C26C5"/>
    <w:rsid w:val="005C32D3"/>
    <w:rsid w:val="005C4EA4"/>
    <w:rsid w:val="005C59C7"/>
    <w:rsid w:val="005C5A1C"/>
    <w:rsid w:val="005C68F0"/>
    <w:rsid w:val="005D0CF6"/>
    <w:rsid w:val="005D2A29"/>
    <w:rsid w:val="005D338C"/>
    <w:rsid w:val="005D50B2"/>
    <w:rsid w:val="005D7F39"/>
    <w:rsid w:val="005E1472"/>
    <w:rsid w:val="005E6A77"/>
    <w:rsid w:val="005F1010"/>
    <w:rsid w:val="005F625F"/>
    <w:rsid w:val="005F6817"/>
    <w:rsid w:val="005F7B75"/>
    <w:rsid w:val="006001EE"/>
    <w:rsid w:val="00605042"/>
    <w:rsid w:val="0060537B"/>
    <w:rsid w:val="00606302"/>
    <w:rsid w:val="006109EB"/>
    <w:rsid w:val="00611FC4"/>
    <w:rsid w:val="00612219"/>
    <w:rsid w:val="0061457E"/>
    <w:rsid w:val="006176FB"/>
    <w:rsid w:val="00617A33"/>
    <w:rsid w:val="0062198A"/>
    <w:rsid w:val="00622435"/>
    <w:rsid w:val="00630BAF"/>
    <w:rsid w:val="00632383"/>
    <w:rsid w:val="00640B26"/>
    <w:rsid w:val="0064256C"/>
    <w:rsid w:val="00643033"/>
    <w:rsid w:val="0064339C"/>
    <w:rsid w:val="00643FDE"/>
    <w:rsid w:val="00652CFC"/>
    <w:rsid w:val="00652D0A"/>
    <w:rsid w:val="006537F2"/>
    <w:rsid w:val="00654204"/>
    <w:rsid w:val="00654B4F"/>
    <w:rsid w:val="00654F44"/>
    <w:rsid w:val="00657C7B"/>
    <w:rsid w:val="006623D5"/>
    <w:rsid w:val="00662BB6"/>
    <w:rsid w:val="0066353E"/>
    <w:rsid w:val="00665C52"/>
    <w:rsid w:val="006669EC"/>
    <w:rsid w:val="00667F8F"/>
    <w:rsid w:val="0067369E"/>
    <w:rsid w:val="006741C5"/>
    <w:rsid w:val="006741F1"/>
    <w:rsid w:val="00674849"/>
    <w:rsid w:val="00684C21"/>
    <w:rsid w:val="00692E0E"/>
    <w:rsid w:val="006A0D0E"/>
    <w:rsid w:val="006A2530"/>
    <w:rsid w:val="006A5A42"/>
    <w:rsid w:val="006A67FC"/>
    <w:rsid w:val="006A6AEA"/>
    <w:rsid w:val="006B1C12"/>
    <w:rsid w:val="006C025F"/>
    <w:rsid w:val="006C04FA"/>
    <w:rsid w:val="006C33AB"/>
    <w:rsid w:val="006C3454"/>
    <w:rsid w:val="006C3589"/>
    <w:rsid w:val="006C47A1"/>
    <w:rsid w:val="006C58E0"/>
    <w:rsid w:val="006D37AF"/>
    <w:rsid w:val="006D51D0"/>
    <w:rsid w:val="006E2AE8"/>
    <w:rsid w:val="006E564B"/>
    <w:rsid w:val="006E686D"/>
    <w:rsid w:val="006E7191"/>
    <w:rsid w:val="006F6AF0"/>
    <w:rsid w:val="00703577"/>
    <w:rsid w:val="00705894"/>
    <w:rsid w:val="007067C3"/>
    <w:rsid w:val="00707FA4"/>
    <w:rsid w:val="007101A2"/>
    <w:rsid w:val="0071408E"/>
    <w:rsid w:val="0072632A"/>
    <w:rsid w:val="007327D5"/>
    <w:rsid w:val="007351B4"/>
    <w:rsid w:val="00736532"/>
    <w:rsid w:val="00740B63"/>
    <w:rsid w:val="00741788"/>
    <w:rsid w:val="007431D0"/>
    <w:rsid w:val="00743D8C"/>
    <w:rsid w:val="00745078"/>
    <w:rsid w:val="00753C6F"/>
    <w:rsid w:val="00755A39"/>
    <w:rsid w:val="00760A73"/>
    <w:rsid w:val="007611CF"/>
    <w:rsid w:val="00761787"/>
    <w:rsid w:val="007629C8"/>
    <w:rsid w:val="00762CB8"/>
    <w:rsid w:val="00762E79"/>
    <w:rsid w:val="00764668"/>
    <w:rsid w:val="00767D5D"/>
    <w:rsid w:val="0077047D"/>
    <w:rsid w:val="00771625"/>
    <w:rsid w:val="00771856"/>
    <w:rsid w:val="00776430"/>
    <w:rsid w:val="0077656F"/>
    <w:rsid w:val="0077673D"/>
    <w:rsid w:val="00776ACF"/>
    <w:rsid w:val="007840E3"/>
    <w:rsid w:val="00790C8F"/>
    <w:rsid w:val="00792538"/>
    <w:rsid w:val="007967A2"/>
    <w:rsid w:val="00797575"/>
    <w:rsid w:val="007A0948"/>
    <w:rsid w:val="007A1B1D"/>
    <w:rsid w:val="007A336A"/>
    <w:rsid w:val="007A37A6"/>
    <w:rsid w:val="007A57F3"/>
    <w:rsid w:val="007B6BA5"/>
    <w:rsid w:val="007C3390"/>
    <w:rsid w:val="007C4F4B"/>
    <w:rsid w:val="007C7103"/>
    <w:rsid w:val="007D65E9"/>
    <w:rsid w:val="007D6759"/>
    <w:rsid w:val="007E01E9"/>
    <w:rsid w:val="007E0612"/>
    <w:rsid w:val="007E09DE"/>
    <w:rsid w:val="007E5239"/>
    <w:rsid w:val="007E63F3"/>
    <w:rsid w:val="007E640C"/>
    <w:rsid w:val="007E6B6D"/>
    <w:rsid w:val="007F10B4"/>
    <w:rsid w:val="007F13F4"/>
    <w:rsid w:val="007F1F2D"/>
    <w:rsid w:val="007F2635"/>
    <w:rsid w:val="007F6611"/>
    <w:rsid w:val="007F6CA4"/>
    <w:rsid w:val="007F7106"/>
    <w:rsid w:val="007F7A86"/>
    <w:rsid w:val="00802E12"/>
    <w:rsid w:val="008031DD"/>
    <w:rsid w:val="00803D96"/>
    <w:rsid w:val="00807CE3"/>
    <w:rsid w:val="008116D7"/>
    <w:rsid w:val="00811920"/>
    <w:rsid w:val="00815AD0"/>
    <w:rsid w:val="00816C50"/>
    <w:rsid w:val="00817BDE"/>
    <w:rsid w:val="0082020F"/>
    <w:rsid w:val="008214F7"/>
    <w:rsid w:val="008242D7"/>
    <w:rsid w:val="008257B1"/>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3EA7"/>
    <w:rsid w:val="00887652"/>
    <w:rsid w:val="008878DE"/>
    <w:rsid w:val="008902CE"/>
    <w:rsid w:val="00892127"/>
    <w:rsid w:val="0089284A"/>
    <w:rsid w:val="00892CEC"/>
    <w:rsid w:val="008979B1"/>
    <w:rsid w:val="008A3C44"/>
    <w:rsid w:val="008A6B25"/>
    <w:rsid w:val="008A6C4F"/>
    <w:rsid w:val="008A7B69"/>
    <w:rsid w:val="008B0738"/>
    <w:rsid w:val="008B0D3D"/>
    <w:rsid w:val="008B216F"/>
    <w:rsid w:val="008B2335"/>
    <w:rsid w:val="008B394B"/>
    <w:rsid w:val="008C3B43"/>
    <w:rsid w:val="008C7DAF"/>
    <w:rsid w:val="008D78BD"/>
    <w:rsid w:val="008E0678"/>
    <w:rsid w:val="008E06E0"/>
    <w:rsid w:val="008E0DAA"/>
    <w:rsid w:val="008E4D3A"/>
    <w:rsid w:val="008F2699"/>
    <w:rsid w:val="008F2FC1"/>
    <w:rsid w:val="008F741A"/>
    <w:rsid w:val="00904A55"/>
    <w:rsid w:val="00907DE4"/>
    <w:rsid w:val="0091260B"/>
    <w:rsid w:val="00915B39"/>
    <w:rsid w:val="009223CA"/>
    <w:rsid w:val="00923CCF"/>
    <w:rsid w:val="0093288D"/>
    <w:rsid w:val="00932EF9"/>
    <w:rsid w:val="0093354C"/>
    <w:rsid w:val="00937D11"/>
    <w:rsid w:val="00940F93"/>
    <w:rsid w:val="00941495"/>
    <w:rsid w:val="009421FF"/>
    <w:rsid w:val="0094558F"/>
    <w:rsid w:val="00952AC2"/>
    <w:rsid w:val="0095384E"/>
    <w:rsid w:val="00961690"/>
    <w:rsid w:val="009646C2"/>
    <w:rsid w:val="0096767E"/>
    <w:rsid w:val="00974776"/>
    <w:rsid w:val="00975ADA"/>
    <w:rsid w:val="009760F3"/>
    <w:rsid w:val="00976F61"/>
    <w:rsid w:val="00980E93"/>
    <w:rsid w:val="0098203C"/>
    <w:rsid w:val="00983E30"/>
    <w:rsid w:val="0098441E"/>
    <w:rsid w:val="00985971"/>
    <w:rsid w:val="0099212D"/>
    <w:rsid w:val="00992813"/>
    <w:rsid w:val="00997AA8"/>
    <w:rsid w:val="009A0E8D"/>
    <w:rsid w:val="009A2F41"/>
    <w:rsid w:val="009A6061"/>
    <w:rsid w:val="009B1518"/>
    <w:rsid w:val="009B1CEB"/>
    <w:rsid w:val="009B26E7"/>
    <w:rsid w:val="009B4E21"/>
    <w:rsid w:val="009B56F3"/>
    <w:rsid w:val="009C02A0"/>
    <w:rsid w:val="009C454F"/>
    <w:rsid w:val="009C5C51"/>
    <w:rsid w:val="009C5E54"/>
    <w:rsid w:val="009D2A5B"/>
    <w:rsid w:val="009D7F37"/>
    <w:rsid w:val="009E1451"/>
    <w:rsid w:val="009E1D8E"/>
    <w:rsid w:val="009F3A3C"/>
    <w:rsid w:val="009F4055"/>
    <w:rsid w:val="009F652C"/>
    <w:rsid w:val="009F78BD"/>
    <w:rsid w:val="00A00A3F"/>
    <w:rsid w:val="00A01489"/>
    <w:rsid w:val="00A10F75"/>
    <w:rsid w:val="00A11B84"/>
    <w:rsid w:val="00A133B2"/>
    <w:rsid w:val="00A1433D"/>
    <w:rsid w:val="00A14AD0"/>
    <w:rsid w:val="00A239E4"/>
    <w:rsid w:val="00A3009E"/>
    <w:rsid w:val="00A3026E"/>
    <w:rsid w:val="00A338F1"/>
    <w:rsid w:val="00A33B7F"/>
    <w:rsid w:val="00A351D7"/>
    <w:rsid w:val="00A35EE0"/>
    <w:rsid w:val="00A37A0A"/>
    <w:rsid w:val="00A47249"/>
    <w:rsid w:val="00A47A60"/>
    <w:rsid w:val="00A47FA6"/>
    <w:rsid w:val="00A51CDF"/>
    <w:rsid w:val="00A56C21"/>
    <w:rsid w:val="00A572FB"/>
    <w:rsid w:val="00A60CB6"/>
    <w:rsid w:val="00A615A8"/>
    <w:rsid w:val="00A637DD"/>
    <w:rsid w:val="00A64112"/>
    <w:rsid w:val="00A6748C"/>
    <w:rsid w:val="00A67A34"/>
    <w:rsid w:val="00A70684"/>
    <w:rsid w:val="00A72F22"/>
    <w:rsid w:val="00A7360F"/>
    <w:rsid w:val="00A748A6"/>
    <w:rsid w:val="00A769F4"/>
    <w:rsid w:val="00A776B4"/>
    <w:rsid w:val="00A805C7"/>
    <w:rsid w:val="00A8292C"/>
    <w:rsid w:val="00A86508"/>
    <w:rsid w:val="00A92DB8"/>
    <w:rsid w:val="00A93E6F"/>
    <w:rsid w:val="00A94361"/>
    <w:rsid w:val="00A95BE4"/>
    <w:rsid w:val="00AA293C"/>
    <w:rsid w:val="00AA59DB"/>
    <w:rsid w:val="00AA66C0"/>
    <w:rsid w:val="00AA693A"/>
    <w:rsid w:val="00AB1AF0"/>
    <w:rsid w:val="00AC3E5A"/>
    <w:rsid w:val="00AD12EC"/>
    <w:rsid w:val="00AD1A7B"/>
    <w:rsid w:val="00AD409C"/>
    <w:rsid w:val="00AD44C2"/>
    <w:rsid w:val="00AD48FA"/>
    <w:rsid w:val="00AE1070"/>
    <w:rsid w:val="00AE44BE"/>
    <w:rsid w:val="00AE4840"/>
    <w:rsid w:val="00AF1506"/>
    <w:rsid w:val="00AF31F2"/>
    <w:rsid w:val="00AF73DD"/>
    <w:rsid w:val="00B042C8"/>
    <w:rsid w:val="00B05BC7"/>
    <w:rsid w:val="00B11BB4"/>
    <w:rsid w:val="00B15092"/>
    <w:rsid w:val="00B20F91"/>
    <w:rsid w:val="00B21C05"/>
    <w:rsid w:val="00B22BC2"/>
    <w:rsid w:val="00B23FF7"/>
    <w:rsid w:val="00B26141"/>
    <w:rsid w:val="00B30179"/>
    <w:rsid w:val="00B327BD"/>
    <w:rsid w:val="00B33A82"/>
    <w:rsid w:val="00B36690"/>
    <w:rsid w:val="00B37544"/>
    <w:rsid w:val="00B41336"/>
    <w:rsid w:val="00B421C1"/>
    <w:rsid w:val="00B45D92"/>
    <w:rsid w:val="00B50912"/>
    <w:rsid w:val="00B51A66"/>
    <w:rsid w:val="00B52FD7"/>
    <w:rsid w:val="00B55C71"/>
    <w:rsid w:val="00B56BEE"/>
    <w:rsid w:val="00B56E4A"/>
    <w:rsid w:val="00B56E9C"/>
    <w:rsid w:val="00B61320"/>
    <w:rsid w:val="00B61BB6"/>
    <w:rsid w:val="00B61F9E"/>
    <w:rsid w:val="00B62181"/>
    <w:rsid w:val="00B638D7"/>
    <w:rsid w:val="00B63B31"/>
    <w:rsid w:val="00B64B1F"/>
    <w:rsid w:val="00B653F3"/>
    <w:rsid w:val="00B6553F"/>
    <w:rsid w:val="00B70F1E"/>
    <w:rsid w:val="00B7236E"/>
    <w:rsid w:val="00B77D05"/>
    <w:rsid w:val="00B81206"/>
    <w:rsid w:val="00B81C66"/>
    <w:rsid w:val="00B81E12"/>
    <w:rsid w:val="00B8280B"/>
    <w:rsid w:val="00B83337"/>
    <w:rsid w:val="00B9104C"/>
    <w:rsid w:val="00B93117"/>
    <w:rsid w:val="00B96FEC"/>
    <w:rsid w:val="00B97884"/>
    <w:rsid w:val="00BA2681"/>
    <w:rsid w:val="00BA3AEB"/>
    <w:rsid w:val="00BA4750"/>
    <w:rsid w:val="00BA4BFE"/>
    <w:rsid w:val="00BA678B"/>
    <w:rsid w:val="00BA6D6F"/>
    <w:rsid w:val="00BA7001"/>
    <w:rsid w:val="00BB39D6"/>
    <w:rsid w:val="00BB4C56"/>
    <w:rsid w:val="00BB4CED"/>
    <w:rsid w:val="00BB77E9"/>
    <w:rsid w:val="00BB7CD1"/>
    <w:rsid w:val="00BB7FE9"/>
    <w:rsid w:val="00BC3FA0"/>
    <w:rsid w:val="00BC74E9"/>
    <w:rsid w:val="00BD1016"/>
    <w:rsid w:val="00BD55A0"/>
    <w:rsid w:val="00BD6647"/>
    <w:rsid w:val="00BE218D"/>
    <w:rsid w:val="00BE3E69"/>
    <w:rsid w:val="00BE7D92"/>
    <w:rsid w:val="00BF1326"/>
    <w:rsid w:val="00BF15A1"/>
    <w:rsid w:val="00BF2A9F"/>
    <w:rsid w:val="00BF2AF0"/>
    <w:rsid w:val="00BF55CA"/>
    <w:rsid w:val="00BF63B3"/>
    <w:rsid w:val="00BF68A8"/>
    <w:rsid w:val="00C02ED5"/>
    <w:rsid w:val="00C046DB"/>
    <w:rsid w:val="00C05DAD"/>
    <w:rsid w:val="00C10415"/>
    <w:rsid w:val="00C10FE6"/>
    <w:rsid w:val="00C11A03"/>
    <w:rsid w:val="00C12192"/>
    <w:rsid w:val="00C12BA8"/>
    <w:rsid w:val="00C22C0C"/>
    <w:rsid w:val="00C23699"/>
    <w:rsid w:val="00C27DBF"/>
    <w:rsid w:val="00C3219B"/>
    <w:rsid w:val="00C33AF6"/>
    <w:rsid w:val="00C357DE"/>
    <w:rsid w:val="00C35BC8"/>
    <w:rsid w:val="00C36481"/>
    <w:rsid w:val="00C41BD5"/>
    <w:rsid w:val="00C43DF8"/>
    <w:rsid w:val="00C4527F"/>
    <w:rsid w:val="00C458FE"/>
    <w:rsid w:val="00C45E13"/>
    <w:rsid w:val="00C463DD"/>
    <w:rsid w:val="00C467C9"/>
    <w:rsid w:val="00C4724C"/>
    <w:rsid w:val="00C50425"/>
    <w:rsid w:val="00C51345"/>
    <w:rsid w:val="00C515C1"/>
    <w:rsid w:val="00C5185D"/>
    <w:rsid w:val="00C548AF"/>
    <w:rsid w:val="00C54D93"/>
    <w:rsid w:val="00C57B14"/>
    <w:rsid w:val="00C57DA4"/>
    <w:rsid w:val="00C629A0"/>
    <w:rsid w:val="00C637A9"/>
    <w:rsid w:val="00C64629"/>
    <w:rsid w:val="00C652F9"/>
    <w:rsid w:val="00C6662D"/>
    <w:rsid w:val="00C67B28"/>
    <w:rsid w:val="00C72681"/>
    <w:rsid w:val="00C73056"/>
    <w:rsid w:val="00C745C3"/>
    <w:rsid w:val="00C76B98"/>
    <w:rsid w:val="00C76CB0"/>
    <w:rsid w:val="00C819F5"/>
    <w:rsid w:val="00C91148"/>
    <w:rsid w:val="00C9216A"/>
    <w:rsid w:val="00C95A57"/>
    <w:rsid w:val="00CA0CE1"/>
    <w:rsid w:val="00CA0E33"/>
    <w:rsid w:val="00CA1653"/>
    <w:rsid w:val="00CA1D78"/>
    <w:rsid w:val="00CA2ACC"/>
    <w:rsid w:val="00CA409A"/>
    <w:rsid w:val="00CA59AB"/>
    <w:rsid w:val="00CB1FF8"/>
    <w:rsid w:val="00CB3E03"/>
    <w:rsid w:val="00CB4BF3"/>
    <w:rsid w:val="00CB5104"/>
    <w:rsid w:val="00CB5B1E"/>
    <w:rsid w:val="00CB6414"/>
    <w:rsid w:val="00CB650D"/>
    <w:rsid w:val="00CC04D9"/>
    <w:rsid w:val="00CC2FF5"/>
    <w:rsid w:val="00CC6217"/>
    <w:rsid w:val="00CD21D5"/>
    <w:rsid w:val="00CD57D2"/>
    <w:rsid w:val="00CD5DD3"/>
    <w:rsid w:val="00CD7BCB"/>
    <w:rsid w:val="00CE0D15"/>
    <w:rsid w:val="00CE116B"/>
    <w:rsid w:val="00CE2CC6"/>
    <w:rsid w:val="00CE4A8F"/>
    <w:rsid w:val="00CE4B11"/>
    <w:rsid w:val="00CF38EC"/>
    <w:rsid w:val="00CF4236"/>
    <w:rsid w:val="00CF54D5"/>
    <w:rsid w:val="00CF73CE"/>
    <w:rsid w:val="00D00610"/>
    <w:rsid w:val="00D0166C"/>
    <w:rsid w:val="00D06382"/>
    <w:rsid w:val="00D15D92"/>
    <w:rsid w:val="00D2031B"/>
    <w:rsid w:val="00D20A44"/>
    <w:rsid w:val="00D20B16"/>
    <w:rsid w:val="00D22720"/>
    <w:rsid w:val="00D25499"/>
    <w:rsid w:val="00D25FE2"/>
    <w:rsid w:val="00D27327"/>
    <w:rsid w:val="00D4168F"/>
    <w:rsid w:val="00D42D27"/>
    <w:rsid w:val="00D43252"/>
    <w:rsid w:val="00D4417D"/>
    <w:rsid w:val="00D47EEA"/>
    <w:rsid w:val="00D550D4"/>
    <w:rsid w:val="00D55386"/>
    <w:rsid w:val="00D64D0D"/>
    <w:rsid w:val="00D65303"/>
    <w:rsid w:val="00D728D1"/>
    <w:rsid w:val="00D76FFE"/>
    <w:rsid w:val="00D773DF"/>
    <w:rsid w:val="00D80773"/>
    <w:rsid w:val="00D8078B"/>
    <w:rsid w:val="00D80FBB"/>
    <w:rsid w:val="00D83B47"/>
    <w:rsid w:val="00D859F1"/>
    <w:rsid w:val="00D861AD"/>
    <w:rsid w:val="00D876F8"/>
    <w:rsid w:val="00D9255F"/>
    <w:rsid w:val="00D95303"/>
    <w:rsid w:val="00D978C6"/>
    <w:rsid w:val="00DA0E79"/>
    <w:rsid w:val="00DA3C1C"/>
    <w:rsid w:val="00DA6B6E"/>
    <w:rsid w:val="00DB61A4"/>
    <w:rsid w:val="00DB6CA5"/>
    <w:rsid w:val="00DC0B3D"/>
    <w:rsid w:val="00DC53F4"/>
    <w:rsid w:val="00DC5953"/>
    <w:rsid w:val="00DD3141"/>
    <w:rsid w:val="00DD430F"/>
    <w:rsid w:val="00DE40A3"/>
    <w:rsid w:val="00DE5E3E"/>
    <w:rsid w:val="00DF64AD"/>
    <w:rsid w:val="00DF64FE"/>
    <w:rsid w:val="00DF7B93"/>
    <w:rsid w:val="00E01542"/>
    <w:rsid w:val="00E01800"/>
    <w:rsid w:val="00E01CE2"/>
    <w:rsid w:val="00E028F4"/>
    <w:rsid w:val="00E046DF"/>
    <w:rsid w:val="00E073DE"/>
    <w:rsid w:val="00E13901"/>
    <w:rsid w:val="00E15557"/>
    <w:rsid w:val="00E159CC"/>
    <w:rsid w:val="00E220D4"/>
    <w:rsid w:val="00E23F41"/>
    <w:rsid w:val="00E25628"/>
    <w:rsid w:val="00E27346"/>
    <w:rsid w:val="00E27E33"/>
    <w:rsid w:val="00E312C3"/>
    <w:rsid w:val="00E367BB"/>
    <w:rsid w:val="00E402A0"/>
    <w:rsid w:val="00E404BE"/>
    <w:rsid w:val="00E405B6"/>
    <w:rsid w:val="00E44A1D"/>
    <w:rsid w:val="00E47BE3"/>
    <w:rsid w:val="00E5005F"/>
    <w:rsid w:val="00E51D9B"/>
    <w:rsid w:val="00E52235"/>
    <w:rsid w:val="00E572C8"/>
    <w:rsid w:val="00E57319"/>
    <w:rsid w:val="00E64549"/>
    <w:rsid w:val="00E658D0"/>
    <w:rsid w:val="00E702E4"/>
    <w:rsid w:val="00E71BC8"/>
    <w:rsid w:val="00E72587"/>
    <w:rsid w:val="00E7260F"/>
    <w:rsid w:val="00E73F5D"/>
    <w:rsid w:val="00E77E4E"/>
    <w:rsid w:val="00E8090F"/>
    <w:rsid w:val="00E82755"/>
    <w:rsid w:val="00E83B19"/>
    <w:rsid w:val="00E83FB7"/>
    <w:rsid w:val="00E873A8"/>
    <w:rsid w:val="00E903B5"/>
    <w:rsid w:val="00E920F6"/>
    <w:rsid w:val="00E92479"/>
    <w:rsid w:val="00E96630"/>
    <w:rsid w:val="00EA0931"/>
    <w:rsid w:val="00EA29DA"/>
    <w:rsid w:val="00EA3456"/>
    <w:rsid w:val="00EA4DA4"/>
    <w:rsid w:val="00EA6185"/>
    <w:rsid w:val="00EB1DCA"/>
    <w:rsid w:val="00EB237B"/>
    <w:rsid w:val="00EB6956"/>
    <w:rsid w:val="00EB7A4A"/>
    <w:rsid w:val="00EC106A"/>
    <w:rsid w:val="00EC1FB8"/>
    <w:rsid w:val="00EC32A0"/>
    <w:rsid w:val="00EC5986"/>
    <w:rsid w:val="00EC5E52"/>
    <w:rsid w:val="00ED7A2A"/>
    <w:rsid w:val="00EE288F"/>
    <w:rsid w:val="00EE3195"/>
    <w:rsid w:val="00EE5FC8"/>
    <w:rsid w:val="00EE6B3A"/>
    <w:rsid w:val="00EF09DC"/>
    <w:rsid w:val="00EF1D46"/>
    <w:rsid w:val="00EF1D7F"/>
    <w:rsid w:val="00EF6552"/>
    <w:rsid w:val="00F026CD"/>
    <w:rsid w:val="00F07406"/>
    <w:rsid w:val="00F0743E"/>
    <w:rsid w:val="00F10F61"/>
    <w:rsid w:val="00F13080"/>
    <w:rsid w:val="00F150A0"/>
    <w:rsid w:val="00F173F0"/>
    <w:rsid w:val="00F20BC2"/>
    <w:rsid w:val="00F227A6"/>
    <w:rsid w:val="00F22857"/>
    <w:rsid w:val="00F31119"/>
    <w:rsid w:val="00F3165A"/>
    <w:rsid w:val="00F31E5F"/>
    <w:rsid w:val="00F32051"/>
    <w:rsid w:val="00F33C9F"/>
    <w:rsid w:val="00F36CB6"/>
    <w:rsid w:val="00F36F0D"/>
    <w:rsid w:val="00F4272A"/>
    <w:rsid w:val="00F50C3D"/>
    <w:rsid w:val="00F5150A"/>
    <w:rsid w:val="00F52AE6"/>
    <w:rsid w:val="00F5534B"/>
    <w:rsid w:val="00F60F02"/>
    <w:rsid w:val="00F6100A"/>
    <w:rsid w:val="00F62D2C"/>
    <w:rsid w:val="00F66565"/>
    <w:rsid w:val="00F71B7F"/>
    <w:rsid w:val="00F74D18"/>
    <w:rsid w:val="00F768A8"/>
    <w:rsid w:val="00F80815"/>
    <w:rsid w:val="00F80D69"/>
    <w:rsid w:val="00F86D76"/>
    <w:rsid w:val="00F93781"/>
    <w:rsid w:val="00F955F8"/>
    <w:rsid w:val="00F95ED8"/>
    <w:rsid w:val="00F97A76"/>
    <w:rsid w:val="00F97B38"/>
    <w:rsid w:val="00FA3772"/>
    <w:rsid w:val="00FA730A"/>
    <w:rsid w:val="00FB1784"/>
    <w:rsid w:val="00FB5557"/>
    <w:rsid w:val="00FB613B"/>
    <w:rsid w:val="00FB7679"/>
    <w:rsid w:val="00FC3C87"/>
    <w:rsid w:val="00FC56A9"/>
    <w:rsid w:val="00FC68B7"/>
    <w:rsid w:val="00FC7FC5"/>
    <w:rsid w:val="00FD0E0B"/>
    <w:rsid w:val="00FD49F1"/>
    <w:rsid w:val="00FE0135"/>
    <w:rsid w:val="00FE106A"/>
    <w:rsid w:val="00FE1178"/>
    <w:rsid w:val="00FE20A2"/>
    <w:rsid w:val="00FE2378"/>
    <w:rsid w:val="00FE477D"/>
    <w:rsid w:val="00FE6165"/>
    <w:rsid w:val="00FF145D"/>
    <w:rsid w:val="00FF3121"/>
    <w:rsid w:val="00FF402D"/>
    <w:rsid w:val="00FF6BFC"/>
    <w:rsid w:val="00FF785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BA387193-045D-48A3-8BBA-55BB889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C7"/>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32657721">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microsoft.com/office/2007/relationships/hdphoto" Target="media/hdphoto2.wdp"/><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transport/dangerous-goods/unece-bodies-dealing-transport-dangerous-goods" TargetMode="External"/><Relationship Id="rId17" Type="http://schemas.openxmlformats.org/officeDocument/2006/relationships/header" Target="header3.xml"/><Relationship Id="rId25" Type="http://schemas.microsoft.com/office/2007/relationships/hdphoto" Target="media/hdphoto4.wdp"/><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angerous-goods/ecosoc-bodies-dealing-chemicals-safety" TargetMode="External"/><Relationship Id="rId24" Type="http://schemas.openxmlformats.org/officeDocument/2006/relationships/image" Target="media/image4.png"/><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hdphoto" Target="media/hdphoto3.wdp"/><Relationship Id="rId28" Type="http://schemas.openxmlformats.org/officeDocument/2006/relationships/image" Target="media/image6.png"/><Relationship Id="rId10" Type="http://schemas.openxmlformats.org/officeDocument/2006/relationships/endnotes" Target="endnotes.xml"/><Relationship Id="rId19" Type="http://schemas.microsoft.com/office/2007/relationships/hdphoto" Target="media/hdphoto1.wdp"/><Relationship Id="rId31" Type="http://schemas.microsoft.com/office/2007/relationships/hdphoto" Target="media/hdphoto7.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microsoft.com/office/2007/relationships/hdphoto" Target="media/hdphoto5.wdp"/><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UserInfo>
        <DisplayName>Sabrina Mansion</DisplayName>
        <AccountId>71</AccountId>
        <AccountType/>
      </UserInfo>
      <UserInfo>
        <DisplayName>Rosa Garcia Couto</DisplayName>
        <AccountId>33</AccountId>
        <AccountType/>
      </UserInfo>
      <UserInfo>
        <DisplayName>Armando Serrano Lombillo</DisplayName>
        <AccountId>69</AccountId>
        <AccountType/>
      </UserInfo>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63A2C-E59B-4113-A0B1-1594C67CC33F}">
  <ds:schemaRefs>
    <ds:schemaRef ds:uri="http://purl.org/dc/terms/"/>
    <ds:schemaRef ds:uri="acccb6d4-dbe5-46d2-b4d3-5733603d8cc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85ec44e-1bab-4c0b-9df0-6ba128686fc9"/>
    <ds:schemaRef ds:uri="http://www.w3.org/XML/1998/namespace"/>
    <ds:schemaRef ds:uri="4b4a1c0d-4a69-4996-a84a-fc699b9f49d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3.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E041-BC0E-40E5-ACFF-9A3D21E7F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8358</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9805</CharactersWithSpaces>
  <SharedDoc>false</SharedDoc>
  <HLinks>
    <vt:vector size="12" baseType="variant">
      <vt:variant>
        <vt:i4>7602293</vt:i4>
      </vt:variant>
      <vt:variant>
        <vt:i4>3</vt:i4>
      </vt:variant>
      <vt:variant>
        <vt:i4>0</vt:i4>
      </vt:variant>
      <vt:variant>
        <vt:i4>5</vt:i4>
      </vt:variant>
      <vt:variant>
        <vt:lpwstr>https://unece.org/info/Transport/Dangerous-Goods/events/370093</vt:lpwstr>
      </vt:variant>
      <vt:variant>
        <vt:lpwstr/>
      </vt:variant>
      <vt:variant>
        <vt:i4>7798896</vt:i4>
      </vt:variant>
      <vt:variant>
        <vt:i4>0</vt:i4>
      </vt:variant>
      <vt:variant>
        <vt:i4>0</vt:i4>
      </vt:variant>
      <vt:variant>
        <vt:i4>5</vt:i4>
      </vt:variant>
      <vt:variant>
        <vt:lpwstr>https://unece.org/info/Transport/Dangerous-Goods/events/364687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Romain Hubert</cp:lastModifiedBy>
  <cp:revision>2</cp:revision>
  <cp:lastPrinted>2023-02-06T13:41:00Z</cp:lastPrinted>
  <dcterms:created xsi:type="dcterms:W3CDTF">2023-03-06T11:48:00Z</dcterms:created>
  <dcterms:modified xsi:type="dcterms:W3CDTF">2023-03-06T11:48:00Z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