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CEC818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03686F7" w14:textId="77777777" w:rsidR="002D5AAC" w:rsidRDefault="002D5AAC" w:rsidP="00AB40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6E46CB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42AE6FE" w14:textId="4ED09A62" w:rsidR="002D5AAC" w:rsidRDefault="00AB4015" w:rsidP="00AB4015">
            <w:pPr>
              <w:jc w:val="right"/>
            </w:pPr>
            <w:r w:rsidRPr="00AB4015">
              <w:rPr>
                <w:sz w:val="40"/>
              </w:rPr>
              <w:t>ECE</w:t>
            </w:r>
            <w:r>
              <w:t>/TRANS/WP.15/AC.1/2023/21</w:t>
            </w:r>
          </w:p>
        </w:tc>
      </w:tr>
      <w:tr w:rsidR="002D5AAC" w:rsidRPr="00AB4015" w14:paraId="024C5A1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32F1F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2B2EE41" wp14:editId="456B066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7A42B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2D7C185" w14:textId="60BE5E5C" w:rsidR="002D5AAC" w:rsidRDefault="00AB401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AB4015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26E288F7" w14:textId="4DF3F358" w:rsidR="00AB4015" w:rsidRDefault="00AB4015" w:rsidP="00AB4015">
            <w:pPr>
              <w:spacing w:line="240" w:lineRule="exact"/>
              <w:rPr>
                <w:lang w:val="en-US"/>
              </w:rPr>
            </w:pPr>
            <w:r w:rsidRPr="00AB4015">
              <w:rPr>
                <w:rFonts w:eastAsia="Times New Roman" w:cs="Times New Roman"/>
                <w:szCs w:val="20"/>
                <w:lang w:val="en-GB" w:eastAsia="fr-FR"/>
              </w:rPr>
              <w:t>3 January 2023</w:t>
            </w:r>
          </w:p>
          <w:p w14:paraId="13670238" w14:textId="77777777" w:rsidR="00AB4015" w:rsidRDefault="00AB4015" w:rsidP="00AB401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E5F1F9B" w14:textId="34C5002F" w:rsidR="00AB4015" w:rsidRPr="008D53B6" w:rsidRDefault="00AB4015" w:rsidP="00AB401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</w:t>
            </w:r>
            <w:r w:rsidRPr="00AB4015">
              <w:rPr>
                <w:rFonts w:eastAsia="Times New Roman" w:cs="Times New Roman"/>
                <w:szCs w:val="20"/>
                <w:lang w:val="en-GB" w:eastAsia="fr-FR"/>
              </w:rPr>
              <w:t xml:space="preserve"> English</w:t>
            </w:r>
          </w:p>
        </w:tc>
      </w:tr>
    </w:tbl>
    <w:p w14:paraId="4628396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4AC5C1A" w14:textId="77777777" w:rsidR="00AB4015" w:rsidRPr="00AB4015" w:rsidRDefault="00AB4015" w:rsidP="00AB4015">
      <w:pPr>
        <w:spacing w:before="120"/>
        <w:rPr>
          <w:rFonts w:eastAsia="Times New Roman" w:cs="Times New Roman"/>
          <w:sz w:val="28"/>
          <w:szCs w:val="28"/>
          <w:lang w:eastAsia="fr-FR"/>
        </w:rPr>
      </w:pPr>
      <w:r w:rsidRPr="00AB4015">
        <w:rPr>
          <w:rFonts w:eastAsia="Times New Roman" w:cs="Times New Roman"/>
          <w:sz w:val="28"/>
          <w:szCs w:val="28"/>
          <w:lang w:eastAsia="fr-FR"/>
        </w:rPr>
        <w:t>Комитет по внутреннему транспорту</w:t>
      </w:r>
    </w:p>
    <w:p w14:paraId="3356091E" w14:textId="77777777" w:rsidR="00AB4015" w:rsidRPr="00AB4015" w:rsidRDefault="00AB4015" w:rsidP="00AB4015">
      <w:pPr>
        <w:spacing w:before="120"/>
        <w:rPr>
          <w:rFonts w:eastAsia="Times New Roman" w:cs="Times New Roman"/>
          <w:b/>
          <w:sz w:val="24"/>
          <w:szCs w:val="24"/>
          <w:lang w:eastAsia="fr-FR"/>
        </w:rPr>
      </w:pPr>
      <w:r w:rsidRPr="00AB4015">
        <w:rPr>
          <w:rFonts w:eastAsia="Times New Roman" w:cs="Times New Roman"/>
          <w:b/>
          <w:bCs/>
          <w:sz w:val="24"/>
          <w:szCs w:val="24"/>
          <w:lang w:eastAsia="fr-FR"/>
        </w:rPr>
        <w:t>Рабочая группа по перевозкам опасных грузов</w:t>
      </w:r>
    </w:p>
    <w:p w14:paraId="06A89C2B" w14:textId="7E468EFC" w:rsidR="00AB4015" w:rsidRPr="00AB4015" w:rsidRDefault="00AB4015" w:rsidP="00AB4015">
      <w:pPr>
        <w:spacing w:before="120"/>
        <w:rPr>
          <w:rFonts w:eastAsia="Times New Roman" w:cs="Times New Roman"/>
          <w:b/>
          <w:szCs w:val="20"/>
          <w:lang w:eastAsia="fr-FR"/>
        </w:rPr>
      </w:pPr>
      <w:r w:rsidRPr="00AB4015">
        <w:rPr>
          <w:rFonts w:eastAsia="Times New Roman" w:cs="Times New Roman"/>
          <w:b/>
          <w:bCs/>
          <w:szCs w:val="20"/>
          <w:lang w:eastAsia="fr-FR"/>
        </w:rPr>
        <w:t>Совместное совещание Комиссии экспертов МПОГ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AB4015">
        <w:rPr>
          <w:rFonts w:eastAsia="Times New Roman" w:cs="Times New Roman"/>
          <w:b/>
          <w:bCs/>
          <w:szCs w:val="20"/>
          <w:lang w:eastAsia="fr-FR"/>
        </w:rPr>
        <w:t>и Рабочей группы по перевозкам опасных грузов</w:t>
      </w:r>
    </w:p>
    <w:p w14:paraId="2A627640" w14:textId="13BD92FB" w:rsidR="00AB4015" w:rsidRPr="00AB4015" w:rsidRDefault="00AB4015" w:rsidP="00AB4015">
      <w:pPr>
        <w:rPr>
          <w:rFonts w:eastAsia="Times New Roman" w:cs="Times New Roman"/>
          <w:szCs w:val="20"/>
          <w:lang w:eastAsia="fr-FR"/>
        </w:rPr>
      </w:pPr>
      <w:r w:rsidRPr="00AB4015">
        <w:rPr>
          <w:rFonts w:eastAsia="Times New Roman" w:cs="Times New Roman"/>
          <w:szCs w:val="20"/>
          <w:lang w:eastAsia="fr-FR"/>
        </w:rPr>
        <w:t>Берн, 20–24 марта 2023 года</w:t>
      </w:r>
      <w:r>
        <w:rPr>
          <w:rFonts w:eastAsia="Times New Roman" w:cs="Times New Roman"/>
          <w:szCs w:val="20"/>
          <w:lang w:eastAsia="fr-FR"/>
        </w:rPr>
        <w:br/>
      </w:r>
      <w:r w:rsidRPr="00AB4015">
        <w:rPr>
          <w:rFonts w:eastAsia="Times New Roman" w:cs="Times New Roman"/>
          <w:szCs w:val="20"/>
          <w:lang w:eastAsia="fr-FR"/>
        </w:rPr>
        <w:t>Пункт 5 b) предварительной повестки дня</w:t>
      </w:r>
      <w:r>
        <w:rPr>
          <w:rFonts w:eastAsia="Times New Roman" w:cs="Times New Roman"/>
          <w:szCs w:val="20"/>
          <w:lang w:eastAsia="fr-FR"/>
        </w:rPr>
        <w:br/>
      </w:r>
      <w:r w:rsidRPr="00AB4015">
        <w:rPr>
          <w:rFonts w:eastAsia="Times New Roman" w:cs="Times New Roman"/>
          <w:b/>
          <w:bCs/>
          <w:szCs w:val="20"/>
          <w:lang w:eastAsia="fr-FR"/>
        </w:rPr>
        <w:t>Предложения о внесении поправок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AB4015">
        <w:rPr>
          <w:rFonts w:eastAsia="Times New Roman" w:cs="Times New Roman"/>
          <w:b/>
          <w:bCs/>
          <w:szCs w:val="20"/>
          <w:lang w:eastAsia="fr-FR"/>
        </w:rPr>
        <w:t>в МПОГ/ДОПОГ/ВОПОГ: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AB4015">
        <w:rPr>
          <w:rFonts w:eastAsia="Times New Roman" w:cs="Times New Roman"/>
          <w:b/>
          <w:bCs/>
          <w:szCs w:val="20"/>
          <w:lang w:eastAsia="fr-FR"/>
        </w:rPr>
        <w:t>новые предложения</w:t>
      </w:r>
    </w:p>
    <w:p w14:paraId="1E5F4BF2" w14:textId="77777777" w:rsidR="00AB4015" w:rsidRPr="00AB4015" w:rsidRDefault="00AB4015" w:rsidP="00AB4015">
      <w:pPr>
        <w:pStyle w:val="HChG"/>
        <w:spacing w:before="320" w:after="160"/>
      </w:pPr>
      <w:r w:rsidRPr="00AB4015">
        <w:tab/>
      </w:r>
      <w:r w:rsidRPr="00AB4015">
        <w:tab/>
        <w:t>Перевозка опасных грузов в качестве отходов частными лицами</w:t>
      </w:r>
    </w:p>
    <w:p w14:paraId="48F13C75" w14:textId="7102C4BD" w:rsidR="00AB4015" w:rsidRPr="00AB4015" w:rsidRDefault="00AB4015" w:rsidP="00AB4015">
      <w:pPr>
        <w:pStyle w:val="H1G"/>
        <w:spacing w:before="120"/>
        <w:rPr>
          <w:b w:val="0"/>
          <w:bCs/>
          <w:sz w:val="20"/>
        </w:rPr>
      </w:pPr>
      <w:r w:rsidRPr="00AB4015">
        <w:tab/>
      </w:r>
      <w:r w:rsidRPr="00AB4015">
        <w:tab/>
        <w:t>Передано Европейской федерацией по управлению отходами</w:t>
      </w:r>
      <w:r>
        <w:br/>
      </w:r>
      <w:r w:rsidRPr="00AB4015">
        <w:t>и природоохранным технологиям (ФЕАД)</w:t>
      </w:r>
      <w:r w:rsidRPr="00AB4015">
        <w:rPr>
          <w:rStyle w:val="FootnoteReference"/>
          <w:b w:val="0"/>
          <w:bCs/>
          <w:position w:val="4"/>
          <w:sz w:val="20"/>
          <w:vertAlign w:val="baseline"/>
        </w:rPr>
        <w:footnoteReference w:customMarkFollows="1" w:id="1"/>
        <w:t>*</w:t>
      </w:r>
      <w:r w:rsidRPr="00AB4015">
        <w:rPr>
          <w:b w:val="0"/>
          <w:bCs/>
          <w:position w:val="4"/>
        </w:rPr>
        <w:t xml:space="preserve"> </w:t>
      </w:r>
      <w:r w:rsidRPr="00AB4015">
        <w:rPr>
          <w:b w:val="0"/>
          <w:bCs/>
          <w:position w:val="4"/>
          <w:sz w:val="20"/>
        </w:rPr>
        <w:footnoteReference w:customMarkFollows="1" w:id="2"/>
        <w:t>**</w:t>
      </w:r>
    </w:p>
    <w:tbl>
      <w:tblPr>
        <w:tblStyle w:val="1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AB4015" w:rsidRPr="00AB4015" w14:paraId="1D439689" w14:textId="77777777" w:rsidTr="00A94B1B">
        <w:trPr>
          <w:jc w:val="center"/>
        </w:trPr>
        <w:tc>
          <w:tcPr>
            <w:tcW w:w="9629" w:type="dxa"/>
            <w:shd w:val="clear" w:color="auto" w:fill="auto"/>
          </w:tcPr>
          <w:p w14:paraId="69A94186" w14:textId="77777777" w:rsidR="00AB4015" w:rsidRPr="00AB4015" w:rsidRDefault="00AB4015" w:rsidP="00AB4015">
            <w:pPr>
              <w:spacing w:before="240" w:after="120"/>
              <w:ind w:left="255"/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</w:pPr>
            <w:r w:rsidRPr="00AB4015">
              <w:rPr>
                <w:rFonts w:eastAsia="Times New Roman" w:cs="Times New Roman"/>
                <w:i/>
                <w:iCs/>
                <w:sz w:val="24"/>
                <w:szCs w:val="24"/>
                <w:lang w:eastAsia="fr-FR"/>
              </w:rPr>
              <w:t>Резюме</w:t>
            </w:r>
          </w:p>
        </w:tc>
      </w:tr>
      <w:tr w:rsidR="00AB4015" w:rsidRPr="00AB4015" w14:paraId="4CEFEB01" w14:textId="77777777" w:rsidTr="00A94B1B">
        <w:trPr>
          <w:jc w:val="center"/>
        </w:trPr>
        <w:tc>
          <w:tcPr>
            <w:tcW w:w="9629" w:type="dxa"/>
            <w:shd w:val="clear" w:color="auto" w:fill="auto"/>
          </w:tcPr>
          <w:p w14:paraId="44F2CBFA" w14:textId="77777777" w:rsidR="00AB4015" w:rsidRPr="00AB4015" w:rsidRDefault="00AB4015" w:rsidP="00B855DA">
            <w:pPr>
              <w:spacing w:after="120" w:line="236" w:lineRule="atLeast"/>
              <w:ind w:left="3533" w:right="1134" w:hanging="2399"/>
              <w:jc w:val="both"/>
              <w:rPr>
                <w:rFonts w:eastAsia="Times New Roman" w:cs="Times New Roman"/>
                <w:szCs w:val="20"/>
                <w:lang w:eastAsia="fr-FR"/>
              </w:rPr>
            </w:pPr>
            <w:r w:rsidRPr="00AB4015">
              <w:rPr>
                <w:rFonts w:eastAsia="Times New Roman" w:cs="Times New Roman"/>
                <w:b/>
                <w:bCs/>
                <w:szCs w:val="20"/>
                <w:lang w:eastAsia="fr-FR"/>
              </w:rPr>
              <w:t>Существо предложения</w:t>
            </w:r>
            <w:r w:rsidRPr="00AB4015">
              <w:rPr>
                <w:rFonts w:eastAsia="Times New Roman" w:cs="Times New Roman"/>
                <w:szCs w:val="20"/>
                <w:lang w:eastAsia="fr-FR"/>
              </w:rPr>
              <w:t>:</w:t>
            </w:r>
            <w:r w:rsidRPr="00AB4015">
              <w:rPr>
                <w:rFonts w:eastAsia="Times New Roman" w:cs="Times New Roman"/>
                <w:szCs w:val="20"/>
                <w:lang w:eastAsia="fr-FR"/>
              </w:rPr>
              <w:tab/>
              <w:t>В настоящем документе рассматривается необходимость введения нового изъятия для перевозки опасных грузов частными лицами также в тех случаях, когда эти грузы становятся отходами, и независимо от наличия или отсутствия оригинальной упаковки.</w:t>
            </w:r>
          </w:p>
          <w:p w14:paraId="3188173A" w14:textId="62BF48EF" w:rsidR="00AB4015" w:rsidRPr="00AB4015" w:rsidRDefault="00AB4015" w:rsidP="00B855DA">
            <w:pPr>
              <w:spacing w:after="120" w:line="236" w:lineRule="atLeast"/>
              <w:ind w:left="3532" w:right="1134" w:hanging="2398"/>
              <w:jc w:val="both"/>
              <w:rPr>
                <w:rFonts w:eastAsia="Times New Roman" w:cs="Times New Roman"/>
                <w:szCs w:val="20"/>
                <w:lang w:eastAsia="fr-FR"/>
              </w:rPr>
            </w:pPr>
            <w:r w:rsidRPr="00AB4015">
              <w:rPr>
                <w:rFonts w:eastAsia="Times New Roman" w:cs="Times New Roman"/>
                <w:b/>
                <w:bCs/>
                <w:szCs w:val="20"/>
                <w:lang w:eastAsia="fr-FR"/>
              </w:rPr>
              <w:t>Предлагаемое решение</w:t>
            </w:r>
            <w:r w:rsidRPr="00AB4015">
              <w:rPr>
                <w:rFonts w:eastAsia="Times New Roman" w:cs="Times New Roman"/>
                <w:szCs w:val="20"/>
                <w:lang w:eastAsia="fr-FR"/>
              </w:rPr>
              <w:t>:</w:t>
            </w:r>
            <w:r w:rsidRPr="00AB4015">
              <w:rPr>
                <w:rFonts w:eastAsia="Times New Roman" w:cs="Times New Roman"/>
                <w:szCs w:val="20"/>
                <w:lang w:eastAsia="fr-FR"/>
              </w:rPr>
              <w:tab/>
              <w:t>Разделить пункт 1.1.3.1</w:t>
            </w:r>
            <w:r w:rsidR="007E4B67">
              <w:rPr>
                <w:rFonts w:eastAsia="Times New Roman" w:cs="Times New Roman"/>
                <w:szCs w:val="20"/>
                <w:lang w:val="en-US" w:eastAsia="fr-FR"/>
              </w:rPr>
              <w:t> </w:t>
            </w:r>
            <w:r w:rsidRPr="00AB4015">
              <w:rPr>
                <w:rFonts w:eastAsia="Times New Roman" w:cs="Times New Roman"/>
                <w:szCs w:val="20"/>
                <w:lang w:eastAsia="fr-FR"/>
              </w:rPr>
              <w:t>a) на две части, включив новое изъятие в качестве подпункта 1.1.3.1 a) ii).</w:t>
            </w:r>
          </w:p>
        </w:tc>
      </w:tr>
      <w:tr w:rsidR="00AB4015" w:rsidRPr="00AB4015" w14:paraId="3B783662" w14:textId="77777777" w:rsidTr="00A94B1B">
        <w:trPr>
          <w:jc w:val="center"/>
        </w:trPr>
        <w:tc>
          <w:tcPr>
            <w:tcW w:w="9629" w:type="dxa"/>
            <w:shd w:val="clear" w:color="auto" w:fill="auto"/>
          </w:tcPr>
          <w:p w14:paraId="2B176486" w14:textId="77777777" w:rsidR="00AB4015" w:rsidRPr="00AB4015" w:rsidRDefault="00AB4015" w:rsidP="00AB4015">
            <w:pPr>
              <w:rPr>
                <w:rFonts w:eastAsia="Times New Roman" w:cs="Times New Roman"/>
                <w:szCs w:val="20"/>
                <w:lang w:eastAsia="fr-FR"/>
              </w:rPr>
            </w:pPr>
          </w:p>
        </w:tc>
      </w:tr>
    </w:tbl>
    <w:p w14:paraId="0DCB0EF1" w14:textId="77777777" w:rsidR="00AB4015" w:rsidRPr="00AB4015" w:rsidRDefault="00AB4015" w:rsidP="00AB4015">
      <w:pPr>
        <w:pStyle w:val="HChG"/>
        <w:spacing w:before="280"/>
      </w:pPr>
      <w:r w:rsidRPr="00AB4015">
        <w:tab/>
      </w:r>
      <w:r w:rsidRPr="00AB4015">
        <w:tab/>
        <w:t>Введение</w:t>
      </w:r>
    </w:p>
    <w:p w14:paraId="4208F603" w14:textId="77777777" w:rsidR="00AB4015" w:rsidRPr="00AB4015" w:rsidRDefault="00AB4015" w:rsidP="00B855DA">
      <w:pPr>
        <w:pStyle w:val="SingleTxtG"/>
        <w:spacing w:line="236" w:lineRule="atLeast"/>
        <w:rPr>
          <w:lang w:eastAsia="fr-FR"/>
        </w:rPr>
      </w:pPr>
      <w:bookmarkStart w:id="0" w:name="_Hlk121739958"/>
      <w:r w:rsidRPr="00AB4015">
        <w:rPr>
          <w:lang w:eastAsia="fr-FR"/>
        </w:rPr>
        <w:t>1.</w:t>
      </w:r>
      <w:r w:rsidRPr="00AB4015">
        <w:rPr>
          <w:lang w:eastAsia="fr-FR"/>
        </w:rPr>
        <w:tab/>
        <w:t>Положение пункта 1.1.3.1 a) не распространяется на перевозку отходов частными лицами.</w:t>
      </w:r>
      <w:bookmarkEnd w:id="0"/>
    </w:p>
    <w:p w14:paraId="6CD2AF59" w14:textId="77777777" w:rsidR="00AB4015" w:rsidRPr="00AB4015" w:rsidRDefault="00AB4015" w:rsidP="00B855DA">
      <w:pPr>
        <w:tabs>
          <w:tab w:val="right" w:pos="851"/>
        </w:tabs>
        <w:spacing w:before="280" w:after="16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fr-FR"/>
        </w:rPr>
      </w:pPr>
      <w:r w:rsidRPr="00AB4015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AB4015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AB4015">
        <w:rPr>
          <w:rFonts w:eastAsia="Times New Roman" w:cs="Times New Roman"/>
          <w:b/>
          <w:bCs/>
          <w:sz w:val="28"/>
          <w:szCs w:val="20"/>
          <w:lang w:eastAsia="fr-FR"/>
        </w:rPr>
        <w:t>Предложение</w:t>
      </w:r>
    </w:p>
    <w:p w14:paraId="699DD680" w14:textId="29535E9A" w:rsidR="00AB4015" w:rsidRPr="00AB4015" w:rsidRDefault="00AB4015" w:rsidP="00AB4015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bookmarkStart w:id="1" w:name="_Hlk121739998"/>
      <w:r w:rsidRPr="00AB4015">
        <w:rPr>
          <w:rFonts w:eastAsia="Times New Roman" w:cs="Times New Roman"/>
          <w:szCs w:val="20"/>
          <w:lang w:eastAsia="fr-FR"/>
        </w:rPr>
        <w:t>2.</w:t>
      </w:r>
      <w:r w:rsidRPr="00AB4015">
        <w:rPr>
          <w:rFonts w:eastAsia="Times New Roman" w:cs="Times New Roman"/>
          <w:szCs w:val="20"/>
          <w:lang w:eastAsia="fr-FR"/>
        </w:rPr>
        <w:tab/>
        <w:t>После обсуждения в рамках неофициальной рабочей группы по перевозке опасных отходов на совещании, состоявшемся 15 и 16 июня 2022 года в Гааге</w:t>
      </w:r>
      <w:r>
        <w:rPr>
          <w:rFonts w:eastAsia="Times New Roman" w:cs="Times New Roman"/>
          <w:szCs w:val="20"/>
          <w:lang w:eastAsia="fr-FR"/>
        </w:rPr>
        <w:br/>
      </w:r>
      <w:r w:rsidRPr="00AB4015">
        <w:rPr>
          <w:rFonts w:eastAsia="Times New Roman" w:cs="Times New Roman"/>
          <w:szCs w:val="20"/>
          <w:lang w:eastAsia="fr-FR"/>
        </w:rPr>
        <w:lastRenderedPageBreak/>
        <w:t>(и в режиме онлайн), ФЕАД предлагает добавить следующий текст в пункт 1.1.3.1 a) (новый текст подчеркнут):</w:t>
      </w:r>
    </w:p>
    <w:p w14:paraId="673ADF5D" w14:textId="77777777" w:rsidR="00AB4015" w:rsidRPr="00AB4015" w:rsidRDefault="00AB4015" w:rsidP="00AB4015">
      <w:pPr>
        <w:spacing w:before="120" w:after="120"/>
        <w:ind w:left="1134" w:firstLine="567"/>
        <w:jc w:val="both"/>
        <w:rPr>
          <w:rFonts w:eastAsia="Times New Roman" w:cs="Times New Roman"/>
          <w:szCs w:val="20"/>
          <w:lang w:eastAsia="fr-FR"/>
        </w:rPr>
      </w:pPr>
      <w:r w:rsidRPr="00AB4015">
        <w:rPr>
          <w:rFonts w:eastAsia="Times New Roman" w:cs="Times New Roman"/>
          <w:szCs w:val="20"/>
          <w:lang w:eastAsia="fr-FR"/>
        </w:rPr>
        <w:t>«Положения ДОПОГ не применяются:</w:t>
      </w:r>
    </w:p>
    <w:p w14:paraId="5897DE15" w14:textId="77777777" w:rsidR="00AB4015" w:rsidRPr="00AB4015" w:rsidRDefault="00AB4015" w:rsidP="00AB4015">
      <w:pPr>
        <w:spacing w:after="120"/>
        <w:ind w:left="1701" w:right="1134"/>
        <w:jc w:val="both"/>
        <w:rPr>
          <w:rFonts w:eastAsia="Times New Roman" w:cs="Times New Roman"/>
          <w:szCs w:val="20"/>
          <w:lang w:eastAsia="fr-FR"/>
        </w:rPr>
      </w:pPr>
      <w:r w:rsidRPr="00AB4015">
        <w:rPr>
          <w:rFonts w:eastAsia="Times New Roman" w:cs="Times New Roman"/>
          <w:szCs w:val="20"/>
          <w:lang w:eastAsia="fr-FR"/>
        </w:rPr>
        <w:t>i)</w:t>
      </w:r>
      <w:r w:rsidRPr="00AB4015">
        <w:rPr>
          <w:rFonts w:eastAsia="Times New Roman" w:cs="Times New Roman"/>
          <w:szCs w:val="20"/>
          <w:lang w:eastAsia="fr-FR"/>
        </w:rPr>
        <w:tab/>
        <w:t>к перевозке опасных грузов частными лицами, когда эти грузы упакованы для розничной продажи и предназначены для их личного потребления, использования в быту, досуга или спорта, при условии, что приняты меры для предотвращения любой утечки содержимого в нормальных условиях перевозки. Когда такими грузами являются легковоспламеняющиеся жидкости, перевозимые в сосудах многоразового использования, наполненных частным лицом или для частного лица, то общее количество не должно превышать 60 литров на один сосуд и 240 литров на одну транспортную единицу. Опасные грузы, помещенные в КСМ, крупногабаритную тару или цистерны, не считаются упакованными для розничной продажи;</w:t>
      </w:r>
    </w:p>
    <w:p w14:paraId="552FA9AA" w14:textId="77777777" w:rsidR="00AB4015" w:rsidRPr="00AB4015" w:rsidRDefault="00AB4015" w:rsidP="00AB4015">
      <w:pPr>
        <w:spacing w:after="120"/>
        <w:ind w:left="1701" w:right="1134"/>
        <w:jc w:val="both"/>
        <w:rPr>
          <w:rFonts w:eastAsia="Times New Roman" w:cs="Times New Roman"/>
          <w:szCs w:val="20"/>
          <w:u w:val="single"/>
          <w:lang w:eastAsia="fr-FR"/>
        </w:rPr>
      </w:pPr>
      <w:r w:rsidRPr="00AB4015">
        <w:rPr>
          <w:rFonts w:eastAsia="Times New Roman" w:cs="Times New Roman"/>
          <w:szCs w:val="20"/>
          <w:u w:val="single"/>
          <w:lang w:eastAsia="fr-FR"/>
        </w:rPr>
        <w:t>ii)</w:t>
      </w:r>
      <w:r w:rsidRPr="00AB4015">
        <w:rPr>
          <w:rFonts w:eastAsia="Times New Roman" w:cs="Times New Roman"/>
          <w:szCs w:val="20"/>
          <w:u w:val="single"/>
          <w:lang w:eastAsia="fr-FR"/>
        </w:rPr>
        <w:tab/>
        <w:t>к перевозке частными лицами опасных грузов, которые первоначально предназначались для их личного потребления, использования в быту, досуга или спорта и которые перевозятся с целью удаления как отходов, включая случаи, когда эти опасные грузы больше не помещены в оригинальную упаковку для розничной продажи, при условии, что приняты меры для предотвращения любой утечки при нормальных условиях перевозки</w:t>
      </w:r>
      <w:bookmarkEnd w:id="1"/>
      <w:r w:rsidRPr="00AB4015">
        <w:rPr>
          <w:rFonts w:eastAsia="Times New Roman" w:cs="Times New Roman"/>
          <w:szCs w:val="20"/>
          <w:u w:val="single"/>
          <w:lang w:eastAsia="fr-FR"/>
        </w:rPr>
        <w:t>;</w:t>
      </w:r>
      <w:r w:rsidRPr="00AB4015">
        <w:rPr>
          <w:rFonts w:eastAsia="Times New Roman" w:cs="Times New Roman"/>
          <w:szCs w:val="20"/>
          <w:lang w:eastAsia="fr-FR"/>
        </w:rPr>
        <w:t>».</w:t>
      </w:r>
    </w:p>
    <w:p w14:paraId="208CB707" w14:textId="77777777" w:rsidR="00AB4015" w:rsidRPr="00AB4015" w:rsidRDefault="00AB4015" w:rsidP="00AB4015">
      <w:pPr>
        <w:spacing w:before="240"/>
        <w:jc w:val="center"/>
        <w:rPr>
          <w:rFonts w:eastAsia="Times New Roman" w:cs="Times New Roman"/>
          <w:szCs w:val="20"/>
          <w:u w:val="single"/>
          <w:lang w:eastAsia="fr-FR"/>
        </w:rPr>
      </w:pPr>
      <w:r w:rsidRPr="00AB4015">
        <w:rPr>
          <w:rFonts w:eastAsia="Times New Roman" w:cs="Times New Roman"/>
          <w:szCs w:val="20"/>
          <w:u w:val="single"/>
          <w:lang w:eastAsia="fr-FR"/>
        </w:rPr>
        <w:tab/>
      </w:r>
      <w:r w:rsidRPr="00AB4015">
        <w:rPr>
          <w:rFonts w:eastAsia="Times New Roman" w:cs="Times New Roman"/>
          <w:szCs w:val="20"/>
          <w:u w:val="single"/>
          <w:lang w:eastAsia="fr-FR"/>
        </w:rPr>
        <w:tab/>
      </w:r>
      <w:r w:rsidRPr="00AB4015">
        <w:rPr>
          <w:rFonts w:eastAsia="Times New Roman" w:cs="Times New Roman"/>
          <w:szCs w:val="20"/>
          <w:u w:val="single"/>
          <w:lang w:eastAsia="fr-FR"/>
        </w:rPr>
        <w:tab/>
      </w:r>
    </w:p>
    <w:sectPr w:rsidR="00AB4015" w:rsidRPr="00AB4015" w:rsidSect="00AB401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0831" w14:textId="77777777" w:rsidR="000707CE" w:rsidRPr="00A312BC" w:rsidRDefault="000707CE" w:rsidP="00A312BC"/>
  </w:endnote>
  <w:endnote w:type="continuationSeparator" w:id="0">
    <w:p w14:paraId="531D9526" w14:textId="77777777" w:rsidR="000707CE" w:rsidRPr="00A312BC" w:rsidRDefault="000707C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8668" w14:textId="615B5166" w:rsidR="00AB4015" w:rsidRPr="00AB4015" w:rsidRDefault="00AB4015">
    <w:pPr>
      <w:pStyle w:val="Footer"/>
    </w:pPr>
    <w:r w:rsidRPr="00AB4015">
      <w:rPr>
        <w:b/>
        <w:sz w:val="18"/>
      </w:rPr>
      <w:fldChar w:fldCharType="begin"/>
    </w:r>
    <w:r w:rsidRPr="00AB4015">
      <w:rPr>
        <w:b/>
        <w:sz w:val="18"/>
      </w:rPr>
      <w:instrText xml:space="preserve"> PAGE  \* MERGEFORMAT </w:instrText>
    </w:r>
    <w:r w:rsidRPr="00AB4015">
      <w:rPr>
        <w:b/>
        <w:sz w:val="18"/>
      </w:rPr>
      <w:fldChar w:fldCharType="separate"/>
    </w:r>
    <w:r w:rsidRPr="00AB4015">
      <w:rPr>
        <w:b/>
        <w:noProof/>
        <w:sz w:val="18"/>
      </w:rPr>
      <w:t>2</w:t>
    </w:r>
    <w:r w:rsidRPr="00AB4015">
      <w:rPr>
        <w:b/>
        <w:sz w:val="18"/>
      </w:rPr>
      <w:fldChar w:fldCharType="end"/>
    </w:r>
    <w:r>
      <w:rPr>
        <w:b/>
        <w:sz w:val="18"/>
      </w:rPr>
      <w:tab/>
    </w:r>
    <w:r>
      <w:t>GE.22-29488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C1D5" w14:textId="4ACCCACC" w:rsidR="00AB4015" w:rsidRPr="00AB4015" w:rsidRDefault="00AB4015" w:rsidP="00AB4015">
    <w:pPr>
      <w:pStyle w:val="Footer"/>
      <w:tabs>
        <w:tab w:val="clear" w:pos="9639"/>
        <w:tab w:val="right" w:pos="9638"/>
      </w:tabs>
      <w:rPr>
        <w:b/>
        <w:sz w:val="18"/>
      </w:rPr>
    </w:pPr>
    <w:r>
      <w:t>GE.22-29488</w:t>
    </w:r>
    <w:r>
      <w:tab/>
    </w:r>
    <w:r w:rsidRPr="00AB4015">
      <w:rPr>
        <w:b/>
        <w:sz w:val="18"/>
      </w:rPr>
      <w:fldChar w:fldCharType="begin"/>
    </w:r>
    <w:r w:rsidRPr="00AB4015">
      <w:rPr>
        <w:b/>
        <w:sz w:val="18"/>
      </w:rPr>
      <w:instrText xml:space="preserve"> PAGE  \* MERGEFORMAT </w:instrText>
    </w:r>
    <w:r w:rsidRPr="00AB4015">
      <w:rPr>
        <w:b/>
        <w:sz w:val="18"/>
      </w:rPr>
      <w:fldChar w:fldCharType="separate"/>
    </w:r>
    <w:r w:rsidRPr="00AB4015">
      <w:rPr>
        <w:b/>
        <w:noProof/>
        <w:sz w:val="18"/>
      </w:rPr>
      <w:t>3</w:t>
    </w:r>
    <w:r w:rsidRPr="00AB401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B1A0" w14:textId="7C38C269" w:rsidR="00042B72" w:rsidRPr="00AB4015" w:rsidRDefault="00AB4015" w:rsidP="00AB401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8688914" wp14:editId="03702FD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22-29488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F900CD1" wp14:editId="5484DAC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160223  210223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B8F8" w14:textId="77777777" w:rsidR="000707CE" w:rsidRPr="001075E9" w:rsidRDefault="000707C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5DABCF" w14:textId="77777777" w:rsidR="000707CE" w:rsidRDefault="000707C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0ED39C5" w14:textId="0113A651" w:rsidR="00AB4015" w:rsidRPr="00AB4015" w:rsidRDefault="00AB4015">
      <w:pPr>
        <w:pStyle w:val="FootnoteText"/>
        <w:rPr>
          <w:szCs w:val="18"/>
        </w:rPr>
      </w:pPr>
      <w:r>
        <w:tab/>
      </w:r>
      <w:r w:rsidRPr="00AB4015">
        <w:rPr>
          <w:rStyle w:val="FootnoteReference"/>
          <w:szCs w:val="18"/>
          <w:vertAlign w:val="baseline"/>
        </w:rPr>
        <w:t>*</w:t>
      </w:r>
      <w:r w:rsidRPr="00AB4015">
        <w:rPr>
          <w:rStyle w:val="FootnoteReference"/>
          <w:szCs w:val="18"/>
          <w:vertAlign w:val="baseline"/>
        </w:rPr>
        <w:tab/>
      </w:r>
      <w:r w:rsidRPr="00AB4015">
        <w:rPr>
          <w:szCs w:val="18"/>
        </w:rPr>
        <w:t>A/77/6 (разд. 20), п. 20.76.</w:t>
      </w:r>
    </w:p>
  </w:footnote>
  <w:footnote w:id="2">
    <w:p w14:paraId="73FAC24C" w14:textId="65A5908A" w:rsidR="00AB4015" w:rsidRPr="00AB4015" w:rsidRDefault="00AB4015" w:rsidP="00AB4015">
      <w:pPr>
        <w:pStyle w:val="FootnoteText"/>
        <w:spacing w:after="120"/>
        <w:rPr>
          <w:szCs w:val="18"/>
        </w:rPr>
      </w:pPr>
      <w:r w:rsidRPr="00AB4015">
        <w:rPr>
          <w:szCs w:val="18"/>
        </w:rPr>
        <w:tab/>
        <w:t>**</w:t>
      </w:r>
      <w:r w:rsidRPr="00AB4015">
        <w:rPr>
          <w:szCs w:val="18"/>
        </w:rP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8D03" w14:textId="491488F8" w:rsidR="00AB4015" w:rsidRPr="00AB4015" w:rsidRDefault="00E1502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BA7C" w14:textId="68211AD8" w:rsidR="00AB4015" w:rsidRPr="00AB4015" w:rsidRDefault="00E15021" w:rsidP="00AB401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98127180">
    <w:abstractNumId w:val="17"/>
  </w:num>
  <w:num w:numId="2" w16cid:durableId="314379790">
    <w:abstractNumId w:val="12"/>
  </w:num>
  <w:num w:numId="3" w16cid:durableId="1450512865">
    <w:abstractNumId w:val="11"/>
  </w:num>
  <w:num w:numId="4" w16cid:durableId="559169532">
    <w:abstractNumId w:val="18"/>
  </w:num>
  <w:num w:numId="5" w16cid:durableId="844519792">
    <w:abstractNumId w:val="14"/>
  </w:num>
  <w:num w:numId="6" w16cid:durableId="788015673">
    <w:abstractNumId w:val="8"/>
  </w:num>
  <w:num w:numId="7" w16cid:durableId="229002773">
    <w:abstractNumId w:val="3"/>
  </w:num>
  <w:num w:numId="8" w16cid:durableId="1161578051">
    <w:abstractNumId w:val="2"/>
  </w:num>
  <w:num w:numId="9" w16cid:durableId="1333680277">
    <w:abstractNumId w:val="1"/>
  </w:num>
  <w:num w:numId="10" w16cid:durableId="1599024406">
    <w:abstractNumId w:val="0"/>
  </w:num>
  <w:num w:numId="11" w16cid:durableId="854003287">
    <w:abstractNumId w:val="9"/>
  </w:num>
  <w:num w:numId="12" w16cid:durableId="1641184433">
    <w:abstractNumId w:val="7"/>
  </w:num>
  <w:num w:numId="13" w16cid:durableId="1211848090">
    <w:abstractNumId w:val="6"/>
  </w:num>
  <w:num w:numId="14" w16cid:durableId="827747144">
    <w:abstractNumId w:val="5"/>
  </w:num>
  <w:num w:numId="15" w16cid:durableId="364673110">
    <w:abstractNumId w:val="4"/>
  </w:num>
  <w:num w:numId="16" w16cid:durableId="1903759593">
    <w:abstractNumId w:val="16"/>
  </w:num>
  <w:num w:numId="17" w16cid:durableId="238370400">
    <w:abstractNumId w:val="13"/>
  </w:num>
  <w:num w:numId="18" w16cid:durableId="1661230930">
    <w:abstractNumId w:val="15"/>
  </w:num>
  <w:num w:numId="19" w16cid:durableId="1136991430">
    <w:abstractNumId w:val="16"/>
  </w:num>
  <w:num w:numId="20" w16cid:durableId="763038031">
    <w:abstractNumId w:val="13"/>
  </w:num>
  <w:num w:numId="21" w16cid:durableId="1653561125">
    <w:abstractNumId w:val="15"/>
  </w:num>
  <w:num w:numId="22" w16cid:durableId="131938680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CE"/>
    <w:rsid w:val="00033EE1"/>
    <w:rsid w:val="00042B72"/>
    <w:rsid w:val="000558BD"/>
    <w:rsid w:val="000707CE"/>
    <w:rsid w:val="000A1E72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A477C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4B6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015"/>
    <w:rsid w:val="00AB4B51"/>
    <w:rsid w:val="00B10CC7"/>
    <w:rsid w:val="00B36DF7"/>
    <w:rsid w:val="00B539E7"/>
    <w:rsid w:val="00B62458"/>
    <w:rsid w:val="00B855DA"/>
    <w:rsid w:val="00BA71F0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5021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63E83"/>
  <w15:docId w15:val="{F1ED819B-09DF-4C10-B5F7-AA323B8B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table" w:customStyle="1" w:styleId="1">
    <w:name w:val="Сетка таблицы1"/>
    <w:basedOn w:val="TableNormal"/>
    <w:next w:val="TableGrid"/>
    <w:rsid w:val="00AB4015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arNoG">
    <w:name w:val="_ParNo_G"/>
    <w:basedOn w:val="SingleTxtG"/>
    <w:qFormat/>
    <w:rsid w:val="00AB4015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ECE/TRANS/WP.15/AC.1/2023/21</vt:lpstr>
      <vt:lpstr>A/</vt:lpstr>
      <vt:lpstr>A/</vt:lpstr>
    </vt:vector>
  </TitlesOfParts>
  <Company>DCM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ECE/TRANS/WP.15/AC.1/2023/21</dc:title>
  <dc:subject/>
  <dc:creator>Anna KISSELEVA</dc:creator>
  <cp:keywords/>
  <cp:lastModifiedBy>Laurence Berthet</cp:lastModifiedBy>
  <cp:revision>3</cp:revision>
  <cp:lastPrinted>2023-03-17T09:03:00Z</cp:lastPrinted>
  <dcterms:created xsi:type="dcterms:W3CDTF">2023-03-17T09:03:00Z</dcterms:created>
  <dcterms:modified xsi:type="dcterms:W3CDTF">2023-03-17T09:03:00Z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