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3346" w14:textId="77777777" w:rsidR="00215A1B" w:rsidRPr="004562C3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4562C3">
        <w:rPr>
          <w:b/>
          <w:sz w:val="28"/>
          <w:szCs w:val="28"/>
        </w:rPr>
        <w:t>Economic Commission for Europe</w:t>
      </w:r>
    </w:p>
    <w:p w14:paraId="2FE6D5E1" w14:textId="6A8A5D05" w:rsidR="00215A1B" w:rsidRPr="004562C3" w:rsidRDefault="00215A1B" w:rsidP="00F5390C">
      <w:pPr>
        <w:spacing w:before="120" w:after="0" w:line="240" w:lineRule="atLeast"/>
        <w:rPr>
          <w:sz w:val="28"/>
          <w:szCs w:val="28"/>
        </w:rPr>
      </w:pPr>
      <w:r w:rsidRPr="004562C3">
        <w:rPr>
          <w:sz w:val="28"/>
          <w:szCs w:val="28"/>
        </w:rPr>
        <w:t>Inland Transport Committee</w:t>
      </w:r>
    </w:p>
    <w:p w14:paraId="591F8173" w14:textId="30B8FF98" w:rsidR="007900F5" w:rsidRPr="004562C3" w:rsidRDefault="007900F5" w:rsidP="007900F5">
      <w:pPr>
        <w:tabs>
          <w:tab w:val="left" w:pos="7655"/>
        </w:tabs>
        <w:spacing w:before="120" w:after="0" w:line="240" w:lineRule="atLeast"/>
        <w:rPr>
          <w:b/>
          <w:sz w:val="22"/>
          <w:szCs w:val="28"/>
        </w:rPr>
      </w:pPr>
      <w:r w:rsidRPr="004562C3">
        <w:rPr>
          <w:b/>
          <w:sz w:val="22"/>
          <w:szCs w:val="28"/>
        </w:rPr>
        <w:t>Working Party on the Transport of Dangerous Goods</w:t>
      </w:r>
      <w:r w:rsidRPr="004562C3">
        <w:rPr>
          <w:b/>
          <w:szCs w:val="24"/>
        </w:rPr>
        <w:t xml:space="preserve"> </w:t>
      </w:r>
      <w:r w:rsidRPr="004562C3">
        <w:rPr>
          <w:b/>
          <w:szCs w:val="24"/>
        </w:rPr>
        <w:tab/>
      </w:r>
      <w:r w:rsidR="00B5125B" w:rsidRPr="00B5125B">
        <w:rPr>
          <w:b/>
          <w:szCs w:val="24"/>
        </w:rPr>
        <w:t xml:space="preserve">13 </w:t>
      </w:r>
      <w:r w:rsidR="00E36646" w:rsidRPr="00B5125B">
        <w:rPr>
          <w:b/>
          <w:szCs w:val="24"/>
        </w:rPr>
        <w:t>February</w:t>
      </w:r>
      <w:r w:rsidRPr="00B5125B">
        <w:rPr>
          <w:b/>
        </w:rPr>
        <w:t xml:space="preserve"> 202</w:t>
      </w:r>
      <w:r w:rsidR="00E36646" w:rsidRPr="00B5125B">
        <w:rPr>
          <w:b/>
        </w:rPr>
        <w:t>3</w:t>
      </w:r>
    </w:p>
    <w:p w14:paraId="45A7DD39" w14:textId="5BDB50FE" w:rsidR="00215A1B" w:rsidRPr="004562C3" w:rsidRDefault="007900F5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4562C3">
        <w:rPr>
          <w:b/>
          <w:sz w:val="22"/>
          <w:szCs w:val="24"/>
        </w:rPr>
        <w:t xml:space="preserve">Joint Meeting of the RID Committee of Experts and the </w:t>
      </w:r>
      <w:r w:rsidRPr="004562C3">
        <w:rPr>
          <w:b/>
          <w:sz w:val="22"/>
          <w:szCs w:val="24"/>
        </w:rPr>
        <w:br/>
      </w:r>
      <w:r w:rsidR="00215A1B" w:rsidRPr="004562C3">
        <w:rPr>
          <w:b/>
          <w:sz w:val="22"/>
          <w:szCs w:val="24"/>
        </w:rPr>
        <w:t>Working Party on the Transport of Dangerous Goods</w:t>
      </w:r>
    </w:p>
    <w:p w14:paraId="20D1643D" w14:textId="270DCC98" w:rsidR="006643C6" w:rsidRPr="004562C3" w:rsidRDefault="00FC1A70" w:rsidP="00592CC7">
      <w:r>
        <w:t>Bern</w:t>
      </w:r>
      <w:r w:rsidR="0069755E" w:rsidRPr="004562C3">
        <w:t xml:space="preserve">, </w:t>
      </w:r>
      <w:r w:rsidR="00E36646" w:rsidRPr="00E36646">
        <w:t>20-24 March 2023</w:t>
      </w:r>
      <w:r w:rsidR="00E36646" w:rsidRPr="00E36646">
        <w:cr/>
      </w:r>
      <w:r w:rsidR="00215A1B" w:rsidRPr="004562C3">
        <w:t xml:space="preserve">Item </w:t>
      </w:r>
      <w:r w:rsidR="007900F5" w:rsidRPr="004562C3">
        <w:t>3</w:t>
      </w:r>
      <w:r w:rsidR="00215A1B" w:rsidRPr="004562C3">
        <w:t xml:space="preserve"> of the provisional agenda</w:t>
      </w:r>
      <w:r w:rsidR="00215A1B" w:rsidRPr="004562C3">
        <w:br/>
      </w:r>
      <w:r w:rsidR="007900F5" w:rsidRPr="004562C3">
        <w:rPr>
          <w:b/>
        </w:rPr>
        <w:t>Standards</w:t>
      </w:r>
    </w:p>
    <w:p w14:paraId="11F9865F" w14:textId="25E0A642" w:rsidR="00193421" w:rsidRPr="004562C3" w:rsidRDefault="002574B9" w:rsidP="00CC2CB9">
      <w:pPr>
        <w:pStyle w:val="HChG"/>
      </w:pPr>
      <w:r w:rsidRPr="004562C3">
        <w:tab/>
      </w:r>
      <w:r w:rsidRPr="004562C3">
        <w:tab/>
      </w:r>
      <w:r w:rsidR="00193421" w:rsidRPr="004562C3">
        <w:t xml:space="preserve">Report of the Working Group </w:t>
      </w:r>
      <w:r w:rsidR="00A33E62" w:rsidRPr="004562C3">
        <w:t>on Standards</w:t>
      </w:r>
    </w:p>
    <w:p w14:paraId="42CC3EE4" w14:textId="3ED9724C" w:rsidR="00193421" w:rsidRPr="004562C3" w:rsidRDefault="00193421" w:rsidP="00B537F5">
      <w:pPr>
        <w:pStyle w:val="SingleTxtG"/>
        <w:ind w:right="850"/>
      </w:pPr>
      <w:r w:rsidRPr="004562C3">
        <w:t>1.</w:t>
      </w:r>
      <w:r w:rsidRPr="004562C3">
        <w:tab/>
      </w:r>
      <w:r w:rsidR="0069755E" w:rsidRPr="004562C3">
        <w:t xml:space="preserve">The Working Group on Standards held a virtual meeting on </w:t>
      </w:r>
      <w:r w:rsidR="005716EC">
        <w:t>30</w:t>
      </w:r>
      <w:r w:rsidR="004E5D48" w:rsidRPr="004562C3">
        <w:t xml:space="preserve"> </w:t>
      </w:r>
      <w:r w:rsidR="005716EC">
        <w:t>January</w:t>
      </w:r>
      <w:r w:rsidR="0069755E" w:rsidRPr="004562C3">
        <w:t xml:space="preserve"> 202</w:t>
      </w:r>
      <w:r w:rsidR="005716EC">
        <w:t>3</w:t>
      </w:r>
      <w:r w:rsidR="0069755E" w:rsidRPr="004562C3">
        <w:t xml:space="preserve"> when it reviewed the standards listed in do</w:t>
      </w:r>
      <w:r w:rsidRPr="004562C3">
        <w:t>cument ECE/TRANS/WP.15/AC.1/20</w:t>
      </w:r>
      <w:r w:rsidR="0099702C" w:rsidRPr="004562C3">
        <w:t>2</w:t>
      </w:r>
      <w:r w:rsidR="0078505B">
        <w:t>3</w:t>
      </w:r>
      <w:r w:rsidRPr="004562C3">
        <w:t>/</w:t>
      </w:r>
      <w:r w:rsidR="0078505B">
        <w:t>12</w:t>
      </w:r>
      <w:r w:rsidR="00280AA5" w:rsidRPr="004562C3">
        <w:t>.</w:t>
      </w:r>
    </w:p>
    <w:p w14:paraId="7576C276" w14:textId="27505C18" w:rsidR="00193421" w:rsidRPr="004562C3" w:rsidRDefault="00193421" w:rsidP="0079237B">
      <w:pPr>
        <w:pStyle w:val="SingleTxtG"/>
        <w:jc w:val="left"/>
        <w:rPr>
          <w:b/>
          <w:bCs/>
        </w:rPr>
      </w:pPr>
      <w:r w:rsidRPr="004562C3">
        <w:rPr>
          <w:b/>
          <w:bCs/>
        </w:rPr>
        <w:tab/>
      </w:r>
      <w:r w:rsidR="00504FF8" w:rsidRPr="004562C3">
        <w:rPr>
          <w:b/>
          <w:bCs/>
        </w:rPr>
        <w:t>2.</w:t>
      </w:r>
      <w:r w:rsidRPr="004562C3">
        <w:rPr>
          <w:b/>
          <w:bCs/>
        </w:rPr>
        <w:tab/>
        <w:t>Results</w:t>
      </w:r>
    </w:p>
    <w:p w14:paraId="680F197B" w14:textId="15EC8C74" w:rsidR="00193421" w:rsidRPr="004562C3" w:rsidRDefault="00504FF8" w:rsidP="00C07946">
      <w:pPr>
        <w:pStyle w:val="SingleTxtG"/>
        <w:ind w:left="1701"/>
      </w:pPr>
      <w:r w:rsidRPr="004562C3">
        <w:t>2</w:t>
      </w:r>
      <w:r w:rsidR="00193421" w:rsidRPr="004562C3">
        <w:t>.1</w:t>
      </w:r>
      <w:r w:rsidR="00193421" w:rsidRPr="004562C3">
        <w:tab/>
      </w:r>
      <w:r w:rsidR="00D72689" w:rsidRPr="004562C3">
        <w:t xml:space="preserve">The proposals </w:t>
      </w:r>
      <w:r w:rsidRPr="004562C3">
        <w:t xml:space="preserve">in part 3 </w:t>
      </w:r>
      <w:r w:rsidR="00466382">
        <w:t>below</w:t>
      </w:r>
      <w:r w:rsidRPr="004562C3">
        <w:t xml:space="preserve"> </w:t>
      </w:r>
      <w:r w:rsidR="00D72689" w:rsidRPr="004562C3">
        <w:t xml:space="preserve">are made </w:t>
      </w:r>
      <w:r w:rsidR="00B15D2F" w:rsidRPr="004562C3">
        <w:t>based on</w:t>
      </w:r>
      <w:r w:rsidR="00D72689" w:rsidRPr="004562C3">
        <w:t xml:space="preserve"> </w:t>
      </w:r>
      <w:r w:rsidR="002134D0">
        <w:t xml:space="preserve">informal document </w:t>
      </w:r>
      <w:r w:rsidR="00C07946">
        <w:t>INF.1</w:t>
      </w:r>
      <w:r w:rsidR="00B15D2F">
        <w:t>3</w:t>
      </w:r>
      <w:r w:rsidR="00C07946">
        <w:t>.</w:t>
      </w:r>
    </w:p>
    <w:p w14:paraId="2048EC9F" w14:textId="43B92958" w:rsidR="00193421" w:rsidRDefault="00504FF8" w:rsidP="00C07946">
      <w:pPr>
        <w:pStyle w:val="SingleTxtG"/>
        <w:ind w:left="1701" w:right="850"/>
      </w:pPr>
      <w:r w:rsidRPr="004562C3">
        <w:t>2</w:t>
      </w:r>
      <w:r w:rsidR="00193421" w:rsidRPr="004562C3">
        <w:t>.</w:t>
      </w:r>
      <w:r w:rsidR="00193421" w:rsidRPr="00B679F5">
        <w:t>2</w:t>
      </w:r>
      <w:r w:rsidR="00193421" w:rsidRPr="00B679F5">
        <w:tab/>
      </w:r>
      <w:r w:rsidR="002862F7">
        <w:t>One</w:t>
      </w:r>
      <w:r w:rsidR="0058416F" w:rsidRPr="00B679F5">
        <w:t xml:space="preserve"> new standard and </w:t>
      </w:r>
      <w:r w:rsidR="00B679F5" w:rsidRPr="00B679F5">
        <w:t>two</w:t>
      </w:r>
      <w:r w:rsidR="00B77001" w:rsidRPr="00B679F5">
        <w:t xml:space="preserve"> re</w:t>
      </w:r>
      <w:r w:rsidR="00414277" w:rsidRPr="00B679F5">
        <w:t>placement</w:t>
      </w:r>
      <w:r w:rsidR="00B77001" w:rsidRPr="00B679F5">
        <w:t xml:space="preserve"> standard</w:t>
      </w:r>
      <w:r w:rsidR="00B679F5" w:rsidRPr="00B679F5">
        <w:t>s</w:t>
      </w:r>
      <w:r w:rsidR="00B77001" w:rsidRPr="00B679F5">
        <w:t xml:space="preserve"> are proposed</w:t>
      </w:r>
      <w:r w:rsidR="00955410" w:rsidRPr="00B679F5">
        <w:t xml:space="preserve"> for referencing</w:t>
      </w:r>
      <w:r w:rsidR="00B77001" w:rsidRPr="00B679F5">
        <w:t>.</w:t>
      </w:r>
      <w:r w:rsidR="004B2B42" w:rsidRPr="00B679F5">
        <w:t xml:space="preserve"> Standards not yet published show their dates in square brackets.</w:t>
      </w:r>
    </w:p>
    <w:p w14:paraId="28CB3F4B" w14:textId="20D6E038" w:rsidR="001E478D" w:rsidRPr="004F7A3E" w:rsidRDefault="001E478D" w:rsidP="00C07946">
      <w:pPr>
        <w:pStyle w:val="SingleTxtG"/>
        <w:ind w:left="1701" w:right="850"/>
      </w:pPr>
      <w:r>
        <w:t>2.3</w:t>
      </w:r>
      <w:r>
        <w:tab/>
      </w:r>
      <w:r w:rsidR="00D77697">
        <w:t>A</w:t>
      </w:r>
      <w:r w:rsidR="007D35BB">
        <w:t xml:space="preserve">n assessment was carried out of </w:t>
      </w:r>
      <w:r w:rsidR="004F5BCB">
        <w:t xml:space="preserve">prEN ISO 21011, </w:t>
      </w:r>
      <w:r w:rsidR="004F5BCB" w:rsidRPr="00A85EF5">
        <w:rPr>
          <w:i/>
          <w:iCs/>
        </w:rPr>
        <w:t>Cryogenic vessels – Valves for cryogenic service</w:t>
      </w:r>
      <w:r w:rsidR="00A85EF5">
        <w:t>,</w:t>
      </w:r>
      <w:r w:rsidR="00B84014">
        <w:t xml:space="preserve"> and it was original</w:t>
      </w:r>
      <w:r w:rsidR="00D529AD">
        <w:t>ly</w:t>
      </w:r>
      <w:r w:rsidR="00B84014">
        <w:t xml:space="preserve"> intended to propose this for reference in RID/ADR</w:t>
      </w:r>
      <w:r w:rsidR="00FE6F10">
        <w:t xml:space="preserve"> at the Spring 2023 session</w:t>
      </w:r>
      <w:r w:rsidR="00A85EF5">
        <w:t xml:space="preserve">. </w:t>
      </w:r>
      <w:r w:rsidR="004403CA">
        <w:t>After</w:t>
      </w:r>
      <w:r w:rsidR="00127570">
        <w:t xml:space="preserve"> the meeting of the Working Group on Standards,</w:t>
      </w:r>
      <w:r w:rsidR="00352C8C">
        <w:t xml:space="preserve"> it was decided to hold the proposal to reference the standard in RID/AD</w:t>
      </w:r>
      <w:r w:rsidR="00D73031">
        <w:t xml:space="preserve">R until the </w:t>
      </w:r>
      <w:r w:rsidR="00DE5754">
        <w:t>Autumn 2023</w:t>
      </w:r>
      <w:r w:rsidR="00D73031">
        <w:t xml:space="preserve"> session of the Joint Meeting. The reason for this is that </w:t>
      </w:r>
      <w:r w:rsidR="009D412E">
        <w:t>it was</w:t>
      </w:r>
      <w:r w:rsidR="007904AE">
        <w:t xml:space="preserve"> only appreciated after the </w:t>
      </w:r>
      <w:r w:rsidR="00DE5754">
        <w:t xml:space="preserve">standards working group </w:t>
      </w:r>
      <w:r w:rsidR="007904AE">
        <w:t xml:space="preserve">meeting that </w:t>
      </w:r>
      <w:r w:rsidR="00D73031">
        <w:t xml:space="preserve">prEN ISO 21011 will </w:t>
      </w:r>
      <w:r w:rsidR="00EA7480">
        <w:t>replace EN</w:t>
      </w:r>
      <w:r w:rsidR="005F7035">
        <w:t xml:space="preserve"> 1626:2008</w:t>
      </w:r>
      <w:r w:rsidR="00B70F8C">
        <w:t xml:space="preserve"> </w:t>
      </w:r>
      <w:r w:rsidR="00B70F8C" w:rsidRPr="004F7A3E">
        <w:rPr>
          <w:i/>
          <w:iCs/>
        </w:rPr>
        <w:t xml:space="preserve">Cryogenic vessels – Valves for </w:t>
      </w:r>
      <w:r w:rsidR="004F7A3E" w:rsidRPr="004F7A3E">
        <w:rPr>
          <w:i/>
          <w:iCs/>
        </w:rPr>
        <w:t>cryogenic service</w:t>
      </w:r>
      <w:r w:rsidR="00DE4FAE">
        <w:t xml:space="preserve">. </w:t>
      </w:r>
      <w:r w:rsidR="00C72C0D">
        <w:t>F</w:t>
      </w:r>
      <w:r w:rsidR="000858A5">
        <w:t>urther work is required</w:t>
      </w:r>
      <w:r w:rsidR="00F4437E">
        <w:t xml:space="preserve"> to ensure all area</w:t>
      </w:r>
      <w:r w:rsidR="000A718F">
        <w:t xml:space="preserve">s where EN 1626 </w:t>
      </w:r>
      <w:r w:rsidR="00C72C0D">
        <w:t xml:space="preserve">are referenced in RID/ADR </w:t>
      </w:r>
      <w:r w:rsidR="000A718F">
        <w:t>are addressed</w:t>
      </w:r>
      <w:r w:rsidR="00C72C0D">
        <w:t xml:space="preserve"> before proposing </w:t>
      </w:r>
      <w:r w:rsidR="006E6B9C">
        <w:t>for referencing</w:t>
      </w:r>
      <w:r w:rsidR="000A718F">
        <w:t>.</w:t>
      </w:r>
    </w:p>
    <w:p w14:paraId="23422935" w14:textId="2707C1C3" w:rsidR="00D1559C" w:rsidRPr="004562C3" w:rsidRDefault="00D1559C" w:rsidP="00C07946">
      <w:pPr>
        <w:pStyle w:val="SingleTxtG"/>
        <w:ind w:left="1701" w:right="850"/>
      </w:pPr>
      <w:r>
        <w:t>2.</w:t>
      </w:r>
      <w:r w:rsidR="001E478D">
        <w:t>4</w:t>
      </w:r>
      <w:r>
        <w:tab/>
        <w:t xml:space="preserve">Two general purpose standards </w:t>
      </w:r>
      <w:r w:rsidR="00716422">
        <w:t>were notified this session, both these standards refer to explosive atmospheres and a</w:t>
      </w:r>
      <w:r w:rsidR="003F1A43">
        <w:t xml:space="preserve">re </w:t>
      </w:r>
      <w:r w:rsidR="003F1A43" w:rsidRPr="00365199">
        <w:t xml:space="preserve">referenced in </w:t>
      </w:r>
      <w:r w:rsidR="00F11C6F">
        <w:t xml:space="preserve">Part </w:t>
      </w:r>
      <w:r w:rsidR="00EE5881">
        <w:t>9</w:t>
      </w:r>
      <w:r w:rsidR="00F11C6F">
        <w:t xml:space="preserve"> of ADR</w:t>
      </w:r>
      <w:r w:rsidR="00365199">
        <w:t>.</w:t>
      </w:r>
    </w:p>
    <w:p w14:paraId="764735E0" w14:textId="02C6D9CC" w:rsidR="0061645F" w:rsidRPr="004562C3" w:rsidRDefault="00243FA7" w:rsidP="00243FA7">
      <w:pPr>
        <w:pStyle w:val="HChG"/>
      </w:pPr>
      <w:r w:rsidRPr="004562C3">
        <w:tab/>
      </w:r>
      <w:r w:rsidRPr="004562C3">
        <w:tab/>
      </w:r>
      <w:r w:rsidR="0061645F" w:rsidRPr="004562C3">
        <w:t>Proposals</w:t>
      </w:r>
    </w:p>
    <w:p w14:paraId="0554AD80" w14:textId="5D2C5038" w:rsidR="00193421" w:rsidRPr="00583FD1" w:rsidRDefault="00A521B8" w:rsidP="00614D10">
      <w:pPr>
        <w:pStyle w:val="SingleTxtG"/>
        <w:rPr>
          <w:b/>
        </w:rPr>
      </w:pPr>
      <w:r w:rsidRPr="00583FD1">
        <w:rPr>
          <w:b/>
        </w:rPr>
        <w:t>3</w:t>
      </w:r>
      <w:r w:rsidR="0054359C" w:rsidRPr="00583FD1">
        <w:rPr>
          <w:b/>
        </w:rPr>
        <w:t>.</w:t>
      </w:r>
      <w:r w:rsidR="00193421" w:rsidRPr="00583FD1">
        <w:rPr>
          <w:b/>
        </w:rPr>
        <w:tab/>
      </w:r>
      <w:r w:rsidR="00193421" w:rsidRPr="00583FD1">
        <w:rPr>
          <w:b/>
          <w:bCs/>
        </w:rPr>
        <w:t>Proposed</w:t>
      </w:r>
      <w:r w:rsidR="00193421" w:rsidRPr="00583FD1">
        <w:rPr>
          <w:b/>
        </w:rPr>
        <w:t xml:space="preserve"> </w:t>
      </w:r>
      <w:r w:rsidR="00A95E35" w:rsidRPr="00583FD1">
        <w:rPr>
          <w:b/>
        </w:rPr>
        <w:t>additions</w:t>
      </w:r>
      <w:r w:rsidR="00193421" w:rsidRPr="00583FD1">
        <w:rPr>
          <w:b/>
        </w:rPr>
        <w:t xml:space="preserve"> to the list of standards for reference in RID/ADR 202</w:t>
      </w:r>
      <w:r w:rsidR="004D719E" w:rsidRPr="00583FD1">
        <w:rPr>
          <w:b/>
        </w:rPr>
        <w:t>5</w:t>
      </w:r>
    </w:p>
    <w:p w14:paraId="01EE6300" w14:textId="7A1767EE" w:rsidR="00301BE1" w:rsidRPr="00583FD1" w:rsidRDefault="00301BE1" w:rsidP="00C07946">
      <w:pPr>
        <w:tabs>
          <w:tab w:val="left" w:pos="426"/>
        </w:tabs>
        <w:spacing w:before="120" w:after="120"/>
        <w:ind w:left="1701" w:right="1134"/>
        <w:rPr>
          <w:b/>
          <w:bCs/>
          <w:u w:val="single"/>
        </w:rPr>
      </w:pPr>
      <w:r w:rsidRPr="00583FD1">
        <w:rPr>
          <w:b/>
          <w:bCs/>
        </w:rPr>
        <w:t>3</w:t>
      </w:r>
      <w:r w:rsidR="0094444F" w:rsidRPr="00583FD1">
        <w:rPr>
          <w:b/>
          <w:bCs/>
        </w:rPr>
        <w:t>.</w:t>
      </w:r>
      <w:r w:rsidR="00377A83" w:rsidRPr="00583FD1">
        <w:rPr>
          <w:b/>
          <w:bCs/>
        </w:rPr>
        <w:t>1</w:t>
      </w:r>
      <w:r w:rsidR="0094444F" w:rsidRPr="00583FD1">
        <w:rPr>
          <w:b/>
          <w:bCs/>
        </w:rPr>
        <w:tab/>
      </w:r>
      <w:r w:rsidR="0094444F" w:rsidRPr="00D32F66">
        <w:rPr>
          <w:b/>
          <w:bCs/>
        </w:rPr>
        <w:t xml:space="preserve">Draft amendment relating to standard </w:t>
      </w:r>
      <w:r w:rsidRPr="00D32F66">
        <w:rPr>
          <w:b/>
          <w:bCs/>
        </w:rPr>
        <w:t xml:space="preserve">EN </w:t>
      </w:r>
      <w:r w:rsidR="0000169F" w:rsidRPr="00D32F66">
        <w:rPr>
          <w:b/>
          <w:bCs/>
        </w:rPr>
        <w:t>ISO 9809</w:t>
      </w:r>
      <w:r w:rsidR="00617117" w:rsidRPr="00D32F66">
        <w:rPr>
          <w:b/>
          <w:bCs/>
        </w:rPr>
        <w:t>-4</w:t>
      </w:r>
      <w:r w:rsidR="007508EB" w:rsidRPr="00D32F66">
        <w:rPr>
          <w:b/>
          <w:bCs/>
        </w:rPr>
        <w:t>:202</w:t>
      </w:r>
      <w:r w:rsidR="00617117" w:rsidRPr="00D32F66">
        <w:rPr>
          <w:b/>
          <w:bCs/>
        </w:rPr>
        <w:t>2</w:t>
      </w:r>
    </w:p>
    <w:p w14:paraId="726D0BC3" w14:textId="77777777" w:rsidR="001266A7" w:rsidRPr="00583FD1" w:rsidRDefault="001266A7" w:rsidP="00C07946">
      <w:pPr>
        <w:ind w:left="1701"/>
      </w:pPr>
      <w:r w:rsidRPr="00583FD1">
        <w:t xml:space="preserve">6.2.4.1 Amend the table </w:t>
      </w:r>
      <w:r w:rsidRPr="00583FD1">
        <w:rPr>
          <w:i/>
          <w:iCs/>
        </w:rPr>
        <w:t>“Design, Construction and initial inspection and test”</w:t>
      </w:r>
      <w:r w:rsidRPr="00583FD1">
        <w:t xml:space="preserve"> as follows:</w:t>
      </w:r>
    </w:p>
    <w:p w14:paraId="5C692E60" w14:textId="7D778686" w:rsidR="001266A7" w:rsidRPr="00583FD1" w:rsidRDefault="001266A7" w:rsidP="007942FE">
      <w:pPr>
        <w:spacing w:after="120"/>
        <w:ind w:left="1701"/>
      </w:pPr>
      <w:r w:rsidRPr="00583FD1">
        <w:t>After the row for “EN ISO 9809-3:2019”, insert the following new row:</w:t>
      </w:r>
    </w:p>
    <w:tbl>
      <w:tblPr>
        <w:tblStyle w:val="TableGrid"/>
        <w:tblW w:w="7887" w:type="dxa"/>
        <w:tblInd w:w="1129" w:type="dxa"/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992"/>
        <w:gridCol w:w="374"/>
      </w:tblGrid>
      <w:tr w:rsidR="001266A7" w14:paraId="52A08889" w14:textId="77777777" w:rsidTr="00287A35">
        <w:tc>
          <w:tcPr>
            <w:tcW w:w="993" w:type="dxa"/>
          </w:tcPr>
          <w:p w14:paraId="4A250080" w14:textId="77777777" w:rsidR="001266A7" w:rsidRPr="00287A35" w:rsidRDefault="001266A7" w:rsidP="00BA6E78">
            <w:pPr>
              <w:jc w:val="center"/>
            </w:pPr>
            <w:r w:rsidRPr="00287A35">
              <w:t>EN ISO 9809-4: 2022</w:t>
            </w:r>
          </w:p>
        </w:tc>
        <w:tc>
          <w:tcPr>
            <w:tcW w:w="4536" w:type="dxa"/>
          </w:tcPr>
          <w:p w14:paraId="6B2EEC2E" w14:textId="6FB67FB7" w:rsidR="001266A7" w:rsidRDefault="001266A7" w:rsidP="00492D70">
            <w:pPr>
              <w:spacing w:after="0"/>
            </w:pPr>
            <w:r w:rsidRPr="00287A35">
              <w:t xml:space="preserve">Gas cylinders - Design, construction and testing of refillable seamless steel gas cylinders and tubes - Part 4: Stainless steel cylinders with an Rm value of less than 1 100 MPa </w:t>
            </w:r>
          </w:p>
          <w:p w14:paraId="0891105C" w14:textId="6765E9F0" w:rsidR="00492D70" w:rsidRPr="00287A35" w:rsidRDefault="00492D70" w:rsidP="00492D70">
            <w:r w:rsidRPr="00BB7FDC">
              <w:rPr>
                <w:b/>
                <w:bCs/>
                <w:i/>
                <w:iCs/>
              </w:rPr>
              <w:t>NOTE</w:t>
            </w:r>
            <w:r w:rsidRPr="00306C0D">
              <w:rPr>
                <w:bCs/>
                <w:i/>
                <w:iCs/>
              </w:rPr>
              <w:t>: Small quantities are a batch of cylinders not exceeding 200</w:t>
            </w:r>
          </w:p>
        </w:tc>
        <w:tc>
          <w:tcPr>
            <w:tcW w:w="992" w:type="dxa"/>
          </w:tcPr>
          <w:p w14:paraId="2633967C" w14:textId="12AD3794" w:rsidR="001266A7" w:rsidRPr="005C3C50" w:rsidRDefault="001266A7" w:rsidP="00BA6E78">
            <w:pPr>
              <w:jc w:val="center"/>
            </w:pPr>
            <w:r w:rsidRPr="005C3C50">
              <w:t>6.2.3.1 and</w:t>
            </w:r>
            <w:r w:rsidR="005C3C50" w:rsidRPr="005C3C50">
              <w:t xml:space="preserve"> </w:t>
            </w:r>
            <w:r w:rsidRPr="005C3C50">
              <w:t>6.2.3.4</w:t>
            </w:r>
          </w:p>
        </w:tc>
        <w:tc>
          <w:tcPr>
            <w:tcW w:w="992" w:type="dxa"/>
          </w:tcPr>
          <w:p w14:paraId="2420E2FF" w14:textId="77777777" w:rsidR="001266A7" w:rsidRPr="005C3C50" w:rsidRDefault="001266A7" w:rsidP="00BA6E78">
            <w:pPr>
              <w:jc w:val="center"/>
            </w:pPr>
            <w:r w:rsidRPr="005C3C50">
              <w:t>Until further notice</w:t>
            </w:r>
          </w:p>
        </w:tc>
        <w:tc>
          <w:tcPr>
            <w:tcW w:w="374" w:type="dxa"/>
          </w:tcPr>
          <w:p w14:paraId="1CB12336" w14:textId="77777777" w:rsidR="001266A7" w:rsidRDefault="001266A7" w:rsidP="008449B5"/>
        </w:tc>
      </w:tr>
    </w:tbl>
    <w:p w14:paraId="4E5D7795" w14:textId="2CFB65CA" w:rsidR="001266A7" w:rsidRPr="005C3C50" w:rsidRDefault="005C3C50" w:rsidP="007942FE">
      <w:pPr>
        <w:spacing w:before="120" w:after="120"/>
        <w:ind w:left="1701"/>
        <w:rPr>
          <w:b/>
          <w:bCs/>
        </w:rPr>
      </w:pPr>
      <w:r w:rsidRPr="005C3C50">
        <w:rPr>
          <w:b/>
          <w:bCs/>
        </w:rPr>
        <w:t>3.2</w:t>
      </w:r>
      <w:r w:rsidRPr="005C3C50">
        <w:rPr>
          <w:b/>
          <w:bCs/>
        </w:rPr>
        <w:tab/>
      </w:r>
      <w:r w:rsidR="001266A7" w:rsidRPr="005C3C50">
        <w:rPr>
          <w:b/>
          <w:bCs/>
        </w:rPr>
        <w:t>Draft amendment relating to standard EN 13110</w:t>
      </w:r>
      <w:r w:rsidR="00492D70">
        <w:rPr>
          <w:b/>
          <w:bCs/>
        </w:rPr>
        <w:t>:</w:t>
      </w:r>
      <w:r w:rsidR="001266A7" w:rsidRPr="005C3C50">
        <w:rPr>
          <w:b/>
          <w:bCs/>
        </w:rPr>
        <w:t>2022</w:t>
      </w:r>
    </w:p>
    <w:p w14:paraId="72C165E5" w14:textId="390976BA" w:rsidR="001266A7" w:rsidRPr="001F6093" w:rsidRDefault="001266A7" w:rsidP="007942FE">
      <w:pPr>
        <w:spacing w:after="120"/>
        <w:ind w:left="1701"/>
      </w:pPr>
      <w:r w:rsidRPr="001F6093">
        <w:t>6.2.4.1 Amend the table “</w:t>
      </w:r>
      <w:r w:rsidR="00492D70" w:rsidRPr="00BB7FDC">
        <w:rPr>
          <w:i/>
        </w:rPr>
        <w:t>for</w:t>
      </w:r>
      <w:r w:rsidR="00492D70">
        <w:t xml:space="preserve"> </w:t>
      </w:r>
      <w:r w:rsidR="00492D70">
        <w:rPr>
          <w:i/>
          <w:iCs/>
        </w:rPr>
        <w:t>d</w:t>
      </w:r>
      <w:r w:rsidRPr="001F6093">
        <w:rPr>
          <w:i/>
          <w:iCs/>
        </w:rPr>
        <w:t>esign</w:t>
      </w:r>
      <w:r w:rsidR="00492D70">
        <w:rPr>
          <w:i/>
          <w:iCs/>
        </w:rPr>
        <w:t xml:space="preserve"> and</w:t>
      </w:r>
      <w:r w:rsidRPr="001F6093">
        <w:rPr>
          <w:i/>
          <w:iCs/>
        </w:rPr>
        <w:t xml:space="preserve"> </w:t>
      </w:r>
      <w:r w:rsidR="00492D70">
        <w:rPr>
          <w:i/>
          <w:iCs/>
        </w:rPr>
        <w:t>c</w:t>
      </w:r>
      <w:r w:rsidRPr="001F6093">
        <w:rPr>
          <w:i/>
          <w:iCs/>
        </w:rPr>
        <w:t xml:space="preserve">onstruction </w:t>
      </w:r>
      <w:r w:rsidR="00492D70">
        <w:rPr>
          <w:i/>
          <w:iCs/>
        </w:rPr>
        <w:t>of pressure receptacles or pressure receptacles shells</w:t>
      </w:r>
      <w:r w:rsidRPr="001F6093">
        <w:t>” as follows:</w:t>
      </w:r>
    </w:p>
    <w:p w14:paraId="006EE912" w14:textId="4F80DFD6" w:rsidR="001266A7" w:rsidRPr="00825381" w:rsidRDefault="001266A7" w:rsidP="007942FE">
      <w:pPr>
        <w:spacing w:after="120"/>
        <w:ind w:left="1701" w:right="850"/>
      </w:pPr>
      <w:bookmarkStart w:id="0" w:name="_Hlk126658302"/>
      <w:r w:rsidRPr="00825381">
        <w:t>For EN 13110:2012 in column (4) replace “Until further notice” by “Between 1 January 2013 and 31 December 20</w:t>
      </w:r>
      <w:r w:rsidR="00825381" w:rsidRPr="00825381">
        <w:t>26</w:t>
      </w:r>
      <w:r w:rsidRPr="00825381">
        <w:t>”. After the row for “EN 13110:2012” insert the following new row: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850"/>
        <w:gridCol w:w="426"/>
      </w:tblGrid>
      <w:tr w:rsidR="001266A7" w14:paraId="5383BFE3" w14:textId="77777777" w:rsidTr="00825381">
        <w:tc>
          <w:tcPr>
            <w:tcW w:w="993" w:type="dxa"/>
          </w:tcPr>
          <w:bookmarkEnd w:id="0"/>
          <w:p w14:paraId="4B281000" w14:textId="77777777" w:rsidR="001266A7" w:rsidRPr="00825381" w:rsidRDefault="001266A7" w:rsidP="00BA6E78">
            <w:pPr>
              <w:jc w:val="center"/>
            </w:pPr>
            <w:r w:rsidRPr="00825381">
              <w:lastRenderedPageBreak/>
              <w:t>EN 13110: 2022</w:t>
            </w:r>
          </w:p>
        </w:tc>
        <w:tc>
          <w:tcPr>
            <w:tcW w:w="4536" w:type="dxa"/>
          </w:tcPr>
          <w:p w14:paraId="5AFAC064" w14:textId="77777777" w:rsidR="001266A7" w:rsidRPr="00825381" w:rsidRDefault="001266A7" w:rsidP="008449B5">
            <w:r w:rsidRPr="00825381">
              <w:t>LPG equipment and accessories - Transportable refillable welded aluminium cylinders for liquefied petroleum gas (LPG) - Design and construction</w:t>
            </w:r>
            <w:r w:rsidRPr="00825381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673B22C5" w14:textId="39BCE2ED" w:rsidR="001266A7" w:rsidRPr="00825381" w:rsidRDefault="001266A7" w:rsidP="00BA6E78">
            <w:pPr>
              <w:jc w:val="center"/>
            </w:pPr>
            <w:r w:rsidRPr="00825381">
              <w:t>6.2.3.1 and</w:t>
            </w:r>
            <w:r w:rsidR="00825381" w:rsidRPr="00825381">
              <w:t xml:space="preserve"> </w:t>
            </w:r>
            <w:r w:rsidRPr="00825381">
              <w:t>6.2.3.4</w:t>
            </w:r>
          </w:p>
        </w:tc>
        <w:tc>
          <w:tcPr>
            <w:tcW w:w="850" w:type="dxa"/>
          </w:tcPr>
          <w:p w14:paraId="62B1D1D5" w14:textId="77777777" w:rsidR="001266A7" w:rsidRPr="00825381" w:rsidRDefault="001266A7" w:rsidP="00BA6E78">
            <w:pPr>
              <w:jc w:val="center"/>
            </w:pPr>
            <w:r w:rsidRPr="00825381">
              <w:t>Until further notice</w:t>
            </w:r>
          </w:p>
        </w:tc>
        <w:tc>
          <w:tcPr>
            <w:tcW w:w="426" w:type="dxa"/>
          </w:tcPr>
          <w:p w14:paraId="5ACBB24B" w14:textId="77777777" w:rsidR="001266A7" w:rsidRDefault="001266A7" w:rsidP="008449B5"/>
        </w:tc>
      </w:tr>
    </w:tbl>
    <w:p w14:paraId="4A086404" w14:textId="2ED4F00B" w:rsidR="002B32F7" w:rsidRDefault="000175D0" w:rsidP="007942FE">
      <w:pPr>
        <w:spacing w:before="120" w:after="120"/>
        <w:ind w:left="1701"/>
        <w:rPr>
          <w:b/>
          <w:bCs/>
        </w:rPr>
      </w:pPr>
      <w:r>
        <w:rPr>
          <w:b/>
          <w:bCs/>
        </w:rPr>
        <w:t>3.3</w:t>
      </w:r>
      <w:r>
        <w:rPr>
          <w:b/>
          <w:bCs/>
        </w:rPr>
        <w:tab/>
        <w:t>Draft amendment relating to standard EN 14129</w:t>
      </w:r>
      <w:r w:rsidR="00492D70">
        <w:rPr>
          <w:b/>
          <w:bCs/>
        </w:rPr>
        <w:t>:</w:t>
      </w:r>
      <w:r>
        <w:rPr>
          <w:b/>
          <w:bCs/>
        </w:rPr>
        <w:t>[</w:t>
      </w:r>
      <w:r w:rsidR="00C32046">
        <w:rPr>
          <w:b/>
          <w:bCs/>
        </w:rPr>
        <w:t>2023]</w:t>
      </w:r>
    </w:p>
    <w:p w14:paraId="1B9543A9" w14:textId="5F240840" w:rsidR="0093778B" w:rsidRDefault="0093778B" w:rsidP="007942FE">
      <w:pPr>
        <w:spacing w:after="120"/>
        <w:ind w:left="1701"/>
      </w:pPr>
      <w:r w:rsidRPr="001F6093">
        <w:t>6.2.4.1 Amend the table “</w:t>
      </w:r>
      <w:r w:rsidR="00492D70" w:rsidRPr="00BB7FDC">
        <w:rPr>
          <w:i/>
        </w:rPr>
        <w:t xml:space="preserve">for </w:t>
      </w:r>
      <w:r w:rsidR="00492D70">
        <w:rPr>
          <w:i/>
          <w:iCs/>
        </w:rPr>
        <w:t>d</w:t>
      </w:r>
      <w:r w:rsidRPr="001F6093">
        <w:rPr>
          <w:i/>
          <w:iCs/>
        </w:rPr>
        <w:t>esign</w:t>
      </w:r>
      <w:r w:rsidR="00492D70">
        <w:rPr>
          <w:i/>
          <w:iCs/>
        </w:rPr>
        <w:t xml:space="preserve"> and</w:t>
      </w:r>
      <w:r w:rsidRPr="001F6093">
        <w:rPr>
          <w:i/>
          <w:iCs/>
        </w:rPr>
        <w:t xml:space="preserve"> </w:t>
      </w:r>
      <w:r w:rsidR="00492D70">
        <w:rPr>
          <w:i/>
          <w:iCs/>
        </w:rPr>
        <w:t>c</w:t>
      </w:r>
      <w:r w:rsidRPr="001F6093">
        <w:rPr>
          <w:i/>
          <w:iCs/>
        </w:rPr>
        <w:t xml:space="preserve">onstruction </w:t>
      </w:r>
      <w:r w:rsidR="00BB7FDC">
        <w:rPr>
          <w:i/>
          <w:iCs/>
        </w:rPr>
        <w:t>of pressure receptacles or pressure receptacles shells</w:t>
      </w:r>
      <w:r w:rsidRPr="001F6093">
        <w:t>” as follows:</w:t>
      </w:r>
    </w:p>
    <w:p w14:paraId="28089ED2" w14:textId="02E4C970" w:rsidR="007B7B58" w:rsidRPr="00610ADB" w:rsidRDefault="007B7B58" w:rsidP="007942FE">
      <w:pPr>
        <w:spacing w:after="120"/>
        <w:ind w:left="1701"/>
      </w:pPr>
      <w:r w:rsidRPr="00610ADB">
        <w:t>For EN 1</w:t>
      </w:r>
      <w:r w:rsidR="00AE3931" w:rsidRPr="00610ADB">
        <w:t>4129</w:t>
      </w:r>
      <w:r w:rsidRPr="00610ADB">
        <w:t>:20</w:t>
      </w:r>
      <w:r w:rsidR="00AE3931" w:rsidRPr="00610ADB">
        <w:t>14</w:t>
      </w:r>
      <w:r w:rsidRPr="00610ADB">
        <w:t xml:space="preserve"> in column (4) replace “Until further notice” by “Between 1 January 20</w:t>
      </w:r>
      <w:r w:rsidR="00610ADB" w:rsidRPr="00610ADB">
        <w:t>21</w:t>
      </w:r>
      <w:r w:rsidRPr="00610ADB">
        <w:t xml:space="preserve"> and 31 December 2026”. After the row for “EN 1</w:t>
      </w:r>
      <w:r w:rsidR="00610ADB">
        <w:t>4129</w:t>
      </w:r>
      <w:r w:rsidRPr="00610ADB">
        <w:t>:201</w:t>
      </w:r>
      <w:r w:rsidR="00780EC6">
        <w:t>4</w:t>
      </w:r>
      <w:r w:rsidRPr="00610ADB">
        <w:t>” insert the following new row: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850"/>
        <w:gridCol w:w="426"/>
      </w:tblGrid>
      <w:tr w:rsidR="004859CE" w14:paraId="7CFD3E96" w14:textId="77777777" w:rsidTr="004707E8">
        <w:tc>
          <w:tcPr>
            <w:tcW w:w="993" w:type="dxa"/>
            <w:shd w:val="clear" w:color="auto" w:fill="auto"/>
          </w:tcPr>
          <w:p w14:paraId="0372A0B4" w14:textId="77777777" w:rsidR="004859CE" w:rsidRDefault="00043F4B" w:rsidP="00BA6E78">
            <w:pPr>
              <w:jc w:val="center"/>
            </w:pPr>
            <w:bookmarkStart w:id="1" w:name="_Hlk126658985"/>
            <w:r w:rsidRPr="004707E8">
              <w:rPr>
                <w:bCs/>
                <w:iCs/>
              </w:rPr>
              <w:t>EN 14129</w:t>
            </w:r>
            <w:r w:rsidR="004859CE" w:rsidRPr="004707E8">
              <w:t xml:space="preserve">: </w:t>
            </w:r>
            <w:r w:rsidR="00AA3E0D" w:rsidRPr="004707E8">
              <w:t>[</w:t>
            </w:r>
            <w:r w:rsidR="004859CE" w:rsidRPr="004707E8">
              <w:t>202</w:t>
            </w:r>
            <w:r w:rsidRPr="004707E8">
              <w:t>3</w:t>
            </w:r>
            <w:r w:rsidR="0094692A" w:rsidRPr="004707E8">
              <w:t>]</w:t>
            </w:r>
          </w:p>
          <w:p w14:paraId="5E342B9F" w14:textId="79C36AF2" w:rsidR="00C800EA" w:rsidRPr="0094692A" w:rsidRDefault="00C800EA" w:rsidP="00251342"/>
        </w:tc>
        <w:tc>
          <w:tcPr>
            <w:tcW w:w="4536" w:type="dxa"/>
          </w:tcPr>
          <w:p w14:paraId="2FA7D9B5" w14:textId="77777777" w:rsidR="004859CE" w:rsidRDefault="00D97645" w:rsidP="00251342">
            <w:pPr>
              <w:rPr>
                <w:bCs/>
                <w:i/>
                <w:iCs/>
              </w:rPr>
            </w:pPr>
            <w:r w:rsidRPr="0094692A">
              <w:rPr>
                <w:bCs/>
                <w:iCs/>
              </w:rPr>
              <w:t>LPG Equipment and accessories - Pressure relief valves for LPG pressure vessels</w:t>
            </w:r>
            <w:r w:rsidR="004859CE" w:rsidRPr="0094692A">
              <w:rPr>
                <w:bCs/>
                <w:i/>
                <w:iCs/>
              </w:rPr>
              <w:t>.</w:t>
            </w:r>
          </w:p>
          <w:p w14:paraId="127A4BB4" w14:textId="5C243E10" w:rsidR="00780EC6" w:rsidRPr="0094692A" w:rsidRDefault="00780EC6" w:rsidP="00251342">
            <w:pPr>
              <w:rPr>
                <w:bCs/>
              </w:rPr>
            </w:pPr>
            <w:r w:rsidRPr="00780EC6">
              <w:rPr>
                <w:b/>
                <w:i/>
                <w:iCs/>
              </w:rPr>
              <w:t>NOTE:</w:t>
            </w:r>
            <w:r>
              <w:rPr>
                <w:bCs/>
                <w:i/>
                <w:iCs/>
              </w:rPr>
              <w:t xml:space="preserve"> This standard is applicable to pressure drums</w:t>
            </w:r>
          </w:p>
        </w:tc>
        <w:tc>
          <w:tcPr>
            <w:tcW w:w="992" w:type="dxa"/>
          </w:tcPr>
          <w:p w14:paraId="20016D1A" w14:textId="470C093D" w:rsidR="004859CE" w:rsidRPr="0094692A" w:rsidRDefault="004859CE" w:rsidP="00492D70">
            <w:pPr>
              <w:jc w:val="both"/>
            </w:pPr>
            <w:r w:rsidRPr="0094692A">
              <w:t>6.2.</w:t>
            </w:r>
            <w:r w:rsidR="00A81EE5">
              <w:t>3.1</w:t>
            </w:r>
            <w:r w:rsidR="00D74CCA">
              <w:t>, 6.2.3.3 and 6.2.3.4</w:t>
            </w:r>
          </w:p>
        </w:tc>
        <w:tc>
          <w:tcPr>
            <w:tcW w:w="850" w:type="dxa"/>
          </w:tcPr>
          <w:p w14:paraId="71C3483F" w14:textId="77777777" w:rsidR="004859CE" w:rsidRPr="0094692A" w:rsidRDefault="004859CE" w:rsidP="00BA6E78">
            <w:pPr>
              <w:jc w:val="center"/>
            </w:pPr>
            <w:r w:rsidRPr="0094692A">
              <w:t>Until further notice</w:t>
            </w:r>
          </w:p>
        </w:tc>
        <w:tc>
          <w:tcPr>
            <w:tcW w:w="426" w:type="dxa"/>
          </w:tcPr>
          <w:p w14:paraId="6BB795DD" w14:textId="77777777" w:rsidR="004859CE" w:rsidRDefault="004859CE" w:rsidP="00251342"/>
        </w:tc>
      </w:tr>
    </w:tbl>
    <w:bookmarkEnd w:id="1"/>
    <w:p w14:paraId="7EFFA5BF" w14:textId="06E3280E" w:rsidR="00933E29" w:rsidRDefault="00F900A7" w:rsidP="007942FE">
      <w:pPr>
        <w:spacing w:before="120" w:after="120"/>
        <w:ind w:left="1701"/>
      </w:pPr>
      <w:r>
        <w:tab/>
        <w:t>6.8.2.</w:t>
      </w:r>
      <w:r w:rsidR="00882208">
        <w:t>6.1 Amend the table “</w:t>
      </w:r>
      <w:r w:rsidR="005E6088" w:rsidRPr="001D55A7">
        <w:rPr>
          <w:i/>
        </w:rPr>
        <w:t xml:space="preserve">For </w:t>
      </w:r>
      <w:r w:rsidR="005E6088">
        <w:t>d</w:t>
      </w:r>
      <w:r w:rsidR="00882208" w:rsidRPr="00882208">
        <w:rPr>
          <w:i/>
          <w:iCs/>
        </w:rPr>
        <w:t xml:space="preserve">esign and </w:t>
      </w:r>
      <w:r w:rsidR="005E6088">
        <w:rPr>
          <w:i/>
          <w:iCs/>
        </w:rPr>
        <w:t>c</w:t>
      </w:r>
      <w:r w:rsidR="00882208" w:rsidRPr="00882208">
        <w:rPr>
          <w:i/>
          <w:iCs/>
        </w:rPr>
        <w:t>onstruction</w:t>
      </w:r>
      <w:r w:rsidR="005E6088">
        <w:rPr>
          <w:i/>
          <w:iCs/>
        </w:rPr>
        <w:t xml:space="preserve"> of tanks</w:t>
      </w:r>
      <w:r w:rsidR="00882208">
        <w:t>” as follows:</w:t>
      </w:r>
    </w:p>
    <w:p w14:paraId="59D03121" w14:textId="73EAA12E" w:rsidR="0054233B" w:rsidRPr="00610ADB" w:rsidRDefault="0054233B" w:rsidP="007942FE">
      <w:pPr>
        <w:spacing w:after="120"/>
        <w:ind w:left="1701" w:right="850"/>
      </w:pPr>
      <w:r w:rsidRPr="00610ADB">
        <w:t>For EN 14129:2014 in column (4) replace “Until further notice” by “Between 1 January 20</w:t>
      </w:r>
      <w:r w:rsidR="00211BE3">
        <w:t>15</w:t>
      </w:r>
      <w:r w:rsidRPr="00610ADB">
        <w:t xml:space="preserve"> and 31 December 2026”. After the row for “EN 1</w:t>
      </w:r>
      <w:r>
        <w:t>4129</w:t>
      </w:r>
      <w:r w:rsidRPr="00610ADB">
        <w:t>:201</w:t>
      </w:r>
      <w:r>
        <w:t>4</w:t>
      </w:r>
      <w:r w:rsidRPr="00610ADB">
        <w:t>” insert the following new row: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850"/>
        <w:gridCol w:w="426"/>
      </w:tblGrid>
      <w:tr w:rsidR="00211BE3" w14:paraId="7757187C" w14:textId="77777777" w:rsidTr="00251342">
        <w:tc>
          <w:tcPr>
            <w:tcW w:w="993" w:type="dxa"/>
          </w:tcPr>
          <w:p w14:paraId="32968D34" w14:textId="77777777" w:rsidR="00211BE3" w:rsidRPr="0094692A" w:rsidRDefault="00211BE3" w:rsidP="00BA6E78">
            <w:pPr>
              <w:jc w:val="center"/>
            </w:pPr>
            <w:r w:rsidRPr="00C800EA">
              <w:rPr>
                <w:bCs/>
                <w:iCs/>
              </w:rPr>
              <w:t>EN 14129</w:t>
            </w:r>
            <w:r w:rsidRPr="00C800EA">
              <w:t>: [2023]</w:t>
            </w:r>
          </w:p>
        </w:tc>
        <w:tc>
          <w:tcPr>
            <w:tcW w:w="4536" w:type="dxa"/>
          </w:tcPr>
          <w:p w14:paraId="54B3CBD2" w14:textId="77777777" w:rsidR="00211BE3" w:rsidRDefault="00211BE3" w:rsidP="00251342">
            <w:pPr>
              <w:rPr>
                <w:bCs/>
                <w:i/>
                <w:iCs/>
              </w:rPr>
            </w:pPr>
            <w:r w:rsidRPr="0094692A">
              <w:rPr>
                <w:bCs/>
                <w:iCs/>
              </w:rPr>
              <w:t>LPG Equipment and accessories - Pressure relief valves for LPG pressure vessels</w:t>
            </w:r>
            <w:r w:rsidRPr="0094692A">
              <w:rPr>
                <w:bCs/>
                <w:i/>
                <w:iCs/>
              </w:rPr>
              <w:t>.</w:t>
            </w:r>
          </w:p>
          <w:p w14:paraId="109F1F84" w14:textId="21EA682E" w:rsidR="00211BE3" w:rsidRPr="0094692A" w:rsidRDefault="00211BE3" w:rsidP="00251342">
            <w:pPr>
              <w:rPr>
                <w:bCs/>
              </w:rPr>
            </w:pPr>
          </w:p>
        </w:tc>
        <w:tc>
          <w:tcPr>
            <w:tcW w:w="992" w:type="dxa"/>
          </w:tcPr>
          <w:p w14:paraId="4388D7D4" w14:textId="51681B41" w:rsidR="00211BE3" w:rsidRPr="0094692A" w:rsidRDefault="0025262A" w:rsidP="00BA6E78">
            <w:pPr>
              <w:jc w:val="both"/>
            </w:pPr>
            <w:r>
              <w:t>6.8.</w:t>
            </w:r>
            <w:r w:rsidR="00C70D45">
              <w:t>2.1.1, 6.8.2.2.1 and 6.8.3.2.9</w:t>
            </w:r>
          </w:p>
        </w:tc>
        <w:tc>
          <w:tcPr>
            <w:tcW w:w="850" w:type="dxa"/>
          </w:tcPr>
          <w:p w14:paraId="73CCC7CA" w14:textId="77777777" w:rsidR="00211BE3" w:rsidRPr="0094692A" w:rsidRDefault="00211BE3" w:rsidP="00BA6E78">
            <w:pPr>
              <w:jc w:val="center"/>
            </w:pPr>
            <w:r w:rsidRPr="0094692A">
              <w:t>Until further notice</w:t>
            </w:r>
          </w:p>
        </w:tc>
        <w:tc>
          <w:tcPr>
            <w:tcW w:w="426" w:type="dxa"/>
          </w:tcPr>
          <w:p w14:paraId="1219802E" w14:textId="77777777" w:rsidR="00211BE3" w:rsidRDefault="00211BE3" w:rsidP="00251342"/>
        </w:tc>
      </w:tr>
    </w:tbl>
    <w:p w14:paraId="5F8D8079" w14:textId="4FC1E0B1" w:rsidR="00617B20" w:rsidRDefault="00B537F5" w:rsidP="00D84D1B">
      <w:pPr>
        <w:tabs>
          <w:tab w:val="left" w:pos="426"/>
        </w:tabs>
        <w:spacing w:before="120" w:after="120"/>
        <w:ind w:left="1134"/>
        <w:jc w:val="both"/>
        <w:rPr>
          <w:b/>
          <w:bCs/>
        </w:rPr>
      </w:pPr>
      <w:r w:rsidRPr="004562C3">
        <w:rPr>
          <w:b/>
          <w:bCs/>
        </w:rPr>
        <w:t>4</w:t>
      </w:r>
      <w:r w:rsidR="00E76664" w:rsidRPr="004562C3">
        <w:rPr>
          <w:b/>
          <w:bCs/>
        </w:rPr>
        <w:t>.</w:t>
      </w:r>
      <w:r w:rsidRPr="004562C3">
        <w:rPr>
          <w:b/>
          <w:bCs/>
        </w:rPr>
        <w:tab/>
      </w:r>
      <w:r w:rsidR="00FB7AFE">
        <w:rPr>
          <w:b/>
          <w:bCs/>
        </w:rPr>
        <w:t>General purpose standards</w:t>
      </w:r>
    </w:p>
    <w:p w14:paraId="0D7C1C8C" w14:textId="351FA722" w:rsidR="00F67865" w:rsidRPr="00D84D1B" w:rsidRDefault="00477CFD" w:rsidP="007942FE">
      <w:pPr>
        <w:pStyle w:val="SingleTxtG"/>
        <w:suppressAutoHyphens/>
        <w:spacing w:before="120" w:after="0" w:line="240" w:lineRule="atLeast"/>
        <w:rPr>
          <w:bCs/>
        </w:rPr>
      </w:pPr>
      <w:r w:rsidRPr="00D84D1B">
        <w:rPr>
          <w:bCs/>
        </w:rPr>
        <w:t xml:space="preserve">There are </w:t>
      </w:r>
      <w:r w:rsidR="009E5500" w:rsidRPr="00D84D1B">
        <w:rPr>
          <w:bCs/>
        </w:rPr>
        <w:t xml:space="preserve">two general purpose </w:t>
      </w:r>
      <w:r w:rsidR="005814FF" w:rsidRPr="00D84D1B">
        <w:rPr>
          <w:bCs/>
        </w:rPr>
        <w:t xml:space="preserve">standards </w:t>
      </w:r>
      <w:r w:rsidR="00145709" w:rsidRPr="00D84D1B">
        <w:rPr>
          <w:bCs/>
        </w:rPr>
        <w:t xml:space="preserve">that are referenced in </w:t>
      </w:r>
      <w:r w:rsidR="00BB7FDC">
        <w:rPr>
          <w:bCs/>
        </w:rPr>
        <w:t>Part</w:t>
      </w:r>
      <w:r w:rsidR="00BB7FDC" w:rsidRPr="00D84D1B">
        <w:rPr>
          <w:bCs/>
        </w:rPr>
        <w:t xml:space="preserve"> </w:t>
      </w:r>
      <w:r w:rsidR="00145709" w:rsidRPr="00D84D1B">
        <w:rPr>
          <w:bCs/>
        </w:rPr>
        <w:t>9</w:t>
      </w:r>
      <w:r w:rsidR="00BB7FDC">
        <w:rPr>
          <w:bCs/>
        </w:rPr>
        <w:t xml:space="preserve"> of ADR</w:t>
      </w:r>
      <w:r w:rsidR="009902AA" w:rsidRPr="00D84D1B">
        <w:rPr>
          <w:bCs/>
        </w:rPr>
        <w:t xml:space="preserve"> that are under revision</w:t>
      </w:r>
      <w:r w:rsidR="00A369A7" w:rsidRPr="00D84D1B">
        <w:rPr>
          <w:bCs/>
        </w:rPr>
        <w:t>. These are:</w:t>
      </w:r>
    </w:p>
    <w:p w14:paraId="462AB2B1" w14:textId="6D5FDB28" w:rsidR="00BF6C30" w:rsidRPr="00D84D1B" w:rsidRDefault="00BF6C30" w:rsidP="007942FE">
      <w:pPr>
        <w:pStyle w:val="SingleTxtG"/>
        <w:numPr>
          <w:ilvl w:val="0"/>
          <w:numId w:val="40"/>
        </w:numPr>
        <w:suppressAutoHyphens/>
        <w:spacing w:before="120" w:after="0" w:line="240" w:lineRule="atLeast"/>
        <w:ind w:left="1848" w:hanging="357"/>
        <w:jc w:val="left"/>
        <w:rPr>
          <w:bCs/>
        </w:rPr>
      </w:pPr>
      <w:r w:rsidRPr="00D84D1B">
        <w:rPr>
          <w:bCs/>
        </w:rPr>
        <w:t>prIEC 60079-2 ‘Explosive atmospheres - Part 2: Equipment protection by pressurized enclosure "p"’</w:t>
      </w:r>
    </w:p>
    <w:p w14:paraId="6F160B09" w14:textId="77777777" w:rsidR="00BF6C30" w:rsidRPr="00D84D1B" w:rsidRDefault="00BF6C30" w:rsidP="007942FE">
      <w:pPr>
        <w:pStyle w:val="SingleTxtG"/>
        <w:numPr>
          <w:ilvl w:val="0"/>
          <w:numId w:val="40"/>
        </w:numPr>
        <w:suppressAutoHyphens/>
        <w:spacing w:before="120" w:after="0" w:line="240" w:lineRule="atLeast"/>
        <w:ind w:left="1848" w:hanging="357"/>
        <w:jc w:val="left"/>
        <w:rPr>
          <w:bCs/>
        </w:rPr>
      </w:pPr>
      <w:r w:rsidRPr="00D84D1B">
        <w:rPr>
          <w:bCs/>
        </w:rPr>
        <w:t>Fpr IEC 60079-11 ‘Explosive atmospheres - Part 11: Equipment protection by intrinsic safety "i"’</w:t>
      </w:r>
    </w:p>
    <w:p w14:paraId="0E098E0E" w14:textId="5D13E39F" w:rsidR="00A369A7" w:rsidRPr="00D84D1B" w:rsidRDefault="00430E2E" w:rsidP="007942FE">
      <w:pPr>
        <w:pStyle w:val="SingleTxtG"/>
        <w:suppressAutoHyphens/>
        <w:spacing w:before="120" w:after="0" w:line="240" w:lineRule="atLeast"/>
        <w:rPr>
          <w:bCs/>
        </w:rPr>
      </w:pPr>
      <w:r w:rsidRPr="00D84D1B">
        <w:rPr>
          <w:bCs/>
        </w:rPr>
        <w:t>Both these standards are undated.</w:t>
      </w:r>
    </w:p>
    <w:p w14:paraId="1774418F" w14:textId="4C917069" w:rsidR="006910D6" w:rsidRPr="00CC5B1E" w:rsidRDefault="00BF6C30" w:rsidP="00D84D1B">
      <w:pPr>
        <w:pStyle w:val="SingleTxtG"/>
        <w:spacing w:before="240" w:after="0"/>
        <w:rPr>
          <w:b/>
          <w:u w:val="single"/>
        </w:rPr>
      </w:pPr>
      <w:r w:rsidRPr="00CC5B1E">
        <w:rPr>
          <w:b/>
        </w:rPr>
        <w:t>5</w:t>
      </w:r>
      <w:r w:rsidR="00BB7FDC">
        <w:rPr>
          <w:b/>
        </w:rPr>
        <w:t>.</w:t>
      </w:r>
      <w:r w:rsidR="00BB7FDC" w:rsidRPr="001D55A7">
        <w:tab/>
      </w:r>
      <w:r w:rsidR="006910D6" w:rsidRPr="00CC5B1E">
        <w:rPr>
          <w:b/>
        </w:rPr>
        <w:t>Information regarding standards referenced in RID</w:t>
      </w:r>
      <w:r w:rsidR="006910D6" w:rsidRPr="00CC5B1E">
        <w:rPr>
          <w:b/>
          <w:u w:val="single"/>
        </w:rPr>
        <w:t xml:space="preserve"> </w:t>
      </w:r>
    </w:p>
    <w:p w14:paraId="6203CE9C" w14:textId="1D6B36BD" w:rsidR="006910D6" w:rsidRPr="00C800EA" w:rsidRDefault="006910D6" w:rsidP="00D84D1B">
      <w:pPr>
        <w:pStyle w:val="SingleTxtG"/>
        <w:spacing w:before="240" w:after="0"/>
        <w:rPr>
          <w:bCs/>
        </w:rPr>
      </w:pPr>
      <w:r w:rsidRPr="00C800EA">
        <w:rPr>
          <w:bCs/>
        </w:rPr>
        <w:t xml:space="preserve">It has been identified that some standards referenced in RID have been withdrawn and replaced by new published versions. CEN will communicate a first list of </w:t>
      </w:r>
      <w:r w:rsidR="00C800EA">
        <w:rPr>
          <w:bCs/>
        </w:rPr>
        <w:t>these</w:t>
      </w:r>
      <w:r w:rsidRPr="00C800EA">
        <w:rPr>
          <w:bCs/>
        </w:rPr>
        <w:t xml:space="preserve"> standards to the secretariats of the Joint Meeting and operate a closer monitoring.</w:t>
      </w:r>
    </w:p>
    <w:p w14:paraId="636FDE1F" w14:textId="24A9E888" w:rsidR="00CB3F6F" w:rsidRPr="00FC1A70" w:rsidRDefault="00ED20B1" w:rsidP="00ED20B1">
      <w:pPr>
        <w:spacing w:before="240" w:after="0" w:line="240" w:lineRule="atLeast"/>
        <w:jc w:val="center"/>
        <w:rPr>
          <w:rFonts w:ascii="Arial" w:hAnsi="Arial" w:cs="Arial"/>
          <w:color w:val="000000"/>
          <w:sz w:val="22"/>
          <w:szCs w:val="22"/>
          <w:u w:val="single"/>
          <w:lang w:eastAsia="de-D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3F6F" w:rsidRPr="00FC1A70" w:rsidSect="00540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A83B" w14:textId="77777777" w:rsidR="00964676" w:rsidRDefault="00964676"/>
  </w:endnote>
  <w:endnote w:type="continuationSeparator" w:id="0">
    <w:p w14:paraId="10509EF3" w14:textId="77777777" w:rsidR="00964676" w:rsidRDefault="00964676"/>
  </w:endnote>
  <w:endnote w:type="continuationNotice" w:id="1">
    <w:p w14:paraId="7B7AFDB5" w14:textId="77777777" w:rsidR="00964676" w:rsidRDefault="00964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698A" w14:textId="264938FB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7A2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58C0" w14:textId="36588341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237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154D" w14:textId="77777777" w:rsidR="00964676" w:rsidRPr="000B175B" w:rsidRDefault="0096467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526B37" w14:textId="77777777" w:rsidR="00964676" w:rsidRPr="00FC68B7" w:rsidRDefault="0096467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A70B74" w14:textId="77777777" w:rsidR="00964676" w:rsidRDefault="00964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3C50" w14:textId="4A6E40AD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ED20B1">
      <w:rPr>
        <w:lang w:val="fr-CH"/>
      </w:rPr>
      <w:t>1</w:t>
    </w:r>
    <w:r w:rsidR="007942FE">
      <w:rPr>
        <w:lang w:val="fr-CH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5D6B" w14:textId="6F23C819" w:rsidR="002B16A1" w:rsidRPr="00073BC9" w:rsidRDefault="002B16A1" w:rsidP="0009455D">
    <w:pPr>
      <w:pStyle w:val="Header"/>
      <w:jc w:val="right"/>
    </w:pPr>
    <w:r>
      <w:t>INF</w:t>
    </w:r>
    <w:r w:rsidR="00193421">
      <w:t>.</w:t>
    </w:r>
    <w:r w:rsidR="00AC02FA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02C7" w14:textId="558994CF" w:rsidR="00E0353F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2C66D8">
      <w:rPr>
        <w:sz w:val="28"/>
        <w:szCs w:val="28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30F1F"/>
    <w:multiLevelType w:val="multilevel"/>
    <w:tmpl w:val="F192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242F5EA6"/>
    <w:multiLevelType w:val="hybridMultilevel"/>
    <w:tmpl w:val="89E6DD4A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2728B5CC"/>
    <w:lvl w:ilvl="0" w:tplc="FEFCB6A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19" w15:restartNumberingAfterBreak="0">
    <w:nsid w:val="342D4D51"/>
    <w:multiLevelType w:val="hybridMultilevel"/>
    <w:tmpl w:val="A2CE33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4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517D71D3"/>
    <w:multiLevelType w:val="multilevel"/>
    <w:tmpl w:val="FF0E5B48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04590"/>
    <w:multiLevelType w:val="hybridMultilevel"/>
    <w:tmpl w:val="49DCDCDA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5E02C74"/>
    <w:multiLevelType w:val="multilevel"/>
    <w:tmpl w:val="CEEE0FC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310EE8"/>
    <w:multiLevelType w:val="hybridMultilevel"/>
    <w:tmpl w:val="3BE89FB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12E6226"/>
    <w:multiLevelType w:val="hybridMultilevel"/>
    <w:tmpl w:val="2B526964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2CF7456"/>
    <w:multiLevelType w:val="hybridMultilevel"/>
    <w:tmpl w:val="B090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564AB"/>
    <w:multiLevelType w:val="hybridMultilevel"/>
    <w:tmpl w:val="698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141504690">
    <w:abstractNumId w:val="1"/>
  </w:num>
  <w:num w:numId="2" w16cid:durableId="798375447">
    <w:abstractNumId w:val="0"/>
  </w:num>
  <w:num w:numId="3" w16cid:durableId="1034695316">
    <w:abstractNumId w:val="2"/>
  </w:num>
  <w:num w:numId="4" w16cid:durableId="47608616">
    <w:abstractNumId w:val="3"/>
  </w:num>
  <w:num w:numId="5" w16cid:durableId="614949084">
    <w:abstractNumId w:val="8"/>
  </w:num>
  <w:num w:numId="6" w16cid:durableId="301233514">
    <w:abstractNumId w:val="9"/>
  </w:num>
  <w:num w:numId="7" w16cid:durableId="1615747532">
    <w:abstractNumId w:val="7"/>
  </w:num>
  <w:num w:numId="8" w16cid:durableId="1654135993">
    <w:abstractNumId w:val="6"/>
  </w:num>
  <w:num w:numId="9" w16cid:durableId="653408557">
    <w:abstractNumId w:val="5"/>
  </w:num>
  <w:num w:numId="10" w16cid:durableId="419563584">
    <w:abstractNumId w:val="4"/>
  </w:num>
  <w:num w:numId="11" w16cid:durableId="1548682474">
    <w:abstractNumId w:val="18"/>
  </w:num>
  <w:num w:numId="12" w16cid:durableId="1350569286">
    <w:abstractNumId w:val="15"/>
  </w:num>
  <w:num w:numId="13" w16cid:durableId="1094983993">
    <w:abstractNumId w:val="10"/>
  </w:num>
  <w:num w:numId="14" w16cid:durableId="848106871">
    <w:abstractNumId w:val="12"/>
  </w:num>
  <w:num w:numId="15" w16cid:durableId="1801025733">
    <w:abstractNumId w:val="20"/>
  </w:num>
  <w:num w:numId="16" w16cid:durableId="859393088">
    <w:abstractNumId w:val="14"/>
  </w:num>
  <w:num w:numId="17" w16cid:durableId="1032725483">
    <w:abstractNumId w:val="33"/>
  </w:num>
  <w:num w:numId="18" w16cid:durableId="416947176">
    <w:abstractNumId w:val="36"/>
  </w:num>
  <w:num w:numId="19" w16cid:durableId="649139851">
    <w:abstractNumId w:val="31"/>
  </w:num>
  <w:num w:numId="20" w16cid:durableId="471479584">
    <w:abstractNumId w:val="13"/>
  </w:num>
  <w:num w:numId="21" w16cid:durableId="1865828165">
    <w:abstractNumId w:val="22"/>
  </w:num>
  <w:num w:numId="22" w16cid:durableId="518353505">
    <w:abstractNumId w:val="37"/>
  </w:num>
  <w:num w:numId="23" w16cid:durableId="50542646">
    <w:abstractNumId w:val="21"/>
  </w:num>
  <w:num w:numId="24" w16cid:durableId="1343555728">
    <w:abstractNumId w:val="24"/>
  </w:num>
  <w:num w:numId="25" w16cid:durableId="1337879425">
    <w:abstractNumId w:val="35"/>
  </w:num>
  <w:num w:numId="26" w16cid:durableId="2089767513">
    <w:abstractNumId w:val="23"/>
  </w:num>
  <w:num w:numId="27" w16cid:durableId="2054693044">
    <w:abstractNumId w:val="11"/>
  </w:num>
  <w:num w:numId="28" w16cid:durableId="1941061730">
    <w:abstractNumId w:val="34"/>
  </w:num>
  <w:num w:numId="29" w16cid:durableId="834957869">
    <w:abstractNumId w:val="26"/>
  </w:num>
  <w:num w:numId="30" w16cid:durableId="1154489896">
    <w:abstractNumId w:val="27"/>
  </w:num>
  <w:num w:numId="31" w16cid:durableId="2013528320">
    <w:abstractNumId w:val="33"/>
  </w:num>
  <w:num w:numId="32" w16cid:durableId="1905679269">
    <w:abstractNumId w:val="32"/>
  </w:num>
  <w:num w:numId="33" w16cid:durableId="813528969">
    <w:abstractNumId w:val="25"/>
  </w:num>
  <w:num w:numId="34" w16cid:durableId="1788501555">
    <w:abstractNumId w:val="33"/>
  </w:num>
  <w:num w:numId="35" w16cid:durableId="204029698">
    <w:abstractNumId w:val="16"/>
  </w:num>
  <w:num w:numId="36" w16cid:durableId="1563055981">
    <w:abstractNumId w:val="29"/>
  </w:num>
  <w:num w:numId="37" w16cid:durableId="834764022">
    <w:abstractNumId w:val="17"/>
  </w:num>
  <w:num w:numId="38" w16cid:durableId="372779254">
    <w:abstractNumId w:val="19"/>
  </w:num>
  <w:num w:numId="39" w16cid:durableId="1859005281">
    <w:abstractNumId w:val="30"/>
  </w:num>
  <w:num w:numId="40" w16cid:durableId="54290452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169F"/>
    <w:rsid w:val="00001B24"/>
    <w:rsid w:val="00002A7D"/>
    <w:rsid w:val="000038A8"/>
    <w:rsid w:val="000041B2"/>
    <w:rsid w:val="00004CB4"/>
    <w:rsid w:val="00006790"/>
    <w:rsid w:val="00013C82"/>
    <w:rsid w:val="000175D0"/>
    <w:rsid w:val="00017A8A"/>
    <w:rsid w:val="00017C14"/>
    <w:rsid w:val="00027624"/>
    <w:rsid w:val="000314D0"/>
    <w:rsid w:val="00034088"/>
    <w:rsid w:val="00042E34"/>
    <w:rsid w:val="00043F4B"/>
    <w:rsid w:val="00045C95"/>
    <w:rsid w:val="00050B2C"/>
    <w:rsid w:val="00050F6B"/>
    <w:rsid w:val="00056E1C"/>
    <w:rsid w:val="0005749A"/>
    <w:rsid w:val="00057D31"/>
    <w:rsid w:val="00057F00"/>
    <w:rsid w:val="00060675"/>
    <w:rsid w:val="00062540"/>
    <w:rsid w:val="0006264E"/>
    <w:rsid w:val="000678CD"/>
    <w:rsid w:val="00070DE0"/>
    <w:rsid w:val="00072C8C"/>
    <w:rsid w:val="00073BC9"/>
    <w:rsid w:val="00073C7C"/>
    <w:rsid w:val="00075371"/>
    <w:rsid w:val="00075498"/>
    <w:rsid w:val="00081CE0"/>
    <w:rsid w:val="00081E5B"/>
    <w:rsid w:val="00082FAE"/>
    <w:rsid w:val="00084837"/>
    <w:rsid w:val="00084D30"/>
    <w:rsid w:val="000858A5"/>
    <w:rsid w:val="00090320"/>
    <w:rsid w:val="00091148"/>
    <w:rsid w:val="000918D7"/>
    <w:rsid w:val="0009259A"/>
    <w:rsid w:val="00092EB2"/>
    <w:rsid w:val="000931C0"/>
    <w:rsid w:val="0009455D"/>
    <w:rsid w:val="00097793"/>
    <w:rsid w:val="000A0F6B"/>
    <w:rsid w:val="000A2E09"/>
    <w:rsid w:val="000A69FD"/>
    <w:rsid w:val="000A718F"/>
    <w:rsid w:val="000B175B"/>
    <w:rsid w:val="000B3A0F"/>
    <w:rsid w:val="000B41FA"/>
    <w:rsid w:val="000C2A7D"/>
    <w:rsid w:val="000D5A55"/>
    <w:rsid w:val="000D626F"/>
    <w:rsid w:val="000E0415"/>
    <w:rsid w:val="000E233A"/>
    <w:rsid w:val="000E4D5F"/>
    <w:rsid w:val="000E6779"/>
    <w:rsid w:val="000E7EB0"/>
    <w:rsid w:val="000F1809"/>
    <w:rsid w:val="000F5D2C"/>
    <w:rsid w:val="000F7715"/>
    <w:rsid w:val="001022EF"/>
    <w:rsid w:val="00103E99"/>
    <w:rsid w:val="001100E6"/>
    <w:rsid w:val="001108F0"/>
    <w:rsid w:val="00110F72"/>
    <w:rsid w:val="00111B25"/>
    <w:rsid w:val="00111C14"/>
    <w:rsid w:val="00116363"/>
    <w:rsid w:val="001179A1"/>
    <w:rsid w:val="001222B6"/>
    <w:rsid w:val="0012470D"/>
    <w:rsid w:val="00125674"/>
    <w:rsid w:val="0012612E"/>
    <w:rsid w:val="001266A7"/>
    <w:rsid w:val="00126BAB"/>
    <w:rsid w:val="00127570"/>
    <w:rsid w:val="00130515"/>
    <w:rsid w:val="001361B9"/>
    <w:rsid w:val="00140040"/>
    <w:rsid w:val="0014401A"/>
    <w:rsid w:val="00145709"/>
    <w:rsid w:val="00155BE7"/>
    <w:rsid w:val="00156B99"/>
    <w:rsid w:val="0015713B"/>
    <w:rsid w:val="001573E4"/>
    <w:rsid w:val="00161037"/>
    <w:rsid w:val="00164862"/>
    <w:rsid w:val="00166124"/>
    <w:rsid w:val="0016731E"/>
    <w:rsid w:val="00167F20"/>
    <w:rsid w:val="0017009E"/>
    <w:rsid w:val="00172600"/>
    <w:rsid w:val="00174305"/>
    <w:rsid w:val="001765D7"/>
    <w:rsid w:val="00176739"/>
    <w:rsid w:val="00180108"/>
    <w:rsid w:val="00180643"/>
    <w:rsid w:val="00184DDA"/>
    <w:rsid w:val="001874B4"/>
    <w:rsid w:val="001879DE"/>
    <w:rsid w:val="001900CD"/>
    <w:rsid w:val="00193421"/>
    <w:rsid w:val="00193D85"/>
    <w:rsid w:val="0019444B"/>
    <w:rsid w:val="001A006B"/>
    <w:rsid w:val="001A0452"/>
    <w:rsid w:val="001A3481"/>
    <w:rsid w:val="001A3EDC"/>
    <w:rsid w:val="001A4D53"/>
    <w:rsid w:val="001A5251"/>
    <w:rsid w:val="001A5F15"/>
    <w:rsid w:val="001A7CFB"/>
    <w:rsid w:val="001B4B04"/>
    <w:rsid w:val="001B5875"/>
    <w:rsid w:val="001C3A25"/>
    <w:rsid w:val="001C4B28"/>
    <w:rsid w:val="001C4B9C"/>
    <w:rsid w:val="001C6663"/>
    <w:rsid w:val="001C75A0"/>
    <w:rsid w:val="001C7895"/>
    <w:rsid w:val="001D02DC"/>
    <w:rsid w:val="001D0FDC"/>
    <w:rsid w:val="001D15C4"/>
    <w:rsid w:val="001D26DF"/>
    <w:rsid w:val="001D312D"/>
    <w:rsid w:val="001D55A7"/>
    <w:rsid w:val="001E0DF6"/>
    <w:rsid w:val="001E1A82"/>
    <w:rsid w:val="001E478D"/>
    <w:rsid w:val="001E583F"/>
    <w:rsid w:val="001F12DF"/>
    <w:rsid w:val="001F1599"/>
    <w:rsid w:val="001F1961"/>
    <w:rsid w:val="001F19C4"/>
    <w:rsid w:val="001F6093"/>
    <w:rsid w:val="001F6980"/>
    <w:rsid w:val="001F6B91"/>
    <w:rsid w:val="001F7A8B"/>
    <w:rsid w:val="0020177F"/>
    <w:rsid w:val="002043F0"/>
    <w:rsid w:val="002060B9"/>
    <w:rsid w:val="00211BE3"/>
    <w:rsid w:val="00211E0B"/>
    <w:rsid w:val="002134D0"/>
    <w:rsid w:val="002136D7"/>
    <w:rsid w:val="00215A1B"/>
    <w:rsid w:val="00216BB2"/>
    <w:rsid w:val="00222F2C"/>
    <w:rsid w:val="002303E3"/>
    <w:rsid w:val="00230496"/>
    <w:rsid w:val="002314D7"/>
    <w:rsid w:val="00232575"/>
    <w:rsid w:val="0023589F"/>
    <w:rsid w:val="00235E5B"/>
    <w:rsid w:val="00242F8B"/>
    <w:rsid w:val="00243FA7"/>
    <w:rsid w:val="00245DD6"/>
    <w:rsid w:val="00247258"/>
    <w:rsid w:val="00250356"/>
    <w:rsid w:val="0025243C"/>
    <w:rsid w:val="0025262A"/>
    <w:rsid w:val="002547F2"/>
    <w:rsid w:val="002565C8"/>
    <w:rsid w:val="002574B9"/>
    <w:rsid w:val="00257CAC"/>
    <w:rsid w:val="00264807"/>
    <w:rsid w:val="00266F5E"/>
    <w:rsid w:val="00266F66"/>
    <w:rsid w:val="00271022"/>
    <w:rsid w:val="00273433"/>
    <w:rsid w:val="002759DE"/>
    <w:rsid w:val="00280AA5"/>
    <w:rsid w:val="002815FC"/>
    <w:rsid w:val="002862F7"/>
    <w:rsid w:val="00287A35"/>
    <w:rsid w:val="0029489E"/>
    <w:rsid w:val="00295F1A"/>
    <w:rsid w:val="002974E9"/>
    <w:rsid w:val="00297AC5"/>
    <w:rsid w:val="002A214F"/>
    <w:rsid w:val="002A6D75"/>
    <w:rsid w:val="002A7F94"/>
    <w:rsid w:val="002B109A"/>
    <w:rsid w:val="002B16A1"/>
    <w:rsid w:val="002B32F7"/>
    <w:rsid w:val="002B400C"/>
    <w:rsid w:val="002B5293"/>
    <w:rsid w:val="002B5A11"/>
    <w:rsid w:val="002C128F"/>
    <w:rsid w:val="002C1973"/>
    <w:rsid w:val="002C3A37"/>
    <w:rsid w:val="002C4661"/>
    <w:rsid w:val="002C57D6"/>
    <w:rsid w:val="002C66D8"/>
    <w:rsid w:val="002C6D45"/>
    <w:rsid w:val="002D1828"/>
    <w:rsid w:val="002D4CF0"/>
    <w:rsid w:val="002D4D98"/>
    <w:rsid w:val="002D5528"/>
    <w:rsid w:val="002D653A"/>
    <w:rsid w:val="002D67F0"/>
    <w:rsid w:val="002D6E53"/>
    <w:rsid w:val="002D743E"/>
    <w:rsid w:val="002E2296"/>
    <w:rsid w:val="002E23C9"/>
    <w:rsid w:val="002E38F3"/>
    <w:rsid w:val="002E6DB4"/>
    <w:rsid w:val="002F024B"/>
    <w:rsid w:val="002F046D"/>
    <w:rsid w:val="002F272B"/>
    <w:rsid w:val="002F41CE"/>
    <w:rsid w:val="002F628C"/>
    <w:rsid w:val="003007E7"/>
    <w:rsid w:val="00300A65"/>
    <w:rsid w:val="00301764"/>
    <w:rsid w:val="00301BE1"/>
    <w:rsid w:val="00302B3E"/>
    <w:rsid w:val="00306B5E"/>
    <w:rsid w:val="003153D6"/>
    <w:rsid w:val="00321665"/>
    <w:rsid w:val="003229D8"/>
    <w:rsid w:val="00322DEC"/>
    <w:rsid w:val="0032343D"/>
    <w:rsid w:val="00323AD2"/>
    <w:rsid w:val="0032508A"/>
    <w:rsid w:val="003268AE"/>
    <w:rsid w:val="00333600"/>
    <w:rsid w:val="00336080"/>
    <w:rsid w:val="00336C97"/>
    <w:rsid w:val="00337D65"/>
    <w:rsid w:val="00337F88"/>
    <w:rsid w:val="00342432"/>
    <w:rsid w:val="00343CF9"/>
    <w:rsid w:val="00344336"/>
    <w:rsid w:val="0034444E"/>
    <w:rsid w:val="0034572A"/>
    <w:rsid w:val="00345D36"/>
    <w:rsid w:val="00350B59"/>
    <w:rsid w:val="00352C8C"/>
    <w:rsid w:val="00352D4B"/>
    <w:rsid w:val="003540C8"/>
    <w:rsid w:val="00354724"/>
    <w:rsid w:val="00354CED"/>
    <w:rsid w:val="0035638C"/>
    <w:rsid w:val="003564DC"/>
    <w:rsid w:val="00361FE5"/>
    <w:rsid w:val="003645B0"/>
    <w:rsid w:val="00365199"/>
    <w:rsid w:val="00365611"/>
    <w:rsid w:val="00365A21"/>
    <w:rsid w:val="003679BC"/>
    <w:rsid w:val="00370928"/>
    <w:rsid w:val="00373041"/>
    <w:rsid w:val="00377A83"/>
    <w:rsid w:val="003806F0"/>
    <w:rsid w:val="00382512"/>
    <w:rsid w:val="0038335A"/>
    <w:rsid w:val="00383C57"/>
    <w:rsid w:val="0038499B"/>
    <w:rsid w:val="0038628F"/>
    <w:rsid w:val="003A1C51"/>
    <w:rsid w:val="003A46BB"/>
    <w:rsid w:val="003A4EC7"/>
    <w:rsid w:val="003A550E"/>
    <w:rsid w:val="003A7295"/>
    <w:rsid w:val="003B115E"/>
    <w:rsid w:val="003B1C6A"/>
    <w:rsid w:val="003B1F60"/>
    <w:rsid w:val="003B3A7E"/>
    <w:rsid w:val="003B4643"/>
    <w:rsid w:val="003B6CC3"/>
    <w:rsid w:val="003C1223"/>
    <w:rsid w:val="003C2CC4"/>
    <w:rsid w:val="003C3176"/>
    <w:rsid w:val="003C7026"/>
    <w:rsid w:val="003D41B2"/>
    <w:rsid w:val="003D4916"/>
    <w:rsid w:val="003D4B23"/>
    <w:rsid w:val="003D58A1"/>
    <w:rsid w:val="003D6C76"/>
    <w:rsid w:val="003D755C"/>
    <w:rsid w:val="003E08C3"/>
    <w:rsid w:val="003E0B55"/>
    <w:rsid w:val="003E278A"/>
    <w:rsid w:val="003E3D94"/>
    <w:rsid w:val="003F07CB"/>
    <w:rsid w:val="003F180A"/>
    <w:rsid w:val="003F1887"/>
    <w:rsid w:val="003F1A43"/>
    <w:rsid w:val="004019C8"/>
    <w:rsid w:val="0040292E"/>
    <w:rsid w:val="004032CF"/>
    <w:rsid w:val="00413520"/>
    <w:rsid w:val="00414277"/>
    <w:rsid w:val="00414F7A"/>
    <w:rsid w:val="00415221"/>
    <w:rsid w:val="00423002"/>
    <w:rsid w:val="00425889"/>
    <w:rsid w:val="00426020"/>
    <w:rsid w:val="0042633E"/>
    <w:rsid w:val="004274C0"/>
    <w:rsid w:val="00430E2E"/>
    <w:rsid w:val="00431D4D"/>
    <w:rsid w:val="004325CB"/>
    <w:rsid w:val="00433A82"/>
    <w:rsid w:val="004403CA"/>
    <w:rsid w:val="00440A07"/>
    <w:rsid w:val="004562C3"/>
    <w:rsid w:val="00456441"/>
    <w:rsid w:val="00462880"/>
    <w:rsid w:val="00466382"/>
    <w:rsid w:val="004707E8"/>
    <w:rsid w:val="0047298C"/>
    <w:rsid w:val="0047429E"/>
    <w:rsid w:val="00476F24"/>
    <w:rsid w:val="00477CFD"/>
    <w:rsid w:val="00480B38"/>
    <w:rsid w:val="0048402E"/>
    <w:rsid w:val="004840DC"/>
    <w:rsid w:val="004857F7"/>
    <w:rsid w:val="004859CE"/>
    <w:rsid w:val="00490954"/>
    <w:rsid w:val="004909E7"/>
    <w:rsid w:val="00492D70"/>
    <w:rsid w:val="0049311D"/>
    <w:rsid w:val="004B2A91"/>
    <w:rsid w:val="004B2B42"/>
    <w:rsid w:val="004B45B0"/>
    <w:rsid w:val="004B536D"/>
    <w:rsid w:val="004B7EA2"/>
    <w:rsid w:val="004C55B0"/>
    <w:rsid w:val="004D51F6"/>
    <w:rsid w:val="004D63B1"/>
    <w:rsid w:val="004D719E"/>
    <w:rsid w:val="004E24F3"/>
    <w:rsid w:val="004E4179"/>
    <w:rsid w:val="004E5D48"/>
    <w:rsid w:val="004E7160"/>
    <w:rsid w:val="004F3F8F"/>
    <w:rsid w:val="004F49DC"/>
    <w:rsid w:val="004F5BCB"/>
    <w:rsid w:val="004F6BA0"/>
    <w:rsid w:val="004F7A3E"/>
    <w:rsid w:val="005015F1"/>
    <w:rsid w:val="00503BEA"/>
    <w:rsid w:val="00504FF8"/>
    <w:rsid w:val="005237C4"/>
    <w:rsid w:val="005261D4"/>
    <w:rsid w:val="00530289"/>
    <w:rsid w:val="00533616"/>
    <w:rsid w:val="00535170"/>
    <w:rsid w:val="00535ABA"/>
    <w:rsid w:val="005371A0"/>
    <w:rsid w:val="0053768B"/>
    <w:rsid w:val="005400D8"/>
    <w:rsid w:val="00541722"/>
    <w:rsid w:val="005420F2"/>
    <w:rsid w:val="0054233B"/>
    <w:rsid w:val="00542768"/>
    <w:rsid w:val="0054285C"/>
    <w:rsid w:val="0054359C"/>
    <w:rsid w:val="005445FF"/>
    <w:rsid w:val="00546C90"/>
    <w:rsid w:val="00547A88"/>
    <w:rsid w:val="005546FD"/>
    <w:rsid w:val="0055514F"/>
    <w:rsid w:val="005566B9"/>
    <w:rsid w:val="00560572"/>
    <w:rsid w:val="00564BF4"/>
    <w:rsid w:val="00565297"/>
    <w:rsid w:val="005670DF"/>
    <w:rsid w:val="005716EC"/>
    <w:rsid w:val="00571D73"/>
    <w:rsid w:val="00573297"/>
    <w:rsid w:val="0057352C"/>
    <w:rsid w:val="005814FF"/>
    <w:rsid w:val="00583FD1"/>
    <w:rsid w:val="0058416F"/>
    <w:rsid w:val="00584173"/>
    <w:rsid w:val="00584F2F"/>
    <w:rsid w:val="005850DE"/>
    <w:rsid w:val="00587C17"/>
    <w:rsid w:val="00590478"/>
    <w:rsid w:val="00592CC7"/>
    <w:rsid w:val="00593779"/>
    <w:rsid w:val="00594428"/>
    <w:rsid w:val="00595520"/>
    <w:rsid w:val="005A0287"/>
    <w:rsid w:val="005A44B9"/>
    <w:rsid w:val="005A548A"/>
    <w:rsid w:val="005B1BA0"/>
    <w:rsid w:val="005B3DB3"/>
    <w:rsid w:val="005B40B7"/>
    <w:rsid w:val="005B5D0E"/>
    <w:rsid w:val="005C3C50"/>
    <w:rsid w:val="005C58F0"/>
    <w:rsid w:val="005C700B"/>
    <w:rsid w:val="005D15CA"/>
    <w:rsid w:val="005D1867"/>
    <w:rsid w:val="005D2C39"/>
    <w:rsid w:val="005D390C"/>
    <w:rsid w:val="005D4B38"/>
    <w:rsid w:val="005E0637"/>
    <w:rsid w:val="005E1DA6"/>
    <w:rsid w:val="005E6088"/>
    <w:rsid w:val="005E6952"/>
    <w:rsid w:val="005E6AAF"/>
    <w:rsid w:val="005F3066"/>
    <w:rsid w:val="005F3E61"/>
    <w:rsid w:val="005F51F6"/>
    <w:rsid w:val="005F69C7"/>
    <w:rsid w:val="005F7035"/>
    <w:rsid w:val="005F7732"/>
    <w:rsid w:val="006018D0"/>
    <w:rsid w:val="00604DDD"/>
    <w:rsid w:val="00610ADB"/>
    <w:rsid w:val="006115CC"/>
    <w:rsid w:val="00611FC4"/>
    <w:rsid w:val="00613302"/>
    <w:rsid w:val="006133D7"/>
    <w:rsid w:val="00614D10"/>
    <w:rsid w:val="0061645F"/>
    <w:rsid w:val="00617117"/>
    <w:rsid w:val="006176FB"/>
    <w:rsid w:val="00617B20"/>
    <w:rsid w:val="006218A6"/>
    <w:rsid w:val="0062314D"/>
    <w:rsid w:val="0062380F"/>
    <w:rsid w:val="0062564C"/>
    <w:rsid w:val="00630FCB"/>
    <w:rsid w:val="006318E8"/>
    <w:rsid w:val="00632F10"/>
    <w:rsid w:val="00633628"/>
    <w:rsid w:val="00633AE1"/>
    <w:rsid w:val="0064017F"/>
    <w:rsid w:val="00640B26"/>
    <w:rsid w:val="00642312"/>
    <w:rsid w:val="00642502"/>
    <w:rsid w:val="006434F7"/>
    <w:rsid w:val="00643F0E"/>
    <w:rsid w:val="006451A5"/>
    <w:rsid w:val="0064748F"/>
    <w:rsid w:val="00651A29"/>
    <w:rsid w:val="00651D57"/>
    <w:rsid w:val="006528E6"/>
    <w:rsid w:val="006643C6"/>
    <w:rsid w:val="00667D6B"/>
    <w:rsid w:val="00671B0D"/>
    <w:rsid w:val="0067573E"/>
    <w:rsid w:val="00676999"/>
    <w:rsid w:val="006770B2"/>
    <w:rsid w:val="006812D2"/>
    <w:rsid w:val="00682407"/>
    <w:rsid w:val="006853B3"/>
    <w:rsid w:val="006904FE"/>
    <w:rsid w:val="006910D6"/>
    <w:rsid w:val="00693B25"/>
    <w:rsid w:val="006940E1"/>
    <w:rsid w:val="00695033"/>
    <w:rsid w:val="0069536F"/>
    <w:rsid w:val="006955B0"/>
    <w:rsid w:val="0069755E"/>
    <w:rsid w:val="006A07D9"/>
    <w:rsid w:val="006A1D39"/>
    <w:rsid w:val="006A3C72"/>
    <w:rsid w:val="006A57DC"/>
    <w:rsid w:val="006A7392"/>
    <w:rsid w:val="006B03A1"/>
    <w:rsid w:val="006B44AD"/>
    <w:rsid w:val="006B67D9"/>
    <w:rsid w:val="006B6FE3"/>
    <w:rsid w:val="006C243D"/>
    <w:rsid w:val="006C2ACE"/>
    <w:rsid w:val="006C5535"/>
    <w:rsid w:val="006D0589"/>
    <w:rsid w:val="006D087A"/>
    <w:rsid w:val="006D513E"/>
    <w:rsid w:val="006E2CC1"/>
    <w:rsid w:val="006E564B"/>
    <w:rsid w:val="006E5AB7"/>
    <w:rsid w:val="006E5E16"/>
    <w:rsid w:val="006E6B9C"/>
    <w:rsid w:val="006E7154"/>
    <w:rsid w:val="006F0884"/>
    <w:rsid w:val="006F4344"/>
    <w:rsid w:val="006F6363"/>
    <w:rsid w:val="007003CD"/>
    <w:rsid w:val="00702C34"/>
    <w:rsid w:val="00703A6D"/>
    <w:rsid w:val="00706E67"/>
    <w:rsid w:val="0070701E"/>
    <w:rsid w:val="0070702F"/>
    <w:rsid w:val="0071447C"/>
    <w:rsid w:val="00714B5C"/>
    <w:rsid w:val="00715BE5"/>
    <w:rsid w:val="00716422"/>
    <w:rsid w:val="007233F3"/>
    <w:rsid w:val="0072632A"/>
    <w:rsid w:val="007358E8"/>
    <w:rsid w:val="00736ECE"/>
    <w:rsid w:val="007408A0"/>
    <w:rsid w:val="0074533B"/>
    <w:rsid w:val="00747BC4"/>
    <w:rsid w:val="007508EB"/>
    <w:rsid w:val="0075109D"/>
    <w:rsid w:val="00753C81"/>
    <w:rsid w:val="00755298"/>
    <w:rsid w:val="00755BB0"/>
    <w:rsid w:val="00762EA6"/>
    <w:rsid w:val="0076432E"/>
    <w:rsid w:val="007643BC"/>
    <w:rsid w:val="00764F01"/>
    <w:rsid w:val="00770846"/>
    <w:rsid w:val="007809BE"/>
    <w:rsid w:val="00780EC6"/>
    <w:rsid w:val="007810E1"/>
    <w:rsid w:val="00781D93"/>
    <w:rsid w:val="00782C8C"/>
    <w:rsid w:val="0078505B"/>
    <w:rsid w:val="007900F5"/>
    <w:rsid w:val="007904AE"/>
    <w:rsid w:val="00790877"/>
    <w:rsid w:val="0079237B"/>
    <w:rsid w:val="00792467"/>
    <w:rsid w:val="00793C71"/>
    <w:rsid w:val="00794177"/>
    <w:rsid w:val="007942D2"/>
    <w:rsid w:val="007942FE"/>
    <w:rsid w:val="0079577B"/>
    <w:rsid w:val="007959FE"/>
    <w:rsid w:val="00795E37"/>
    <w:rsid w:val="007A0CF1"/>
    <w:rsid w:val="007A38B0"/>
    <w:rsid w:val="007A4384"/>
    <w:rsid w:val="007A75D4"/>
    <w:rsid w:val="007A7CC0"/>
    <w:rsid w:val="007B5D17"/>
    <w:rsid w:val="007B5DDD"/>
    <w:rsid w:val="007B614B"/>
    <w:rsid w:val="007B6A61"/>
    <w:rsid w:val="007B6BA5"/>
    <w:rsid w:val="007B7B58"/>
    <w:rsid w:val="007C0791"/>
    <w:rsid w:val="007C116D"/>
    <w:rsid w:val="007C3390"/>
    <w:rsid w:val="007C42D8"/>
    <w:rsid w:val="007C4F4B"/>
    <w:rsid w:val="007C68C8"/>
    <w:rsid w:val="007D35BB"/>
    <w:rsid w:val="007D4DE9"/>
    <w:rsid w:val="007D5759"/>
    <w:rsid w:val="007D6D44"/>
    <w:rsid w:val="007D7362"/>
    <w:rsid w:val="007E36CB"/>
    <w:rsid w:val="007E4914"/>
    <w:rsid w:val="007E5DBE"/>
    <w:rsid w:val="007F142E"/>
    <w:rsid w:val="007F1E0D"/>
    <w:rsid w:val="007F2E11"/>
    <w:rsid w:val="007F546E"/>
    <w:rsid w:val="007F5CE2"/>
    <w:rsid w:val="007F6611"/>
    <w:rsid w:val="00803B7F"/>
    <w:rsid w:val="00805B4F"/>
    <w:rsid w:val="00805DE0"/>
    <w:rsid w:val="00810BAC"/>
    <w:rsid w:val="0081100B"/>
    <w:rsid w:val="008153BB"/>
    <w:rsid w:val="008175E9"/>
    <w:rsid w:val="008203B2"/>
    <w:rsid w:val="0082405C"/>
    <w:rsid w:val="008242D7"/>
    <w:rsid w:val="00824C1D"/>
    <w:rsid w:val="00825381"/>
    <w:rsid w:val="00825578"/>
    <w:rsid w:val="008256D7"/>
    <w:rsid w:val="0082577B"/>
    <w:rsid w:val="00830D15"/>
    <w:rsid w:val="008330FC"/>
    <w:rsid w:val="0083344C"/>
    <w:rsid w:val="00834967"/>
    <w:rsid w:val="00834DF7"/>
    <w:rsid w:val="00835C07"/>
    <w:rsid w:val="00843148"/>
    <w:rsid w:val="00845741"/>
    <w:rsid w:val="00846B4A"/>
    <w:rsid w:val="008558E7"/>
    <w:rsid w:val="0086054B"/>
    <w:rsid w:val="008628CB"/>
    <w:rsid w:val="00863EAD"/>
    <w:rsid w:val="00864E6E"/>
    <w:rsid w:val="00866893"/>
    <w:rsid w:val="00866F02"/>
    <w:rsid w:val="00867D18"/>
    <w:rsid w:val="008707F8"/>
    <w:rsid w:val="00871F9A"/>
    <w:rsid w:val="00871FD5"/>
    <w:rsid w:val="00876B8E"/>
    <w:rsid w:val="00881335"/>
    <w:rsid w:val="0088172E"/>
    <w:rsid w:val="00881EFA"/>
    <w:rsid w:val="00882208"/>
    <w:rsid w:val="008822FA"/>
    <w:rsid w:val="00882A19"/>
    <w:rsid w:val="00883E28"/>
    <w:rsid w:val="00884516"/>
    <w:rsid w:val="00887A7D"/>
    <w:rsid w:val="0089256A"/>
    <w:rsid w:val="008967C0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4C17"/>
    <w:rsid w:val="008B59E3"/>
    <w:rsid w:val="008C401D"/>
    <w:rsid w:val="008C5B2D"/>
    <w:rsid w:val="008C5BCB"/>
    <w:rsid w:val="008C75AA"/>
    <w:rsid w:val="008D045E"/>
    <w:rsid w:val="008D0D4F"/>
    <w:rsid w:val="008D3F25"/>
    <w:rsid w:val="008D4D82"/>
    <w:rsid w:val="008E0E09"/>
    <w:rsid w:val="008E0E46"/>
    <w:rsid w:val="008E5A5D"/>
    <w:rsid w:val="008E7116"/>
    <w:rsid w:val="008F0636"/>
    <w:rsid w:val="008F143B"/>
    <w:rsid w:val="008F33C4"/>
    <w:rsid w:val="008F3882"/>
    <w:rsid w:val="008F3C40"/>
    <w:rsid w:val="008F4B7C"/>
    <w:rsid w:val="0090465B"/>
    <w:rsid w:val="00904D63"/>
    <w:rsid w:val="00906940"/>
    <w:rsid w:val="00906BFE"/>
    <w:rsid w:val="0090792A"/>
    <w:rsid w:val="00913504"/>
    <w:rsid w:val="00914DC3"/>
    <w:rsid w:val="0091597A"/>
    <w:rsid w:val="00915C95"/>
    <w:rsid w:val="00916B9C"/>
    <w:rsid w:val="00916CEA"/>
    <w:rsid w:val="00924CF0"/>
    <w:rsid w:val="00925AF5"/>
    <w:rsid w:val="00926E47"/>
    <w:rsid w:val="009324AE"/>
    <w:rsid w:val="009335D5"/>
    <w:rsid w:val="00933E29"/>
    <w:rsid w:val="0093778B"/>
    <w:rsid w:val="0094444F"/>
    <w:rsid w:val="00945B24"/>
    <w:rsid w:val="0094692A"/>
    <w:rsid w:val="00946D3D"/>
    <w:rsid w:val="00946EAC"/>
    <w:rsid w:val="00947162"/>
    <w:rsid w:val="0094746A"/>
    <w:rsid w:val="009479C1"/>
    <w:rsid w:val="00950823"/>
    <w:rsid w:val="009522BF"/>
    <w:rsid w:val="00953163"/>
    <w:rsid w:val="00955410"/>
    <w:rsid w:val="009601FF"/>
    <w:rsid w:val="0096068B"/>
    <w:rsid w:val="00960D5D"/>
    <w:rsid w:val="009610D0"/>
    <w:rsid w:val="0096144F"/>
    <w:rsid w:val="0096375C"/>
    <w:rsid w:val="00964676"/>
    <w:rsid w:val="009662E6"/>
    <w:rsid w:val="0097095E"/>
    <w:rsid w:val="00970FB9"/>
    <w:rsid w:val="00971E4D"/>
    <w:rsid w:val="00974F7C"/>
    <w:rsid w:val="00980F57"/>
    <w:rsid w:val="009826E8"/>
    <w:rsid w:val="00982DDC"/>
    <w:rsid w:val="0098484A"/>
    <w:rsid w:val="0098592B"/>
    <w:rsid w:val="00985AB9"/>
    <w:rsid w:val="00985FC4"/>
    <w:rsid w:val="00986DFE"/>
    <w:rsid w:val="009902AA"/>
    <w:rsid w:val="00990766"/>
    <w:rsid w:val="00991261"/>
    <w:rsid w:val="0099198F"/>
    <w:rsid w:val="00992C68"/>
    <w:rsid w:val="0099552C"/>
    <w:rsid w:val="00995FA1"/>
    <w:rsid w:val="009964C4"/>
    <w:rsid w:val="0099702C"/>
    <w:rsid w:val="009A08AB"/>
    <w:rsid w:val="009A16C9"/>
    <w:rsid w:val="009A6B7B"/>
    <w:rsid w:val="009A7B81"/>
    <w:rsid w:val="009B29EA"/>
    <w:rsid w:val="009B6116"/>
    <w:rsid w:val="009C0431"/>
    <w:rsid w:val="009C144C"/>
    <w:rsid w:val="009C3974"/>
    <w:rsid w:val="009C4172"/>
    <w:rsid w:val="009C500D"/>
    <w:rsid w:val="009C59B9"/>
    <w:rsid w:val="009D01C0"/>
    <w:rsid w:val="009D0FD7"/>
    <w:rsid w:val="009D32EF"/>
    <w:rsid w:val="009D412E"/>
    <w:rsid w:val="009D6A08"/>
    <w:rsid w:val="009E0A16"/>
    <w:rsid w:val="009E0AE4"/>
    <w:rsid w:val="009E1365"/>
    <w:rsid w:val="009E5500"/>
    <w:rsid w:val="009E7970"/>
    <w:rsid w:val="009F1390"/>
    <w:rsid w:val="009F247F"/>
    <w:rsid w:val="009F2EAC"/>
    <w:rsid w:val="009F57E3"/>
    <w:rsid w:val="009F6961"/>
    <w:rsid w:val="00A00D3D"/>
    <w:rsid w:val="00A01633"/>
    <w:rsid w:val="00A03D76"/>
    <w:rsid w:val="00A07EBB"/>
    <w:rsid w:val="00A10F4F"/>
    <w:rsid w:val="00A11067"/>
    <w:rsid w:val="00A13229"/>
    <w:rsid w:val="00A138AB"/>
    <w:rsid w:val="00A16E3E"/>
    <w:rsid w:val="00A1704A"/>
    <w:rsid w:val="00A23E9E"/>
    <w:rsid w:val="00A33E62"/>
    <w:rsid w:val="00A369A7"/>
    <w:rsid w:val="00A370D7"/>
    <w:rsid w:val="00A3791B"/>
    <w:rsid w:val="00A379A8"/>
    <w:rsid w:val="00A400D3"/>
    <w:rsid w:val="00A41BB8"/>
    <w:rsid w:val="00A425EB"/>
    <w:rsid w:val="00A430C8"/>
    <w:rsid w:val="00A45CB7"/>
    <w:rsid w:val="00A47343"/>
    <w:rsid w:val="00A47439"/>
    <w:rsid w:val="00A521B8"/>
    <w:rsid w:val="00A6451D"/>
    <w:rsid w:val="00A66089"/>
    <w:rsid w:val="00A72F22"/>
    <w:rsid w:val="00A733BC"/>
    <w:rsid w:val="00A748A6"/>
    <w:rsid w:val="00A749C1"/>
    <w:rsid w:val="00A76A69"/>
    <w:rsid w:val="00A77D0C"/>
    <w:rsid w:val="00A81AF4"/>
    <w:rsid w:val="00A81EE5"/>
    <w:rsid w:val="00A824E7"/>
    <w:rsid w:val="00A85EF5"/>
    <w:rsid w:val="00A865A7"/>
    <w:rsid w:val="00A86E10"/>
    <w:rsid w:val="00A879A4"/>
    <w:rsid w:val="00A910B4"/>
    <w:rsid w:val="00A92CB8"/>
    <w:rsid w:val="00A92F96"/>
    <w:rsid w:val="00A95935"/>
    <w:rsid w:val="00A95E35"/>
    <w:rsid w:val="00A96696"/>
    <w:rsid w:val="00A97211"/>
    <w:rsid w:val="00A976DD"/>
    <w:rsid w:val="00AA0FF8"/>
    <w:rsid w:val="00AA1E08"/>
    <w:rsid w:val="00AA3567"/>
    <w:rsid w:val="00AA3E0D"/>
    <w:rsid w:val="00AA3EAE"/>
    <w:rsid w:val="00AA6412"/>
    <w:rsid w:val="00AB2CE7"/>
    <w:rsid w:val="00AB2D13"/>
    <w:rsid w:val="00AB5169"/>
    <w:rsid w:val="00AB5577"/>
    <w:rsid w:val="00AC02FA"/>
    <w:rsid w:val="00AC0F2C"/>
    <w:rsid w:val="00AC1453"/>
    <w:rsid w:val="00AC49A5"/>
    <w:rsid w:val="00AC502A"/>
    <w:rsid w:val="00AC7298"/>
    <w:rsid w:val="00AE0909"/>
    <w:rsid w:val="00AE3931"/>
    <w:rsid w:val="00AF3A98"/>
    <w:rsid w:val="00AF58C1"/>
    <w:rsid w:val="00AF60DA"/>
    <w:rsid w:val="00B01321"/>
    <w:rsid w:val="00B016AF"/>
    <w:rsid w:val="00B03E68"/>
    <w:rsid w:val="00B05D2C"/>
    <w:rsid w:val="00B06643"/>
    <w:rsid w:val="00B15055"/>
    <w:rsid w:val="00B15D2F"/>
    <w:rsid w:val="00B177B4"/>
    <w:rsid w:val="00B17FC5"/>
    <w:rsid w:val="00B2175D"/>
    <w:rsid w:val="00B27044"/>
    <w:rsid w:val="00B27377"/>
    <w:rsid w:val="00B30179"/>
    <w:rsid w:val="00B37B15"/>
    <w:rsid w:val="00B414AA"/>
    <w:rsid w:val="00B4482F"/>
    <w:rsid w:val="00B45C02"/>
    <w:rsid w:val="00B4691D"/>
    <w:rsid w:val="00B46AB9"/>
    <w:rsid w:val="00B47667"/>
    <w:rsid w:val="00B5125B"/>
    <w:rsid w:val="00B537F5"/>
    <w:rsid w:val="00B609E7"/>
    <w:rsid w:val="00B62086"/>
    <w:rsid w:val="00B628EC"/>
    <w:rsid w:val="00B62EEE"/>
    <w:rsid w:val="00B63F27"/>
    <w:rsid w:val="00B679F5"/>
    <w:rsid w:val="00B70F5A"/>
    <w:rsid w:val="00B70F8C"/>
    <w:rsid w:val="00B71791"/>
    <w:rsid w:val="00B72A1E"/>
    <w:rsid w:val="00B75E02"/>
    <w:rsid w:val="00B77001"/>
    <w:rsid w:val="00B80D50"/>
    <w:rsid w:val="00B81E12"/>
    <w:rsid w:val="00B84014"/>
    <w:rsid w:val="00B8509D"/>
    <w:rsid w:val="00B857BE"/>
    <w:rsid w:val="00B8594F"/>
    <w:rsid w:val="00B9110C"/>
    <w:rsid w:val="00BA0276"/>
    <w:rsid w:val="00BA0587"/>
    <w:rsid w:val="00BA1A4B"/>
    <w:rsid w:val="00BA339B"/>
    <w:rsid w:val="00BA3710"/>
    <w:rsid w:val="00BA6E78"/>
    <w:rsid w:val="00BB0E72"/>
    <w:rsid w:val="00BB2862"/>
    <w:rsid w:val="00BB3D9E"/>
    <w:rsid w:val="00BB7FDC"/>
    <w:rsid w:val="00BC1E7E"/>
    <w:rsid w:val="00BC24E4"/>
    <w:rsid w:val="00BC2E45"/>
    <w:rsid w:val="00BC3E26"/>
    <w:rsid w:val="00BC4012"/>
    <w:rsid w:val="00BC4F13"/>
    <w:rsid w:val="00BC74E9"/>
    <w:rsid w:val="00BD242C"/>
    <w:rsid w:val="00BD2A2D"/>
    <w:rsid w:val="00BE36A9"/>
    <w:rsid w:val="00BE49ED"/>
    <w:rsid w:val="00BE618E"/>
    <w:rsid w:val="00BE7BEC"/>
    <w:rsid w:val="00BF0A5A"/>
    <w:rsid w:val="00BF0B99"/>
    <w:rsid w:val="00BF0E63"/>
    <w:rsid w:val="00BF103C"/>
    <w:rsid w:val="00BF12A3"/>
    <w:rsid w:val="00BF16D7"/>
    <w:rsid w:val="00BF218C"/>
    <w:rsid w:val="00BF2373"/>
    <w:rsid w:val="00BF6C30"/>
    <w:rsid w:val="00BF7E97"/>
    <w:rsid w:val="00C044E2"/>
    <w:rsid w:val="00C048CB"/>
    <w:rsid w:val="00C066F3"/>
    <w:rsid w:val="00C06865"/>
    <w:rsid w:val="00C07946"/>
    <w:rsid w:val="00C07CA9"/>
    <w:rsid w:val="00C10783"/>
    <w:rsid w:val="00C11B07"/>
    <w:rsid w:val="00C129D5"/>
    <w:rsid w:val="00C149B1"/>
    <w:rsid w:val="00C15DC2"/>
    <w:rsid w:val="00C168A8"/>
    <w:rsid w:val="00C2098C"/>
    <w:rsid w:val="00C22BE6"/>
    <w:rsid w:val="00C250FE"/>
    <w:rsid w:val="00C31A6C"/>
    <w:rsid w:val="00C32046"/>
    <w:rsid w:val="00C36878"/>
    <w:rsid w:val="00C3710D"/>
    <w:rsid w:val="00C371F5"/>
    <w:rsid w:val="00C3760B"/>
    <w:rsid w:val="00C37628"/>
    <w:rsid w:val="00C443B6"/>
    <w:rsid w:val="00C44BB0"/>
    <w:rsid w:val="00C44DCD"/>
    <w:rsid w:val="00C45BBB"/>
    <w:rsid w:val="00C463DD"/>
    <w:rsid w:val="00C46997"/>
    <w:rsid w:val="00C60694"/>
    <w:rsid w:val="00C60D93"/>
    <w:rsid w:val="00C62A7A"/>
    <w:rsid w:val="00C66991"/>
    <w:rsid w:val="00C70809"/>
    <w:rsid w:val="00C70D45"/>
    <w:rsid w:val="00C72C0D"/>
    <w:rsid w:val="00C745C3"/>
    <w:rsid w:val="00C800EA"/>
    <w:rsid w:val="00C805A7"/>
    <w:rsid w:val="00C82AD8"/>
    <w:rsid w:val="00C83923"/>
    <w:rsid w:val="00C86B1A"/>
    <w:rsid w:val="00C9213B"/>
    <w:rsid w:val="00C9346D"/>
    <w:rsid w:val="00C95C9B"/>
    <w:rsid w:val="00CA0883"/>
    <w:rsid w:val="00CA2221"/>
    <w:rsid w:val="00CA24A4"/>
    <w:rsid w:val="00CA3137"/>
    <w:rsid w:val="00CA3AF1"/>
    <w:rsid w:val="00CA44E1"/>
    <w:rsid w:val="00CB08EA"/>
    <w:rsid w:val="00CB1981"/>
    <w:rsid w:val="00CB348D"/>
    <w:rsid w:val="00CB34BE"/>
    <w:rsid w:val="00CB3F6F"/>
    <w:rsid w:val="00CB4FCE"/>
    <w:rsid w:val="00CB51DE"/>
    <w:rsid w:val="00CB5B76"/>
    <w:rsid w:val="00CB763D"/>
    <w:rsid w:val="00CC0178"/>
    <w:rsid w:val="00CC1589"/>
    <w:rsid w:val="00CC1B3A"/>
    <w:rsid w:val="00CC2CB9"/>
    <w:rsid w:val="00CC4E06"/>
    <w:rsid w:val="00CC4EC6"/>
    <w:rsid w:val="00CC5B1E"/>
    <w:rsid w:val="00CD0A8F"/>
    <w:rsid w:val="00CD1C17"/>
    <w:rsid w:val="00CD2214"/>
    <w:rsid w:val="00CD46F5"/>
    <w:rsid w:val="00CD58A9"/>
    <w:rsid w:val="00CD6883"/>
    <w:rsid w:val="00CD6C29"/>
    <w:rsid w:val="00CE2428"/>
    <w:rsid w:val="00CE3584"/>
    <w:rsid w:val="00CE4A8F"/>
    <w:rsid w:val="00CE52ED"/>
    <w:rsid w:val="00CF071D"/>
    <w:rsid w:val="00CF102B"/>
    <w:rsid w:val="00CF116C"/>
    <w:rsid w:val="00CF40BD"/>
    <w:rsid w:val="00CF5A3E"/>
    <w:rsid w:val="00D00745"/>
    <w:rsid w:val="00D03595"/>
    <w:rsid w:val="00D14D3B"/>
    <w:rsid w:val="00D1559C"/>
    <w:rsid w:val="00D15B04"/>
    <w:rsid w:val="00D2031B"/>
    <w:rsid w:val="00D22806"/>
    <w:rsid w:val="00D231B0"/>
    <w:rsid w:val="00D23EAC"/>
    <w:rsid w:val="00D23F0F"/>
    <w:rsid w:val="00D25EC1"/>
    <w:rsid w:val="00D25FE2"/>
    <w:rsid w:val="00D31E92"/>
    <w:rsid w:val="00D32F66"/>
    <w:rsid w:val="00D35112"/>
    <w:rsid w:val="00D37DA9"/>
    <w:rsid w:val="00D406A7"/>
    <w:rsid w:val="00D42FE3"/>
    <w:rsid w:val="00D43252"/>
    <w:rsid w:val="00D44D86"/>
    <w:rsid w:val="00D4540B"/>
    <w:rsid w:val="00D50B7D"/>
    <w:rsid w:val="00D52012"/>
    <w:rsid w:val="00D52588"/>
    <w:rsid w:val="00D529AD"/>
    <w:rsid w:val="00D53D19"/>
    <w:rsid w:val="00D57536"/>
    <w:rsid w:val="00D61DAF"/>
    <w:rsid w:val="00D63CFD"/>
    <w:rsid w:val="00D6633F"/>
    <w:rsid w:val="00D66C6E"/>
    <w:rsid w:val="00D704E5"/>
    <w:rsid w:val="00D72689"/>
    <w:rsid w:val="00D72727"/>
    <w:rsid w:val="00D73031"/>
    <w:rsid w:val="00D731DD"/>
    <w:rsid w:val="00D73D7E"/>
    <w:rsid w:val="00D74114"/>
    <w:rsid w:val="00D746D1"/>
    <w:rsid w:val="00D74CCA"/>
    <w:rsid w:val="00D77697"/>
    <w:rsid w:val="00D77FF8"/>
    <w:rsid w:val="00D81B98"/>
    <w:rsid w:val="00D84241"/>
    <w:rsid w:val="00D8478F"/>
    <w:rsid w:val="00D84D1B"/>
    <w:rsid w:val="00D871AC"/>
    <w:rsid w:val="00D90395"/>
    <w:rsid w:val="00D90415"/>
    <w:rsid w:val="00D917F9"/>
    <w:rsid w:val="00D91E8D"/>
    <w:rsid w:val="00D97645"/>
    <w:rsid w:val="00D978C6"/>
    <w:rsid w:val="00DA0956"/>
    <w:rsid w:val="00DA1020"/>
    <w:rsid w:val="00DA121A"/>
    <w:rsid w:val="00DA2D44"/>
    <w:rsid w:val="00DA357F"/>
    <w:rsid w:val="00DA3E12"/>
    <w:rsid w:val="00DB0BFD"/>
    <w:rsid w:val="00DB5900"/>
    <w:rsid w:val="00DB66FA"/>
    <w:rsid w:val="00DC01BC"/>
    <w:rsid w:val="00DC18AD"/>
    <w:rsid w:val="00DC1F69"/>
    <w:rsid w:val="00DC2269"/>
    <w:rsid w:val="00DC36B8"/>
    <w:rsid w:val="00DC584A"/>
    <w:rsid w:val="00DC708C"/>
    <w:rsid w:val="00DD3FE8"/>
    <w:rsid w:val="00DD4241"/>
    <w:rsid w:val="00DD50EB"/>
    <w:rsid w:val="00DE0CB9"/>
    <w:rsid w:val="00DE178B"/>
    <w:rsid w:val="00DE4FAE"/>
    <w:rsid w:val="00DE5105"/>
    <w:rsid w:val="00DE5754"/>
    <w:rsid w:val="00DE7065"/>
    <w:rsid w:val="00DF1147"/>
    <w:rsid w:val="00DF1A1E"/>
    <w:rsid w:val="00DF3B63"/>
    <w:rsid w:val="00DF4518"/>
    <w:rsid w:val="00DF45EB"/>
    <w:rsid w:val="00DF6A82"/>
    <w:rsid w:val="00DF7CAE"/>
    <w:rsid w:val="00E02011"/>
    <w:rsid w:val="00E02660"/>
    <w:rsid w:val="00E0353F"/>
    <w:rsid w:val="00E11BB2"/>
    <w:rsid w:val="00E1773B"/>
    <w:rsid w:val="00E2376C"/>
    <w:rsid w:val="00E275EB"/>
    <w:rsid w:val="00E30E8C"/>
    <w:rsid w:val="00E324A0"/>
    <w:rsid w:val="00E3559A"/>
    <w:rsid w:val="00E36646"/>
    <w:rsid w:val="00E37495"/>
    <w:rsid w:val="00E423C0"/>
    <w:rsid w:val="00E43A2E"/>
    <w:rsid w:val="00E44972"/>
    <w:rsid w:val="00E50BC6"/>
    <w:rsid w:val="00E53624"/>
    <w:rsid w:val="00E550E7"/>
    <w:rsid w:val="00E563D0"/>
    <w:rsid w:val="00E57974"/>
    <w:rsid w:val="00E62965"/>
    <w:rsid w:val="00E6414C"/>
    <w:rsid w:val="00E672F0"/>
    <w:rsid w:val="00E700B7"/>
    <w:rsid w:val="00E717F6"/>
    <w:rsid w:val="00E7260F"/>
    <w:rsid w:val="00E76664"/>
    <w:rsid w:val="00E771AF"/>
    <w:rsid w:val="00E778DE"/>
    <w:rsid w:val="00E82C05"/>
    <w:rsid w:val="00E82C50"/>
    <w:rsid w:val="00E82FCB"/>
    <w:rsid w:val="00E86772"/>
    <w:rsid w:val="00E8702D"/>
    <w:rsid w:val="00E87C7D"/>
    <w:rsid w:val="00E913B8"/>
    <w:rsid w:val="00E916A9"/>
    <w:rsid w:val="00E916DE"/>
    <w:rsid w:val="00E92C9E"/>
    <w:rsid w:val="00E9388E"/>
    <w:rsid w:val="00E96630"/>
    <w:rsid w:val="00EA586A"/>
    <w:rsid w:val="00EA5CAB"/>
    <w:rsid w:val="00EA7480"/>
    <w:rsid w:val="00EB5B1B"/>
    <w:rsid w:val="00EC0894"/>
    <w:rsid w:val="00EC10B9"/>
    <w:rsid w:val="00EC2DB3"/>
    <w:rsid w:val="00EC6D0C"/>
    <w:rsid w:val="00ED044A"/>
    <w:rsid w:val="00ED0C27"/>
    <w:rsid w:val="00ED18DC"/>
    <w:rsid w:val="00ED20B1"/>
    <w:rsid w:val="00ED2FA9"/>
    <w:rsid w:val="00ED6201"/>
    <w:rsid w:val="00ED7A2A"/>
    <w:rsid w:val="00ED7C8C"/>
    <w:rsid w:val="00ED7F40"/>
    <w:rsid w:val="00EE3D65"/>
    <w:rsid w:val="00EE4832"/>
    <w:rsid w:val="00EE586A"/>
    <w:rsid w:val="00EE5881"/>
    <w:rsid w:val="00EF1D7F"/>
    <w:rsid w:val="00EF4426"/>
    <w:rsid w:val="00F0137E"/>
    <w:rsid w:val="00F0148F"/>
    <w:rsid w:val="00F04571"/>
    <w:rsid w:val="00F11C6F"/>
    <w:rsid w:val="00F1476A"/>
    <w:rsid w:val="00F21786"/>
    <w:rsid w:val="00F23254"/>
    <w:rsid w:val="00F237F4"/>
    <w:rsid w:val="00F347BC"/>
    <w:rsid w:val="00F3742B"/>
    <w:rsid w:val="00F40CCF"/>
    <w:rsid w:val="00F41FDB"/>
    <w:rsid w:val="00F4437E"/>
    <w:rsid w:val="00F4580E"/>
    <w:rsid w:val="00F52987"/>
    <w:rsid w:val="00F5337D"/>
    <w:rsid w:val="00F5361D"/>
    <w:rsid w:val="00F5390C"/>
    <w:rsid w:val="00F566A7"/>
    <w:rsid w:val="00F56D63"/>
    <w:rsid w:val="00F609A9"/>
    <w:rsid w:val="00F6280E"/>
    <w:rsid w:val="00F6641F"/>
    <w:rsid w:val="00F67865"/>
    <w:rsid w:val="00F7472D"/>
    <w:rsid w:val="00F80C99"/>
    <w:rsid w:val="00F86204"/>
    <w:rsid w:val="00F867EC"/>
    <w:rsid w:val="00F900A7"/>
    <w:rsid w:val="00F9096A"/>
    <w:rsid w:val="00F9162E"/>
    <w:rsid w:val="00F91B2B"/>
    <w:rsid w:val="00F954F9"/>
    <w:rsid w:val="00FA28CC"/>
    <w:rsid w:val="00FA2AF7"/>
    <w:rsid w:val="00FA3135"/>
    <w:rsid w:val="00FA3269"/>
    <w:rsid w:val="00FB468B"/>
    <w:rsid w:val="00FB7AFE"/>
    <w:rsid w:val="00FC03CD"/>
    <w:rsid w:val="00FC0646"/>
    <w:rsid w:val="00FC0826"/>
    <w:rsid w:val="00FC161F"/>
    <w:rsid w:val="00FC1A70"/>
    <w:rsid w:val="00FC2FC6"/>
    <w:rsid w:val="00FC33D6"/>
    <w:rsid w:val="00FC41C3"/>
    <w:rsid w:val="00FC55A7"/>
    <w:rsid w:val="00FC68B7"/>
    <w:rsid w:val="00FD05AF"/>
    <w:rsid w:val="00FD0A90"/>
    <w:rsid w:val="00FD55B1"/>
    <w:rsid w:val="00FD6E23"/>
    <w:rsid w:val="00FD7A28"/>
    <w:rsid w:val="00FE21A4"/>
    <w:rsid w:val="00FE58E6"/>
    <w:rsid w:val="00FE6985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985E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B25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CommentReference">
    <w:name w:val="annotation reference"/>
    <w:basedOn w:val="DefaultParagraphFont"/>
    <w:rsid w:val="00273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433"/>
  </w:style>
  <w:style w:type="character" w:customStyle="1" w:styleId="CommentTextChar">
    <w:name w:val="Comment Text Char"/>
    <w:basedOn w:val="DefaultParagraphFont"/>
    <w:link w:val="CommentText"/>
    <w:rsid w:val="002734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433"/>
    <w:rPr>
      <w:b/>
      <w:bCs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6A57DC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971E4D"/>
    <w:pPr>
      <w:ind w:left="720"/>
      <w:contextualSpacing/>
    </w:pPr>
  </w:style>
  <w:style w:type="character" w:customStyle="1" w:styleId="H23GChar">
    <w:name w:val="_ H_2/3_G Char"/>
    <w:link w:val="H23G"/>
    <w:locked/>
    <w:rsid w:val="00245DD6"/>
    <w:rPr>
      <w:b/>
      <w:lang w:val="en-GB"/>
    </w:rPr>
  </w:style>
  <w:style w:type="paragraph" w:styleId="NormalWeb">
    <w:name w:val="Normal (Web)"/>
    <w:basedOn w:val="Normal"/>
    <w:uiPriority w:val="99"/>
    <w:unhideWhenUsed/>
    <w:rsid w:val="0075109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A13229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6434F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C09D10-8431-4261-A0F6-2B5F7C59F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C48D0-B39B-472B-BB92-8FEE1A590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1A15F-4109-4466-9790-05E3D91E73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46AFE-9440-44D2-8916-B6CB2E21717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Manager/>
  <Company>UNECE</Company>
  <LinksUpToDate>false</LinksUpToDate>
  <CharactersWithSpaces>4400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Romain Hubert</cp:lastModifiedBy>
  <cp:revision>12</cp:revision>
  <cp:lastPrinted>2023-02-10T09:49:00Z</cp:lastPrinted>
  <dcterms:created xsi:type="dcterms:W3CDTF">2023-02-13T13:47:00Z</dcterms:created>
  <dcterms:modified xsi:type="dcterms:W3CDTF">2023-02-13T14:14:00Z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