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CCEA54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64FFCB" w14:textId="77777777" w:rsidR="00F35BAF" w:rsidRPr="00DB58B5" w:rsidRDefault="00F35BAF" w:rsidP="00497DB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B5C1C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D79727" w14:textId="654B7C31" w:rsidR="00F35BAF" w:rsidRPr="00DB58B5" w:rsidRDefault="00497DBC" w:rsidP="00497DBC">
            <w:pPr>
              <w:jc w:val="right"/>
            </w:pPr>
            <w:r w:rsidRPr="00497DBC">
              <w:rPr>
                <w:sz w:val="40"/>
              </w:rPr>
              <w:t>ECE</w:t>
            </w:r>
            <w:r>
              <w:t>/TRANS/WP.15/AC.1/2023/12</w:t>
            </w:r>
          </w:p>
        </w:tc>
      </w:tr>
      <w:tr w:rsidR="00F35BAF" w:rsidRPr="00DB58B5" w14:paraId="67D3DED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A7AD9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0C2BEA" wp14:editId="45FD8E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BAA1E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9EF8069" w14:textId="77777777" w:rsidR="00F35BAF" w:rsidRDefault="00497DBC" w:rsidP="00C97039">
            <w:pPr>
              <w:spacing w:before="240"/>
            </w:pPr>
            <w:r>
              <w:t>Distr. générale</w:t>
            </w:r>
          </w:p>
          <w:p w14:paraId="3F088DBA" w14:textId="77777777" w:rsidR="00497DBC" w:rsidRDefault="00497DBC" w:rsidP="00497DBC">
            <w:pPr>
              <w:spacing w:line="240" w:lineRule="exact"/>
            </w:pPr>
            <w:r>
              <w:t>16 décembre 2022</w:t>
            </w:r>
          </w:p>
          <w:p w14:paraId="03BD332F" w14:textId="77777777" w:rsidR="00497DBC" w:rsidRDefault="00497DBC" w:rsidP="00497DBC">
            <w:pPr>
              <w:spacing w:line="240" w:lineRule="exact"/>
            </w:pPr>
            <w:r>
              <w:t>Français</w:t>
            </w:r>
          </w:p>
          <w:p w14:paraId="5FE17860" w14:textId="0B657301" w:rsidR="00497DBC" w:rsidRPr="00DB58B5" w:rsidRDefault="00497DBC" w:rsidP="00497DBC">
            <w:pPr>
              <w:spacing w:line="240" w:lineRule="exact"/>
            </w:pPr>
            <w:r>
              <w:t>Original : anglais</w:t>
            </w:r>
          </w:p>
        </w:tc>
      </w:tr>
    </w:tbl>
    <w:p w14:paraId="461850B1" w14:textId="787853D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17A7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DDC82C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0AEB5F" w14:textId="77777777" w:rsidR="00497DBC" w:rsidRPr="009E01B8" w:rsidRDefault="00497DBC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3FF47953" w14:textId="1EC6577C" w:rsidR="00497DBC" w:rsidRPr="00926E87" w:rsidRDefault="00497DBC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217A77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20DF2884" w14:textId="439C5328" w:rsidR="00497DBC" w:rsidRDefault="00497DBC" w:rsidP="00AF0CB5">
      <w:pPr>
        <w:spacing w:before="120"/>
      </w:pPr>
      <w:r>
        <w:rPr>
          <w:lang w:val="fr-FR"/>
        </w:rPr>
        <w:t>Berne, 20-24 mars 2023</w:t>
      </w:r>
    </w:p>
    <w:p w14:paraId="2C220EBF" w14:textId="1EDAD28C" w:rsidR="00497DBC" w:rsidRDefault="00497DBC" w:rsidP="00AF0CB5">
      <w:r>
        <w:rPr>
          <w:lang w:val="fr-FR"/>
        </w:rPr>
        <w:t>Point 3 de l</w:t>
      </w:r>
      <w:r w:rsidR="00217A77">
        <w:rPr>
          <w:lang w:val="fr-FR"/>
        </w:rPr>
        <w:t>’</w:t>
      </w:r>
      <w:r>
        <w:rPr>
          <w:lang w:val="fr-FR"/>
        </w:rPr>
        <w:t>ordre du jour provisoire</w:t>
      </w:r>
    </w:p>
    <w:p w14:paraId="0E7AA787" w14:textId="77777777" w:rsidR="00497DBC" w:rsidRPr="00497DBC" w:rsidRDefault="00497DBC" w:rsidP="00497DBC">
      <w:pPr>
        <w:rPr>
          <w:b/>
          <w:bCs/>
        </w:rPr>
      </w:pPr>
      <w:r w:rsidRPr="00497DBC">
        <w:rPr>
          <w:b/>
          <w:bCs/>
          <w:lang w:val="fr-FR"/>
        </w:rPr>
        <w:t>Normes</w:t>
      </w:r>
    </w:p>
    <w:p w14:paraId="1279A057" w14:textId="0C376E21" w:rsidR="00497DBC" w:rsidRPr="00A82E04" w:rsidRDefault="00497DBC" w:rsidP="00497DB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Informations sur les activités du Groupe de travail des</w:t>
      </w:r>
      <w:r w:rsidR="00BD0EA4">
        <w:rPr>
          <w:lang w:val="fr-FR"/>
        </w:rPr>
        <w:t> </w:t>
      </w:r>
      <w:r>
        <w:rPr>
          <w:lang w:val="fr-FR"/>
        </w:rPr>
        <w:t>normes</w:t>
      </w:r>
    </w:p>
    <w:p w14:paraId="5F08E938" w14:textId="1E130A83" w:rsidR="00497DBC" w:rsidRPr="00A82E04" w:rsidRDefault="00497DBC" w:rsidP="00497DBC">
      <w:pPr>
        <w:pStyle w:val="H1G"/>
        <w:rPr>
          <w:sz w:val="18"/>
          <w:szCs w:val="18"/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  <w:t>Communication du Comité européen de normalisation (CEN)</w:t>
      </w:r>
      <w:r w:rsidRPr="00497DB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497DBC">
        <w:rPr>
          <w:b w:val="0"/>
          <w:bCs/>
          <w:sz w:val="20"/>
          <w:vertAlign w:val="superscript"/>
          <w:lang w:val="fr-FR"/>
        </w:rPr>
        <w:t>,</w:t>
      </w:r>
      <w:r w:rsidRPr="00497DBC">
        <w:rPr>
          <w:b w:val="0"/>
          <w:bCs/>
          <w:sz w:val="20"/>
          <w:lang w:val="fr-FR"/>
        </w:rPr>
        <w:t xml:space="preserve"> </w:t>
      </w:r>
      <w:r w:rsidRPr="00497DBC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73E7EB59" w14:textId="77777777" w:rsidR="00497DBC" w:rsidRPr="00104A1E" w:rsidRDefault="00497DBC" w:rsidP="00497DB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33CA5A7" w14:textId="50D89ABA" w:rsidR="00497DBC" w:rsidRPr="00A82E04" w:rsidRDefault="00497DBC" w:rsidP="00497DBC">
      <w:pPr>
        <w:pStyle w:val="SingleTxtG"/>
      </w:pPr>
      <w:r w:rsidRPr="00497DBC">
        <w:rPr>
          <w:lang w:val="fr-FR"/>
        </w:rPr>
        <w:t>1.</w:t>
      </w:r>
      <w:r>
        <w:rPr>
          <w:lang w:val="fr-FR"/>
        </w:rPr>
        <w:tab/>
        <w:t>Conformément à l</w:t>
      </w:r>
      <w:r w:rsidR="00217A77">
        <w:rPr>
          <w:lang w:val="fr-FR"/>
        </w:rPr>
        <w:t>’</w:t>
      </w:r>
      <w:r>
        <w:rPr>
          <w:lang w:val="fr-FR"/>
        </w:rPr>
        <w:t>accord de coopération conclu entre le Comité européen de normalisation/Comité européen de normalisation électrotechnique (CEN/CENELEC) et la Réunion commune (voir le document ECE/TRANS/WP.15/AC.1/122/Add.2, tel que modifié par l</w:t>
      </w:r>
      <w:r w:rsidR="00217A77">
        <w:rPr>
          <w:lang w:val="fr-FR"/>
        </w:rPr>
        <w:t>’</w:t>
      </w:r>
      <w:r>
        <w:rPr>
          <w:lang w:val="fr-FR"/>
        </w:rPr>
        <w:t xml:space="preserve">annexe III du document ECE/TRANS/WP.15/AC.1/130), </w:t>
      </w:r>
      <w:r w:rsidRPr="00BA155F">
        <w:rPr>
          <w:lang w:val="fr-FR"/>
        </w:rPr>
        <w:t>le Centre de gestion du CEN/CENELEC a proposé des normes auxquelles le RID et l</w:t>
      </w:r>
      <w:r w:rsidR="00217A77" w:rsidRPr="00BA155F">
        <w:rPr>
          <w:lang w:val="fr-FR"/>
        </w:rPr>
        <w:t>’</w:t>
      </w:r>
      <w:r w:rsidRPr="00BA155F">
        <w:rPr>
          <w:lang w:val="fr-FR"/>
        </w:rPr>
        <w:t>ADR devraient renvoyer</w:t>
      </w:r>
      <w:r>
        <w:rPr>
          <w:lang w:val="fr-FR"/>
        </w:rPr>
        <w:t xml:space="preserve">. </w:t>
      </w:r>
    </w:p>
    <w:p w14:paraId="68ABB5EE" w14:textId="77777777" w:rsidR="00497DBC" w:rsidRPr="00A82E04" w:rsidRDefault="00497DBC" w:rsidP="00497DB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Activités menées durant le dernier semestre</w:t>
      </w:r>
    </w:p>
    <w:p w14:paraId="1E6F697E" w14:textId="7663039D" w:rsidR="00497DBC" w:rsidRPr="00A82E04" w:rsidRDefault="00497DBC" w:rsidP="00497DBC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Les 6 octobre, 7 novembre et 6 décembre 2022, le CEN a envoyé des projets de norme au Groupe de travail pour examen. </w:t>
      </w:r>
      <w:r w:rsidRPr="00130A4E">
        <w:rPr>
          <w:lang w:val="fr-FR"/>
        </w:rPr>
        <w:t xml:space="preserve">Pour </w:t>
      </w:r>
      <w:r>
        <w:rPr>
          <w:lang w:val="fr-FR"/>
        </w:rPr>
        <w:t>tous l</w:t>
      </w:r>
      <w:r w:rsidRPr="00130A4E">
        <w:rPr>
          <w:lang w:val="fr-FR"/>
        </w:rPr>
        <w:t xml:space="preserve">es envois, les projets </w:t>
      </w:r>
      <w:r>
        <w:rPr>
          <w:lang w:val="fr-FR"/>
        </w:rPr>
        <w:t>ont fait</w:t>
      </w:r>
      <w:r w:rsidRPr="00130A4E">
        <w:rPr>
          <w:lang w:val="fr-FR"/>
        </w:rPr>
        <w:t xml:space="preserve"> l</w:t>
      </w:r>
      <w:r w:rsidR="00217A77">
        <w:rPr>
          <w:lang w:val="fr-FR"/>
        </w:rPr>
        <w:t>’</w:t>
      </w:r>
      <w:r w:rsidRPr="00130A4E">
        <w:rPr>
          <w:lang w:val="fr-FR"/>
        </w:rPr>
        <w:t>objet d</w:t>
      </w:r>
      <w:r w:rsidR="00217A77">
        <w:rPr>
          <w:lang w:val="fr-FR"/>
        </w:rPr>
        <w:t>’</w:t>
      </w:r>
      <w:r w:rsidRPr="00130A4E">
        <w:rPr>
          <w:lang w:val="fr-FR"/>
        </w:rPr>
        <w:t>évaluations indépendantes.</w:t>
      </w:r>
    </w:p>
    <w:p w14:paraId="332ECE2E" w14:textId="77777777" w:rsidR="00497DBC" w:rsidRPr="00A82E04" w:rsidRDefault="00497DBC" w:rsidP="00497DB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Études nouvelles</w:t>
      </w:r>
    </w:p>
    <w:p w14:paraId="25A89886" w14:textId="72684CFE" w:rsidR="00497DBC" w:rsidRPr="00A82E04" w:rsidRDefault="00497DBC" w:rsidP="00497DBC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En ce qui concerne le programme de travail du CEN, la Réunion commune est invitée à noter que les études nouvelles énumérées ci-après, qui portent sur le transport des marchandises dangereuses, ont été ajoutées au programme des comités techniques</w:t>
      </w:r>
      <w:r w:rsidR="00BA155F">
        <w:rPr>
          <w:lang w:val="fr-FR"/>
        </w:rPr>
        <w:t> </w:t>
      </w:r>
      <w:r>
        <w:rPr>
          <w:lang w:val="fr-FR"/>
        </w:rPr>
        <w:t>23, 268, 286 et 296 du CEN.</w:t>
      </w:r>
    </w:p>
    <w:p w14:paraId="369BFA86" w14:textId="2C622708" w:rsidR="00F9573C" w:rsidRDefault="00497DBC" w:rsidP="00497DBC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Les membres de la Réunion commune sont invités à prier leurs experts de participer, par l</w:t>
      </w:r>
      <w:r w:rsidR="00217A77">
        <w:rPr>
          <w:lang w:val="fr-FR"/>
        </w:rPr>
        <w:t>’</w:t>
      </w:r>
      <w:r>
        <w:rPr>
          <w:lang w:val="fr-FR"/>
        </w:rPr>
        <w:t>intermédiaire des organismes de normalisation nationaux, au travail de rédaction et de révision de ces études.</w:t>
      </w:r>
    </w:p>
    <w:p w14:paraId="19040888" w14:textId="7F559CE4" w:rsidR="00497DBC" w:rsidRPr="00497DBC" w:rsidRDefault="00497DBC" w:rsidP="00497DBC">
      <w:pPr>
        <w:pStyle w:val="Heading1"/>
        <w:spacing w:after="240"/>
        <w:ind w:left="0"/>
        <w:rPr>
          <w:b/>
          <w:bCs/>
          <w:lang w:val="fr-FR"/>
        </w:rPr>
      </w:pPr>
      <w:r w:rsidRPr="00497DBC">
        <w:rPr>
          <w:b/>
          <w:bCs/>
          <w:lang w:val="fr-FR"/>
        </w:rPr>
        <w:t xml:space="preserve">Tableau des études nouvelles inscrites au programme de travail du CEN concernant </w:t>
      </w:r>
      <w:r>
        <w:rPr>
          <w:b/>
          <w:bCs/>
          <w:lang w:val="fr-FR"/>
        </w:rPr>
        <w:br/>
      </w:r>
      <w:r w:rsidRPr="00497DBC">
        <w:rPr>
          <w:b/>
          <w:bCs/>
          <w:lang w:val="fr-FR"/>
        </w:rPr>
        <w:t>des dispositions du RID, de l</w:t>
      </w:r>
      <w:r w:rsidR="00217A77">
        <w:rPr>
          <w:b/>
          <w:bCs/>
          <w:lang w:val="fr-FR"/>
        </w:rPr>
        <w:t>’</w:t>
      </w:r>
      <w:r w:rsidRPr="00497DBC">
        <w:rPr>
          <w:b/>
          <w:bCs/>
          <w:lang w:val="fr-FR"/>
        </w:rPr>
        <w:t>ADR et de l</w:t>
      </w:r>
      <w:r w:rsidR="00217A77">
        <w:rPr>
          <w:b/>
          <w:bCs/>
          <w:lang w:val="fr-FR"/>
        </w:rPr>
        <w:t>’</w:t>
      </w:r>
      <w:r w:rsidRPr="00497DBC">
        <w:rPr>
          <w:b/>
          <w:bCs/>
          <w:lang w:val="fr-FR"/>
        </w:rPr>
        <w:t>ADN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97"/>
        <w:gridCol w:w="2523"/>
        <w:gridCol w:w="3974"/>
      </w:tblGrid>
      <w:tr w:rsidR="00497DBC" w:rsidRPr="00104A1E" w14:paraId="0D288415" w14:textId="77777777" w:rsidTr="00217A77">
        <w:tc>
          <w:tcPr>
            <w:tcW w:w="1945" w:type="dxa"/>
            <w:shd w:val="clear" w:color="auto" w:fill="F2F2F2"/>
            <w:vAlign w:val="bottom"/>
          </w:tcPr>
          <w:p w14:paraId="21095496" w14:textId="77777777" w:rsidR="00497DBC" w:rsidRPr="00104A1E" w:rsidRDefault="00497DBC" w:rsidP="00DB743B">
            <w:pPr>
              <w:keepNext/>
              <w:spacing w:before="80" w:after="80" w:line="240" w:lineRule="auto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Organisme de normalisation responsable</w:t>
            </w:r>
          </w:p>
        </w:tc>
        <w:tc>
          <w:tcPr>
            <w:tcW w:w="1197" w:type="dxa"/>
            <w:shd w:val="clear" w:color="auto" w:fill="F2F2F2"/>
          </w:tcPr>
          <w:p w14:paraId="7DFEC333" w14:textId="77777777" w:rsidR="00497DBC" w:rsidRPr="00A82E04" w:rsidRDefault="00497DBC" w:rsidP="00DB743B">
            <w:pPr>
              <w:keepNext/>
              <w:spacing w:before="80" w:after="80" w:line="240" w:lineRule="auto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Étude n</w:t>
            </w:r>
            <w:r w:rsidRPr="00BA155F">
              <w:rPr>
                <w:b/>
                <w:bCs/>
                <w:vertAlign w:val="superscript"/>
                <w:lang w:val="fr-FR"/>
              </w:rPr>
              <w:t>o</w:t>
            </w:r>
          </w:p>
        </w:tc>
        <w:tc>
          <w:tcPr>
            <w:tcW w:w="2523" w:type="dxa"/>
            <w:shd w:val="clear" w:color="auto" w:fill="F2F2F2"/>
          </w:tcPr>
          <w:p w14:paraId="31936B06" w14:textId="77777777" w:rsidR="00497DBC" w:rsidRPr="00104A1E" w:rsidRDefault="00497DBC" w:rsidP="00DB743B">
            <w:pPr>
              <w:keepNext/>
              <w:spacing w:before="80" w:after="80" w:line="240" w:lineRule="auto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Référence</w:t>
            </w:r>
          </w:p>
        </w:tc>
        <w:tc>
          <w:tcPr>
            <w:tcW w:w="3974" w:type="dxa"/>
            <w:shd w:val="clear" w:color="auto" w:fill="F2F2F2"/>
          </w:tcPr>
          <w:p w14:paraId="7F7D8371" w14:textId="77777777" w:rsidR="00497DBC" w:rsidRPr="00104A1E" w:rsidRDefault="00497DBC" w:rsidP="00DB743B">
            <w:pPr>
              <w:keepNext/>
              <w:spacing w:before="80" w:after="80" w:line="240" w:lineRule="auto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Titre</w:t>
            </w:r>
          </w:p>
        </w:tc>
      </w:tr>
      <w:tr w:rsidR="00497DBC" w:rsidRPr="00D7006C" w14:paraId="695215A1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665FE12F" w14:textId="77777777" w:rsidR="00497DBC" w:rsidRPr="00104A1E" w:rsidRDefault="00497DBC" w:rsidP="00DB743B">
            <w:pPr>
              <w:spacing w:line="240" w:lineRule="auto"/>
            </w:pPr>
            <w:r>
              <w:rPr>
                <w:lang w:val="fr-FR"/>
              </w:rPr>
              <w:t>CEN/TC 23</w:t>
            </w:r>
          </w:p>
        </w:tc>
        <w:tc>
          <w:tcPr>
            <w:tcW w:w="1197" w:type="dxa"/>
            <w:shd w:val="clear" w:color="auto" w:fill="auto"/>
          </w:tcPr>
          <w:p w14:paraId="074EB3D3" w14:textId="77777777" w:rsidR="00497DBC" w:rsidRPr="00104A1E" w:rsidRDefault="00497DBC" w:rsidP="00DB743B">
            <w:pPr>
              <w:spacing w:line="240" w:lineRule="auto"/>
            </w:pPr>
            <w:r>
              <w:rPr>
                <w:lang w:val="fr-FR"/>
              </w:rPr>
              <w:t>00023212</w:t>
            </w:r>
          </w:p>
        </w:tc>
        <w:tc>
          <w:tcPr>
            <w:tcW w:w="2523" w:type="dxa"/>
            <w:shd w:val="clear" w:color="auto" w:fill="auto"/>
          </w:tcPr>
          <w:p w14:paraId="715560C5" w14:textId="77777777" w:rsidR="00497DBC" w:rsidRPr="001412EA" w:rsidRDefault="00497DBC" w:rsidP="00DB743B">
            <w:pPr>
              <w:spacing w:line="240" w:lineRule="auto"/>
            </w:pPr>
            <w:r>
              <w:rPr>
                <w:lang w:val="fr-FR"/>
              </w:rPr>
              <w:t>prEN ISO 11623</w:t>
            </w:r>
          </w:p>
        </w:tc>
        <w:tc>
          <w:tcPr>
            <w:tcW w:w="3974" w:type="dxa"/>
            <w:shd w:val="clear" w:color="auto" w:fill="auto"/>
          </w:tcPr>
          <w:p w14:paraId="736E4B77" w14:textId="4A901C24" w:rsidR="00497DBC" w:rsidRPr="00A82E04" w:rsidRDefault="00497DBC" w:rsidP="00DB743B">
            <w:pPr>
              <w:spacing w:line="240" w:lineRule="auto"/>
            </w:pPr>
            <w:r>
              <w:rPr>
                <w:lang w:val="fr-FR"/>
              </w:rPr>
              <w:t xml:space="preserve">Bouteilles à gaz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Bouteilles et tubes composites </w:t>
            </w:r>
            <w:r w:rsidR="00BA155F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Contrôles et essais périodiques (ISO/DIS 11623:2022)</w:t>
            </w:r>
          </w:p>
        </w:tc>
      </w:tr>
      <w:tr w:rsidR="00497DBC" w:rsidRPr="00D7006C" w14:paraId="44D44982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0D14B601" w14:textId="77777777" w:rsidR="00497DBC" w:rsidRPr="00104A1E" w:rsidRDefault="00497DBC" w:rsidP="00DB743B">
            <w:pPr>
              <w:spacing w:line="240" w:lineRule="auto"/>
            </w:pPr>
            <w:r>
              <w:rPr>
                <w:lang w:val="fr-FR"/>
              </w:rPr>
              <w:t>CEN/TC 23</w:t>
            </w:r>
          </w:p>
        </w:tc>
        <w:tc>
          <w:tcPr>
            <w:tcW w:w="1197" w:type="dxa"/>
            <w:shd w:val="clear" w:color="auto" w:fill="auto"/>
          </w:tcPr>
          <w:p w14:paraId="6E970925" w14:textId="77777777" w:rsidR="00497DBC" w:rsidRPr="00104A1E" w:rsidRDefault="00497DBC" w:rsidP="00DB743B">
            <w:pPr>
              <w:spacing w:line="240" w:lineRule="auto"/>
            </w:pPr>
            <w:r>
              <w:rPr>
                <w:lang w:val="fr-FR"/>
              </w:rPr>
              <w:t>00023245</w:t>
            </w:r>
          </w:p>
        </w:tc>
        <w:tc>
          <w:tcPr>
            <w:tcW w:w="2523" w:type="dxa"/>
            <w:shd w:val="clear" w:color="auto" w:fill="auto"/>
          </w:tcPr>
          <w:p w14:paraId="3346C6E7" w14:textId="77777777" w:rsidR="00497DBC" w:rsidRPr="00104A1E" w:rsidRDefault="00497DBC" w:rsidP="00DB743B">
            <w:pPr>
              <w:spacing w:line="240" w:lineRule="auto"/>
            </w:pPr>
            <w:r>
              <w:rPr>
                <w:lang w:val="fr-FR"/>
              </w:rPr>
              <w:t>prEN ISO 9809-4</w:t>
            </w:r>
          </w:p>
        </w:tc>
        <w:tc>
          <w:tcPr>
            <w:tcW w:w="3974" w:type="dxa"/>
            <w:shd w:val="clear" w:color="auto" w:fill="auto"/>
          </w:tcPr>
          <w:p w14:paraId="3D496C80" w14:textId="137982B9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Bouteilles à gaz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Conception, construction et essais des bouteilles à gaz et des tubes rechargeables en acier sans soudure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Partie 4</w:t>
            </w:r>
            <w:r w:rsidR="00217A77">
              <w:rPr>
                <w:lang w:val="fr-FR"/>
              </w:rPr>
              <w:t> </w:t>
            </w:r>
            <w:r>
              <w:rPr>
                <w:lang w:val="fr-FR"/>
              </w:rPr>
              <w:t>: Bouteilles en acier inoxydable avec une valeur Rm inférieure à 1 100 MPa (ISO 9809-4:2021)</w:t>
            </w:r>
          </w:p>
        </w:tc>
      </w:tr>
      <w:tr w:rsidR="00497DBC" w:rsidRPr="00D7006C" w14:paraId="05C405F7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1F14E65B" w14:textId="77777777" w:rsidR="00497DBC" w:rsidRDefault="00497DBC" w:rsidP="00DB743B">
            <w:pPr>
              <w:spacing w:line="240" w:lineRule="auto"/>
            </w:pPr>
            <w:r>
              <w:rPr>
                <w:lang w:val="fr-FR"/>
              </w:rPr>
              <w:t>CEN/TC 23</w:t>
            </w:r>
          </w:p>
        </w:tc>
        <w:tc>
          <w:tcPr>
            <w:tcW w:w="1197" w:type="dxa"/>
            <w:shd w:val="clear" w:color="auto" w:fill="auto"/>
          </w:tcPr>
          <w:p w14:paraId="7FD5FAA2" w14:textId="77777777" w:rsidR="00497DBC" w:rsidRPr="00352A00" w:rsidRDefault="00497DBC" w:rsidP="00DB743B">
            <w:pPr>
              <w:spacing w:line="240" w:lineRule="auto"/>
            </w:pPr>
            <w:r>
              <w:rPr>
                <w:lang w:val="fr-FR"/>
              </w:rPr>
              <w:t xml:space="preserve">00023244 </w:t>
            </w:r>
          </w:p>
        </w:tc>
        <w:tc>
          <w:tcPr>
            <w:tcW w:w="2523" w:type="dxa"/>
            <w:shd w:val="clear" w:color="auto" w:fill="auto"/>
          </w:tcPr>
          <w:p w14:paraId="4EFD274A" w14:textId="77777777" w:rsidR="00497DBC" w:rsidRPr="00352A00" w:rsidRDefault="00497DBC" w:rsidP="00DB743B">
            <w:pPr>
              <w:spacing w:line="240" w:lineRule="auto"/>
            </w:pPr>
            <w:r>
              <w:rPr>
                <w:lang w:val="fr-FR"/>
              </w:rPr>
              <w:t>EN ISO 11114-1:2020/prA1</w:t>
            </w:r>
          </w:p>
        </w:tc>
        <w:tc>
          <w:tcPr>
            <w:tcW w:w="3974" w:type="dxa"/>
            <w:shd w:val="clear" w:color="auto" w:fill="auto"/>
          </w:tcPr>
          <w:p w14:paraId="60D92742" w14:textId="7D23A505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Bouteilles à gaz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Compatibilité des matériaux des bouteilles et des robinets avec les contenus gazeux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Partie 1</w:t>
            </w:r>
            <w:r w:rsidR="00217A77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Matériaux métalliques </w:t>
            </w:r>
            <w:r w:rsidR="00217A77">
              <w:rPr>
                <w:lang w:val="fr-FR"/>
              </w:rPr>
              <w:t>−</w:t>
            </w:r>
            <w:r w:rsidR="00BA155F">
              <w:rPr>
                <w:lang w:val="fr-FR"/>
              </w:rPr>
              <w:t> </w:t>
            </w:r>
            <w:r>
              <w:rPr>
                <w:lang w:val="fr-FR"/>
              </w:rPr>
              <w:t>Amendement 1</w:t>
            </w:r>
          </w:p>
        </w:tc>
      </w:tr>
      <w:tr w:rsidR="00497DBC" w:rsidRPr="00D7006C" w14:paraId="6525A519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4C25994A" w14:textId="77777777" w:rsidR="00497DBC" w:rsidRDefault="00497DBC" w:rsidP="00DB743B">
            <w:pPr>
              <w:spacing w:line="240" w:lineRule="auto"/>
            </w:pPr>
            <w:r>
              <w:rPr>
                <w:lang w:val="fr-FR"/>
              </w:rPr>
              <w:t>CEN/TC 268</w:t>
            </w:r>
          </w:p>
        </w:tc>
        <w:tc>
          <w:tcPr>
            <w:tcW w:w="1197" w:type="dxa"/>
            <w:shd w:val="clear" w:color="auto" w:fill="auto"/>
          </w:tcPr>
          <w:p w14:paraId="59768D70" w14:textId="77777777" w:rsidR="00497DBC" w:rsidRDefault="00497DBC" w:rsidP="00DB743B">
            <w:pPr>
              <w:spacing w:line="240" w:lineRule="auto"/>
            </w:pPr>
            <w:r>
              <w:rPr>
                <w:lang w:val="fr-FR"/>
              </w:rPr>
              <w:t xml:space="preserve">00268076 </w:t>
            </w:r>
          </w:p>
        </w:tc>
        <w:tc>
          <w:tcPr>
            <w:tcW w:w="2523" w:type="dxa"/>
            <w:shd w:val="clear" w:color="auto" w:fill="auto"/>
          </w:tcPr>
          <w:p w14:paraId="341CEE8F" w14:textId="77777777" w:rsidR="00497DBC" w:rsidRPr="00F67396" w:rsidRDefault="00497DBC" w:rsidP="00DB743B">
            <w:pPr>
              <w:spacing w:line="240" w:lineRule="auto"/>
            </w:pPr>
            <w:r>
              <w:rPr>
                <w:lang w:val="fr-FR"/>
              </w:rPr>
              <w:t>prEN ISO 21011</w:t>
            </w:r>
          </w:p>
        </w:tc>
        <w:tc>
          <w:tcPr>
            <w:tcW w:w="3974" w:type="dxa"/>
            <w:shd w:val="clear" w:color="auto" w:fill="auto"/>
          </w:tcPr>
          <w:p w14:paraId="54F8BADD" w14:textId="23E18A20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Récipients cryogéniques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Robinets pour usage cryogénique (ISO/DIS 21011:2021)</w:t>
            </w:r>
          </w:p>
        </w:tc>
      </w:tr>
      <w:tr w:rsidR="00497DBC" w:rsidRPr="00D7006C" w14:paraId="5260D4D7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703B90BD" w14:textId="77777777" w:rsidR="00497DBC" w:rsidRPr="003A2A2A" w:rsidRDefault="00497DBC" w:rsidP="00DB743B">
            <w:pPr>
              <w:spacing w:line="240" w:lineRule="auto"/>
            </w:pPr>
            <w:r>
              <w:rPr>
                <w:lang w:val="fr-FR"/>
              </w:rPr>
              <w:t>CEN/TC 286</w:t>
            </w:r>
          </w:p>
        </w:tc>
        <w:tc>
          <w:tcPr>
            <w:tcW w:w="1197" w:type="dxa"/>
            <w:shd w:val="clear" w:color="auto" w:fill="auto"/>
          </w:tcPr>
          <w:p w14:paraId="382C88A3" w14:textId="77777777" w:rsidR="00497DBC" w:rsidRDefault="00497DBC" w:rsidP="00DB743B">
            <w:pPr>
              <w:spacing w:line="240" w:lineRule="auto"/>
            </w:pPr>
            <w:r>
              <w:rPr>
                <w:lang w:val="fr-FR"/>
              </w:rPr>
              <w:t xml:space="preserve">00286210 </w:t>
            </w:r>
          </w:p>
        </w:tc>
        <w:tc>
          <w:tcPr>
            <w:tcW w:w="2523" w:type="dxa"/>
            <w:shd w:val="clear" w:color="auto" w:fill="auto"/>
          </w:tcPr>
          <w:p w14:paraId="1F82B74C" w14:textId="77777777" w:rsidR="00497DBC" w:rsidRPr="00F67396" w:rsidRDefault="00497DBC" w:rsidP="00DB743B">
            <w:pPr>
              <w:spacing w:line="240" w:lineRule="auto"/>
            </w:pPr>
            <w:r>
              <w:rPr>
                <w:lang w:val="fr-FR"/>
              </w:rPr>
              <w:t>FprEN 14129</w:t>
            </w:r>
          </w:p>
        </w:tc>
        <w:tc>
          <w:tcPr>
            <w:tcW w:w="3974" w:type="dxa"/>
            <w:shd w:val="clear" w:color="auto" w:fill="auto"/>
          </w:tcPr>
          <w:p w14:paraId="74BEAF87" w14:textId="2F14CA6B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Équipements pour GPL et leurs accessoires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Soupapes de sécurité pour réservoirs de GPL sous pression</w:t>
            </w:r>
          </w:p>
        </w:tc>
      </w:tr>
      <w:tr w:rsidR="00497DBC" w:rsidRPr="00D7006C" w14:paraId="500B0ED5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67D20D40" w14:textId="77777777" w:rsidR="00497DBC" w:rsidRPr="003A2A2A" w:rsidRDefault="00497DBC" w:rsidP="00DB743B">
            <w:pPr>
              <w:spacing w:line="240" w:lineRule="auto"/>
            </w:pPr>
            <w:r>
              <w:rPr>
                <w:lang w:val="fr-FR"/>
              </w:rPr>
              <w:t>CEN/TC 286</w:t>
            </w:r>
          </w:p>
        </w:tc>
        <w:tc>
          <w:tcPr>
            <w:tcW w:w="1197" w:type="dxa"/>
            <w:shd w:val="clear" w:color="auto" w:fill="auto"/>
          </w:tcPr>
          <w:p w14:paraId="00534598" w14:textId="77777777" w:rsidR="00497DBC" w:rsidRDefault="00497DBC" w:rsidP="00DB743B">
            <w:pPr>
              <w:spacing w:line="240" w:lineRule="auto"/>
            </w:pPr>
            <w:r>
              <w:rPr>
                <w:lang w:val="fr-FR"/>
              </w:rPr>
              <w:t xml:space="preserve">00286214 </w:t>
            </w:r>
          </w:p>
        </w:tc>
        <w:tc>
          <w:tcPr>
            <w:tcW w:w="2523" w:type="dxa"/>
            <w:shd w:val="clear" w:color="auto" w:fill="auto"/>
          </w:tcPr>
          <w:p w14:paraId="15A17691" w14:textId="77777777" w:rsidR="00497DBC" w:rsidRPr="00F67396" w:rsidRDefault="00497DBC" w:rsidP="00DB743B">
            <w:pPr>
              <w:spacing w:line="240" w:lineRule="auto"/>
            </w:pPr>
            <w:r>
              <w:rPr>
                <w:lang w:val="fr-FR"/>
              </w:rPr>
              <w:t>FprEN 13110</w:t>
            </w:r>
          </w:p>
        </w:tc>
        <w:tc>
          <w:tcPr>
            <w:tcW w:w="3974" w:type="dxa"/>
            <w:shd w:val="clear" w:color="auto" w:fill="auto"/>
          </w:tcPr>
          <w:p w14:paraId="6E4E61CE" w14:textId="6CADCC0E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Équipement pour gaz de pétrole liquéfiés et leurs accessoires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Bouteilles soudées transportables et rechargeables en aluminium pour gaz de pétrole liquéfiés (GPL)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Conception et construction</w:t>
            </w:r>
          </w:p>
        </w:tc>
      </w:tr>
      <w:tr w:rsidR="00497DBC" w:rsidRPr="00D7006C" w14:paraId="6248E7D8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5344DC1E" w14:textId="77777777" w:rsidR="00497DBC" w:rsidRPr="00F136C7" w:rsidRDefault="00497DBC" w:rsidP="00DB743B">
            <w:pPr>
              <w:spacing w:line="240" w:lineRule="auto"/>
            </w:pPr>
            <w:r>
              <w:rPr>
                <w:lang w:val="fr-FR"/>
              </w:rPr>
              <w:t>CEN/TC 286</w:t>
            </w:r>
          </w:p>
        </w:tc>
        <w:tc>
          <w:tcPr>
            <w:tcW w:w="1197" w:type="dxa"/>
            <w:shd w:val="clear" w:color="auto" w:fill="auto"/>
          </w:tcPr>
          <w:p w14:paraId="13BD4377" w14:textId="77777777" w:rsidR="00497DBC" w:rsidRPr="00380657" w:rsidRDefault="00497DBC" w:rsidP="00DB743B">
            <w:pPr>
              <w:spacing w:line="240" w:lineRule="auto"/>
            </w:pPr>
            <w:r>
              <w:rPr>
                <w:lang w:val="fr-FR"/>
              </w:rPr>
              <w:t>00286219</w:t>
            </w:r>
          </w:p>
        </w:tc>
        <w:tc>
          <w:tcPr>
            <w:tcW w:w="2523" w:type="dxa"/>
            <w:shd w:val="clear" w:color="auto" w:fill="auto"/>
          </w:tcPr>
          <w:p w14:paraId="5ED1FA87" w14:textId="77777777" w:rsidR="00497DBC" w:rsidRPr="00380657" w:rsidRDefault="00497DBC" w:rsidP="00DB743B">
            <w:pPr>
              <w:spacing w:line="240" w:lineRule="auto"/>
            </w:pPr>
            <w:r>
              <w:rPr>
                <w:lang w:val="fr-FR"/>
              </w:rPr>
              <w:t>FprEN 14841</w:t>
            </w:r>
          </w:p>
        </w:tc>
        <w:tc>
          <w:tcPr>
            <w:tcW w:w="3974" w:type="dxa"/>
            <w:shd w:val="clear" w:color="auto" w:fill="auto"/>
          </w:tcPr>
          <w:p w14:paraId="38850621" w14:textId="047813C6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Équipements pour GPL et leurs accessoires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Procédures de chargement et de déchargement des wagons-citernes pour GPL</w:t>
            </w:r>
          </w:p>
        </w:tc>
      </w:tr>
      <w:tr w:rsidR="00497DBC" w:rsidRPr="00D7006C" w14:paraId="349C34BA" w14:textId="77777777" w:rsidTr="00217A77">
        <w:trPr>
          <w:trHeight w:val="420"/>
        </w:trPr>
        <w:tc>
          <w:tcPr>
            <w:tcW w:w="1945" w:type="dxa"/>
            <w:shd w:val="clear" w:color="auto" w:fill="auto"/>
          </w:tcPr>
          <w:p w14:paraId="21F32ABA" w14:textId="77777777" w:rsidR="00497DBC" w:rsidRPr="003A2A2A" w:rsidRDefault="00497DBC" w:rsidP="00DB743B">
            <w:pPr>
              <w:spacing w:line="240" w:lineRule="auto"/>
            </w:pPr>
            <w:r>
              <w:rPr>
                <w:lang w:val="fr-FR"/>
              </w:rPr>
              <w:t>CEN/TC 296</w:t>
            </w:r>
          </w:p>
        </w:tc>
        <w:tc>
          <w:tcPr>
            <w:tcW w:w="1197" w:type="dxa"/>
            <w:shd w:val="clear" w:color="auto" w:fill="auto"/>
          </w:tcPr>
          <w:p w14:paraId="08BAF292" w14:textId="77777777" w:rsidR="00497DBC" w:rsidRDefault="00497DBC" w:rsidP="00DB743B">
            <w:pPr>
              <w:spacing w:line="240" w:lineRule="auto"/>
            </w:pPr>
            <w:r>
              <w:rPr>
                <w:lang w:val="fr-FR"/>
              </w:rPr>
              <w:t xml:space="preserve">00296112 </w:t>
            </w:r>
          </w:p>
        </w:tc>
        <w:tc>
          <w:tcPr>
            <w:tcW w:w="2523" w:type="dxa"/>
            <w:shd w:val="clear" w:color="auto" w:fill="auto"/>
          </w:tcPr>
          <w:p w14:paraId="06F88C15" w14:textId="77777777" w:rsidR="00497DBC" w:rsidRPr="00F67396" w:rsidRDefault="00497DBC" w:rsidP="00DB743B">
            <w:pPr>
              <w:spacing w:line="240" w:lineRule="auto"/>
            </w:pPr>
            <w:r>
              <w:rPr>
                <w:lang w:val="fr-FR"/>
              </w:rPr>
              <w:t>EN 12972:2018/prA1</w:t>
            </w:r>
          </w:p>
        </w:tc>
        <w:tc>
          <w:tcPr>
            <w:tcW w:w="3974" w:type="dxa"/>
            <w:shd w:val="clear" w:color="auto" w:fill="auto"/>
          </w:tcPr>
          <w:p w14:paraId="0822A839" w14:textId="1BA35608" w:rsidR="00497DBC" w:rsidRPr="00A82E04" w:rsidRDefault="00497DBC" w:rsidP="00DB743B">
            <w:pPr>
              <w:tabs>
                <w:tab w:val="left" w:pos="924"/>
              </w:tabs>
              <w:spacing w:line="240" w:lineRule="auto"/>
            </w:pPr>
            <w:r>
              <w:rPr>
                <w:lang w:val="fr-FR"/>
              </w:rPr>
              <w:t xml:space="preserve">Citernes destinées au transport de matières dangereuses </w:t>
            </w:r>
            <w:r w:rsidR="00217A7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Épreuve, contrôle et marquage des citernes métalliques</w:t>
            </w:r>
          </w:p>
        </w:tc>
      </w:tr>
    </w:tbl>
    <w:p w14:paraId="29B11965" w14:textId="77777777" w:rsidR="00497DBC" w:rsidRPr="00A82E04" w:rsidRDefault="00497DBC" w:rsidP="00497DB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Nouveaux renvois à des normes et renvois modifiés</w:t>
      </w:r>
    </w:p>
    <w:p w14:paraId="0A280D6A" w14:textId="509B055F" w:rsidR="00497DBC" w:rsidRPr="00A82E04" w:rsidRDefault="00497DBC" w:rsidP="00497DBC">
      <w:pPr>
        <w:pStyle w:val="SingleTxtG"/>
        <w:rPr>
          <w:snapToGrid w:val="0"/>
        </w:rPr>
      </w:pPr>
      <w:r>
        <w:rPr>
          <w:lang w:val="fr-FR"/>
        </w:rPr>
        <w:t>5.</w:t>
      </w:r>
      <w:r>
        <w:rPr>
          <w:lang w:val="fr-FR"/>
        </w:rPr>
        <w:tab/>
        <w:t>Depuis la session de septembre 2022, des projets de normes ont atteint les stades de l</w:t>
      </w:r>
      <w:r w:rsidR="00217A77">
        <w:rPr>
          <w:lang w:val="fr-FR"/>
        </w:rPr>
        <w:t>’</w:t>
      </w:r>
      <w:r>
        <w:rPr>
          <w:lang w:val="fr-FR"/>
        </w:rPr>
        <w:t>enquête, du vote officiel ou de la publication. On trouvera ces projets dans l</w:t>
      </w:r>
      <w:r w:rsidR="00217A77">
        <w:rPr>
          <w:lang w:val="fr-FR"/>
        </w:rPr>
        <w:t>’</w:t>
      </w:r>
      <w:r>
        <w:rPr>
          <w:lang w:val="fr-FR"/>
        </w:rPr>
        <w:t>annexe du présent document.</w:t>
      </w:r>
    </w:p>
    <w:p w14:paraId="3C1F8A4C" w14:textId="7DC3160D" w:rsidR="00497DBC" w:rsidRDefault="00497DBC" w:rsidP="00497DBC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Les membres de la Réunion commune ont déjà été invités à communiquer leurs observations concernant les documents figurant dans les envois des 6 octobre, 7 novembre et 6 décembre 2022. Ils avaient jusqu</w:t>
      </w:r>
      <w:r w:rsidR="00217A77">
        <w:rPr>
          <w:lang w:val="fr-FR"/>
        </w:rPr>
        <w:t>’</w:t>
      </w:r>
      <w:r>
        <w:rPr>
          <w:lang w:val="fr-FR"/>
        </w:rPr>
        <w:t xml:space="preserve">au </w:t>
      </w:r>
      <w:r w:rsidRPr="00BA155F">
        <w:rPr>
          <w:b/>
          <w:bCs/>
          <w:lang w:val="fr-FR"/>
        </w:rPr>
        <w:t>10 décembre 2022</w:t>
      </w:r>
      <w:r>
        <w:rPr>
          <w:lang w:val="fr-FR"/>
        </w:rPr>
        <w:t xml:space="preserve"> pour transmettre ces observations au Centre de gestion du CEN/CENELEC (</w:t>
      </w:r>
      <w:hyperlink r:id="rId8" w:history="1">
        <w:r w:rsidRPr="00BA155F">
          <w:rPr>
            <w:rStyle w:val="Hyperlink"/>
            <w:lang w:val="fr-FR"/>
          </w:rPr>
          <w:t>macarreira@cencenelec.eu</w:t>
        </w:r>
      </w:hyperlink>
      <w:r>
        <w:rPr>
          <w:lang w:val="fr-FR"/>
        </w:rPr>
        <w:t>). On s</w:t>
      </w:r>
      <w:r w:rsidR="00217A77">
        <w:rPr>
          <w:lang w:val="fr-FR"/>
        </w:rPr>
        <w:t>’</w:t>
      </w:r>
      <w:r>
        <w:rPr>
          <w:lang w:val="fr-FR"/>
        </w:rPr>
        <w:t>attend toutefois à recevoir la plupart d</w:t>
      </w:r>
      <w:r w:rsidR="00217A77">
        <w:rPr>
          <w:lang w:val="fr-FR"/>
        </w:rPr>
        <w:t>’</w:t>
      </w:r>
      <w:r>
        <w:rPr>
          <w:lang w:val="fr-FR"/>
        </w:rPr>
        <w:t>entre elles à l</w:t>
      </w:r>
      <w:r w:rsidR="00217A77">
        <w:rPr>
          <w:lang w:val="fr-FR"/>
        </w:rPr>
        <w:t>’</w:t>
      </w:r>
      <w:r>
        <w:rPr>
          <w:lang w:val="fr-FR"/>
        </w:rPr>
        <w:t xml:space="preserve">approche des conférences en ligne destinées à leur examen. Ces conférences devraient se tenir au </w:t>
      </w:r>
      <w:r w:rsidRPr="00BA155F">
        <w:rPr>
          <w:b/>
          <w:bCs/>
          <w:lang w:val="fr-FR"/>
        </w:rPr>
        <w:t>début du mois de février 2023</w:t>
      </w:r>
      <w:r>
        <w:rPr>
          <w:lang w:val="fr-FR"/>
        </w:rPr>
        <w:t xml:space="preserve"> (le calendrier exact reste à définir en concertation avec le Groupe de travail des normes de la Réunion commune). Toutes les observations communiquées seront regroupées dans un même document et transmises à la Réunion commune.</w:t>
      </w:r>
    </w:p>
    <w:p w14:paraId="27F172B0" w14:textId="77777777" w:rsidR="00C12E30" w:rsidRDefault="00C12E30" w:rsidP="00497DBC">
      <w:pPr>
        <w:pStyle w:val="SingleTxtG"/>
        <w:sectPr w:rsidR="00C12E30" w:rsidSect="00497DB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14C23B51" w14:textId="16F189DD" w:rsidR="00217A77" w:rsidRDefault="00C12E30" w:rsidP="00C12E30">
      <w:pPr>
        <w:pStyle w:val="HChG"/>
        <w:spacing w:before="120" w:after="120"/>
      </w:pPr>
      <w:r>
        <w:lastRenderedPageBreak/>
        <w:t>Annexe</w:t>
      </w:r>
    </w:p>
    <w:p w14:paraId="4B42AAD7" w14:textId="2B518F9F" w:rsidR="00C12E30" w:rsidRDefault="00C12E30" w:rsidP="00C12E30">
      <w:pPr>
        <w:pStyle w:val="SingleTxtG"/>
        <w:spacing w:after="0"/>
        <w:jc w:val="right"/>
      </w:pPr>
      <w:r>
        <w:t>[</w:t>
      </w:r>
      <w:r w:rsidRPr="00C12E30">
        <w:rPr>
          <w:i/>
          <w:iCs/>
        </w:rPr>
        <w:t>Anglais seulement</w:t>
      </w:r>
      <w:r>
        <w:t>]</w:t>
      </w:r>
    </w:p>
    <w:p w14:paraId="4F51047B" w14:textId="77777777" w:rsidR="00C12E30" w:rsidRPr="00C12E30" w:rsidRDefault="00C12E30" w:rsidP="00C12E30">
      <w:pPr>
        <w:pStyle w:val="H23G"/>
        <w:rPr>
          <w:lang w:val="en-US"/>
        </w:rPr>
      </w:pPr>
      <w:r>
        <w:tab/>
      </w:r>
      <w:r>
        <w:tab/>
      </w:r>
      <w:r w:rsidRPr="00C12E30">
        <w:rPr>
          <w:lang w:val="en-US"/>
        </w:rPr>
        <w:t>A. Standards at Stage 2: Submitted for Public Enquiry</w:t>
      </w:r>
    </w:p>
    <w:p w14:paraId="7225BE2C" w14:textId="77777777" w:rsidR="00C12E30" w:rsidRPr="00E2282A" w:rsidRDefault="00C12E30" w:rsidP="00C12E30">
      <w:pPr>
        <w:pStyle w:val="Title"/>
        <w:spacing w:before="120"/>
        <w:jc w:val="left"/>
        <w:rPr>
          <w:sz w:val="20"/>
        </w:rPr>
      </w:pPr>
      <w:r w:rsidRPr="00E2282A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C12E30" w:rsidRPr="00E2282A" w14:paraId="6AD78D07" w14:textId="77777777" w:rsidTr="00DB743B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CFD8683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  <w:proofErr w:type="spellStart"/>
            <w:r w:rsidRPr="00E2282A">
              <w:rPr>
                <w:b/>
                <w:spacing w:val="-3"/>
              </w:rPr>
              <w:t>prEN</w:t>
            </w:r>
            <w:proofErr w:type="spellEnd"/>
            <w:r w:rsidRPr="00E2282A">
              <w:rPr>
                <w:b/>
                <w:spacing w:val="-3"/>
              </w:rPr>
              <w:t xml:space="preserve"> ISO 11623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1E120E" w14:textId="77777777" w:rsidR="00C12E30" w:rsidRPr="003D3C5F" w:rsidRDefault="00C12E30" w:rsidP="00DB743B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3D3C5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Composite cylinders and tubes - Periodic inspection and testing (ISO/DIS 11623:2022)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A75AFC" w14:textId="77777777" w:rsidR="00C12E30" w:rsidRPr="003D3C5F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3D3C5F">
              <w:rPr>
                <w:bCs/>
                <w:smallCaps w:val="0"/>
                <w:sz w:val="20"/>
              </w:rPr>
              <w:t>Where to refer in RID/ADR:</w:t>
            </w:r>
          </w:p>
          <w:p w14:paraId="585A3C5A" w14:textId="77777777" w:rsidR="00C12E30" w:rsidRPr="003D3C5F" w:rsidRDefault="00C12E30" w:rsidP="00DB743B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6.2.3.5.1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CA3B7D" w14:textId="77777777" w:rsidR="00C12E30" w:rsidRPr="003D3C5F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3D3C5F">
              <w:rPr>
                <w:bCs/>
                <w:smallCaps w:val="0"/>
                <w:sz w:val="20"/>
              </w:rPr>
              <w:t>Applicable sub-sections and paragraphs:</w:t>
            </w:r>
          </w:p>
          <w:p w14:paraId="2158E861" w14:textId="77777777" w:rsidR="00C12E30" w:rsidRPr="003D3C5F" w:rsidRDefault="00C12E30" w:rsidP="00DB743B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6.2.2.4,6.2.4.2</w:t>
            </w:r>
          </w:p>
        </w:tc>
      </w:tr>
      <w:tr w:rsidR="00C12E30" w:rsidRPr="00E2282A" w14:paraId="1F5D893E" w14:textId="77777777" w:rsidTr="00DB743B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4A43CB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E17C57F" w14:textId="77777777" w:rsidR="00C12E30" w:rsidRPr="003D3C5F" w:rsidRDefault="00C12E30" w:rsidP="00DB743B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00718E" w14:textId="77777777" w:rsidR="00C12E30" w:rsidRPr="003D3C5F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1114F2" w14:textId="77777777" w:rsidR="00C12E30" w:rsidRPr="003D3C5F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1E4A8688" w14:textId="77777777" w:rsidTr="00DB743B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266D6C7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C12E30">
              <w:rPr>
                <w:lang w:val="en-US"/>
              </w:rPr>
              <w:t>Assessment by the JMSA: This standard is compliant with the RID/ADR and is suitable for referencing in the RID/ADR, but with the exclusion of Annex C.</w:t>
            </w:r>
          </w:p>
        </w:tc>
      </w:tr>
      <w:tr w:rsidR="00C12E30" w:rsidRPr="00C12E30" w14:paraId="2A39C022" w14:textId="77777777" w:rsidTr="00DB743B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C17DB03" w14:textId="77777777" w:rsidR="00C12E30" w:rsidRPr="00C12E30" w:rsidRDefault="00C12E30" w:rsidP="00DB743B">
            <w:pPr>
              <w:rPr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 no comment</w:t>
            </w:r>
          </w:p>
        </w:tc>
      </w:tr>
      <w:tr w:rsidR="00C12E30" w:rsidRPr="00E2282A" w14:paraId="7C2B59E9" w14:textId="77777777" w:rsidTr="00DB743B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048C9B1E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21277B4F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02B23C07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AB5801C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7000620D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</w:p>
          <w:p w14:paraId="59BE802D" w14:textId="77777777" w:rsidR="00C12E30" w:rsidRPr="00E2282A" w:rsidRDefault="00C12E30" w:rsidP="00DB743B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7C482BD1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</w:t>
            </w:r>
          </w:p>
          <w:p w14:paraId="77C5D939" w14:textId="77777777" w:rsidR="00C12E30" w:rsidRPr="00E2282A" w:rsidRDefault="00C12E30" w:rsidP="00DB743B">
            <w:pPr>
              <w:jc w:val="center"/>
            </w:pPr>
            <w:r w:rsidRPr="00E2282A">
              <w:t>WG Standards</w:t>
            </w:r>
          </w:p>
        </w:tc>
      </w:tr>
      <w:tr w:rsidR="00C12E30" w:rsidRPr="00E2282A" w14:paraId="06C58C37" w14:textId="77777777" w:rsidTr="00DB743B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262549BD" w14:textId="77777777" w:rsidR="00C12E30" w:rsidRPr="00E2282A" w:rsidRDefault="00C12E30" w:rsidP="00DB743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F8AA881" w14:textId="77777777" w:rsidR="00C12E30" w:rsidRPr="00E2282A" w:rsidRDefault="00C12E30" w:rsidP="00DB743B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56F5CB2" w14:textId="77777777" w:rsidR="00C12E30" w:rsidRPr="00E2282A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C43C7A6" w14:textId="77777777" w:rsidR="00C12E30" w:rsidRPr="00E2282A" w:rsidRDefault="00C12E30" w:rsidP="00DB743B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F4EDA82" w14:textId="77777777" w:rsidR="00C12E30" w:rsidRPr="00E2282A" w:rsidRDefault="00C12E30" w:rsidP="00DB743B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3F2197B3" w14:textId="77777777" w:rsidR="00C12E30" w:rsidRPr="00E2282A" w:rsidRDefault="00C12E30" w:rsidP="00DB743B">
            <w:pPr>
              <w:keepLines/>
              <w:rPr>
                <w:bCs/>
              </w:rPr>
            </w:pPr>
          </w:p>
        </w:tc>
      </w:tr>
      <w:tr w:rsidR="00C12E30" w:rsidRPr="00E2282A" w14:paraId="49E56C0C" w14:textId="77777777" w:rsidTr="00DB743B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3A0D9D1" w14:textId="77777777" w:rsidR="00C12E30" w:rsidRPr="00E2282A" w:rsidRDefault="00C12E30" w:rsidP="00DB743B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CD11DD7" w14:textId="77777777" w:rsidR="00C12E30" w:rsidRPr="00E2282A" w:rsidRDefault="00C12E30" w:rsidP="00DB743B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D727EB2" w14:textId="77777777" w:rsidR="00C12E30" w:rsidRPr="00E2282A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C735857" w14:textId="77777777" w:rsidR="00C12E30" w:rsidRPr="00E2282A" w:rsidRDefault="00C12E30" w:rsidP="00DB743B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010EE2D" w14:textId="77777777" w:rsidR="00C12E30" w:rsidRPr="00E2282A" w:rsidRDefault="00C12E30" w:rsidP="00DB743B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348E15C1" w14:textId="77777777" w:rsidR="00C12E30" w:rsidRPr="00E2282A" w:rsidRDefault="00C12E30" w:rsidP="00DB743B">
            <w:pPr>
              <w:keepLines/>
              <w:rPr>
                <w:bCs/>
              </w:rPr>
            </w:pPr>
          </w:p>
        </w:tc>
      </w:tr>
      <w:tr w:rsidR="00C12E30" w:rsidRPr="00C12E30" w14:paraId="691276AE" w14:textId="77777777" w:rsidTr="00DB743B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16EE786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6B4A705" w14:textId="77777777" w:rsidR="00C12E30" w:rsidRPr="00C12E30" w:rsidRDefault="00C12E30" w:rsidP="00DB743B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B782C28" w14:textId="77777777" w:rsidR="00C12E30" w:rsidRPr="00C12E30" w:rsidRDefault="00C12E30" w:rsidP="00DB743B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C42C87F" w14:textId="77777777" w:rsidR="00C12E30" w:rsidRPr="00C12E30" w:rsidRDefault="00C12E30" w:rsidP="00DB743B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045FDEC3" w14:textId="77777777" w:rsidR="00C12E30" w:rsidRPr="00C12E30" w:rsidRDefault="00C12E30" w:rsidP="00C12E30">
      <w:pPr>
        <w:suppressAutoHyphens w:val="0"/>
        <w:spacing w:line="240" w:lineRule="auto"/>
        <w:rPr>
          <w:lang w:val="en-US"/>
        </w:rPr>
      </w:pPr>
    </w:p>
    <w:tbl>
      <w:tblPr>
        <w:tblW w:w="49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16"/>
        <w:gridCol w:w="22"/>
        <w:gridCol w:w="1119"/>
        <w:gridCol w:w="3850"/>
        <w:gridCol w:w="20"/>
        <w:gridCol w:w="2114"/>
        <w:gridCol w:w="20"/>
        <w:gridCol w:w="2131"/>
        <w:gridCol w:w="2751"/>
      </w:tblGrid>
      <w:tr w:rsidR="00C12E30" w:rsidRPr="00233A9E" w14:paraId="7E0F7F3F" w14:textId="77777777" w:rsidTr="00C12E30">
        <w:trPr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CF18161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  <w:proofErr w:type="spellStart"/>
            <w:r w:rsidRPr="00D91A1F">
              <w:rPr>
                <w:b/>
                <w:spacing w:val="-3"/>
              </w:rPr>
              <w:t>prEN</w:t>
            </w:r>
            <w:proofErr w:type="spellEnd"/>
            <w:r w:rsidRPr="00D91A1F">
              <w:rPr>
                <w:b/>
                <w:spacing w:val="-3"/>
              </w:rPr>
              <w:t xml:space="preserve"> ISO 9809-4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FD5C54" w14:textId="77777777" w:rsidR="00C12E30" w:rsidRPr="00E2282A" w:rsidRDefault="00C12E30" w:rsidP="00DB743B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D91A1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Design, construction and testing of refillable seamless steel gas cylinders and tubes - Part 4: Stainless steel cylinders with an Rm value of less than 1 100 MPa (ISO 9809-4:2021)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CBC02F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RID/ADR:</w:t>
            </w:r>
          </w:p>
          <w:p w14:paraId="2C98915C" w14:textId="77777777" w:rsidR="00C12E30" w:rsidRPr="00E2282A" w:rsidRDefault="00C12E30" w:rsidP="00DB743B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6.2.3.1,</w:t>
            </w:r>
            <w:r w:rsidRPr="003D3C5F">
              <w:t xml:space="preserve"> </w:t>
            </w:r>
            <w:r w:rsidRPr="003D3C5F">
              <w:rPr>
                <w:b/>
                <w:bCs/>
              </w:rPr>
              <w:t>6.2.3.4.1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0D386E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Applicable sub-sections and paragraphs:</w:t>
            </w:r>
          </w:p>
          <w:p w14:paraId="3A3AD523" w14:textId="77777777" w:rsidR="00C12E30" w:rsidRPr="003D3C5F" w:rsidRDefault="00C12E30" w:rsidP="00DB743B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6.2.2.1.1</w:t>
            </w:r>
          </w:p>
        </w:tc>
      </w:tr>
      <w:tr w:rsidR="00C12E30" w:rsidRPr="00233A9E" w14:paraId="20720281" w14:textId="77777777" w:rsidTr="00C12E30">
        <w:trPr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91846E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D91A1F">
              <w:rPr>
                <w:spacing w:val="-3"/>
              </w:rPr>
              <w:t>00023245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924334" w14:textId="77777777" w:rsidR="00C12E30" w:rsidRPr="00E2282A" w:rsidRDefault="00C12E30" w:rsidP="00DB743B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6291A87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EB719A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5CC4746D" w14:textId="77777777" w:rsidTr="00C12E30">
        <w:tc>
          <w:tcPr>
            <w:tcW w:w="5000" w:type="pct"/>
            <w:gridSpan w:val="10"/>
          </w:tcPr>
          <w:p w14:paraId="50D6D55F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lang w:val="en-US"/>
              </w:rPr>
            </w:pPr>
            <w:bookmarkStart w:id="0" w:name="_Hlk43123711"/>
            <w:r w:rsidRPr="00C12E30">
              <w:rPr>
                <w:lang w:val="en-US"/>
              </w:rPr>
              <w:t>Assessment by the JMSA: This standard is compliant with the RID/ADR and is suitable for inclusion in the referenced standards</w:t>
            </w:r>
          </w:p>
        </w:tc>
      </w:tr>
      <w:tr w:rsidR="00C12E30" w:rsidRPr="00C12E30" w14:paraId="399F92CE" w14:textId="77777777" w:rsidTr="00C12E30">
        <w:tc>
          <w:tcPr>
            <w:tcW w:w="5000" w:type="pct"/>
            <w:gridSpan w:val="10"/>
          </w:tcPr>
          <w:p w14:paraId="77B36E68" w14:textId="77777777" w:rsidR="00C12E30" w:rsidRPr="00C12E30" w:rsidRDefault="00C12E30" w:rsidP="00DB743B">
            <w:pPr>
              <w:rPr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</w:t>
            </w:r>
          </w:p>
        </w:tc>
      </w:tr>
      <w:tr w:rsidR="00C12E30" w:rsidRPr="00233A9E" w14:paraId="61390C7C" w14:textId="77777777" w:rsidTr="00C12E30">
        <w:tc>
          <w:tcPr>
            <w:tcW w:w="313" w:type="pct"/>
            <w:tcMar>
              <w:top w:w="57" w:type="dxa"/>
              <w:bottom w:w="57" w:type="dxa"/>
            </w:tcMar>
          </w:tcPr>
          <w:p w14:paraId="39CFA89A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E83E586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55092DC1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5C2D2A7D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4BC3F465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</w:p>
          <w:p w14:paraId="3783B19D" w14:textId="77777777" w:rsidR="00C12E30" w:rsidRPr="00E2282A" w:rsidRDefault="00C12E30" w:rsidP="00DB743B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5241B597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</w:t>
            </w:r>
          </w:p>
          <w:p w14:paraId="3DE04EBA" w14:textId="77777777" w:rsidR="00C12E30" w:rsidRPr="00E2282A" w:rsidRDefault="00C12E30" w:rsidP="00DB743B">
            <w:pPr>
              <w:jc w:val="center"/>
            </w:pPr>
            <w:r w:rsidRPr="00E2282A">
              <w:t>WG Standards</w:t>
            </w:r>
          </w:p>
        </w:tc>
      </w:tr>
      <w:tr w:rsidR="00C12E30" w:rsidRPr="00233A9E" w14:paraId="057F5FE5" w14:textId="77777777" w:rsidTr="00C12E30">
        <w:tc>
          <w:tcPr>
            <w:tcW w:w="313" w:type="pct"/>
            <w:tcMar>
              <w:top w:w="0" w:type="dxa"/>
              <w:bottom w:w="0" w:type="dxa"/>
            </w:tcMar>
          </w:tcPr>
          <w:p w14:paraId="64A0E5DC" w14:textId="77777777" w:rsidR="00C12E30" w:rsidRPr="00E2282A" w:rsidRDefault="00C12E30" w:rsidP="00DB743B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B9F0995" w14:textId="77777777" w:rsidR="00C12E30" w:rsidRPr="00E2282A" w:rsidRDefault="00C12E30" w:rsidP="00DB743B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F3F58BE" w14:textId="77777777" w:rsidR="00C12E30" w:rsidRPr="00E2282A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C3C5307" w14:textId="77777777" w:rsidR="00C12E30" w:rsidRPr="00E2282A" w:rsidRDefault="00C12E30" w:rsidP="00DB743B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14A23DC" w14:textId="77777777" w:rsidR="00C12E30" w:rsidRPr="00E2282A" w:rsidRDefault="00C12E30" w:rsidP="00DB743B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744E938C" w14:textId="77777777" w:rsidR="00C12E30" w:rsidRPr="00E2282A" w:rsidRDefault="00C12E30" w:rsidP="00DB743B">
            <w:pPr>
              <w:keepLines/>
              <w:rPr>
                <w:bCs/>
              </w:rPr>
            </w:pPr>
          </w:p>
        </w:tc>
      </w:tr>
      <w:tr w:rsidR="00C12E30" w:rsidRPr="00233A9E" w14:paraId="1E930040" w14:textId="77777777" w:rsidTr="00C12E30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28E7564" w14:textId="77777777" w:rsidR="00C12E30" w:rsidRPr="00E2282A" w:rsidRDefault="00C12E30" w:rsidP="00DB743B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3A1C5A" w14:textId="77777777" w:rsidR="00C12E30" w:rsidRPr="00E2282A" w:rsidRDefault="00C12E30" w:rsidP="00DB743B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65E63D2" w14:textId="77777777" w:rsidR="00C12E30" w:rsidRPr="00E2282A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E281F77" w14:textId="77777777" w:rsidR="00C12E30" w:rsidRPr="00E2282A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44C1091" w14:textId="77777777" w:rsidR="00C12E30" w:rsidRPr="00E2282A" w:rsidRDefault="00C12E30" w:rsidP="00DB743B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52459BA" w14:textId="77777777" w:rsidR="00C12E30" w:rsidRPr="00E2282A" w:rsidRDefault="00C12E30" w:rsidP="00DB743B">
            <w:pPr>
              <w:keepLines/>
              <w:rPr>
                <w:bCs/>
              </w:rPr>
            </w:pPr>
          </w:p>
        </w:tc>
      </w:tr>
      <w:tr w:rsidR="00C12E30" w:rsidRPr="00233A9E" w14:paraId="5860188D" w14:textId="77777777" w:rsidTr="00C12E30">
        <w:trPr>
          <w:trHeight w:val="655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87D5C43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C4934FB" w14:textId="77777777" w:rsidR="00C12E30" w:rsidRPr="00233A9E" w:rsidRDefault="00C12E30" w:rsidP="00DB743B">
            <w:pPr>
              <w:keepLine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Agreed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referencing</w:t>
            </w:r>
            <w:proofErr w:type="spellEnd"/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F825554" w14:textId="77777777" w:rsidR="00C12E30" w:rsidRPr="00233A9E" w:rsidRDefault="00C12E30" w:rsidP="00DB743B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361050AE" w14:textId="77777777" w:rsidR="00C12E30" w:rsidRPr="00233A9E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2AF402E5" w14:textId="77777777" w:rsidR="00C12E30" w:rsidRPr="00233A9E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8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E1FE34E" w14:textId="77777777" w:rsidR="00C12E30" w:rsidRPr="00233A9E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bookmarkEnd w:id="0"/>
    <w:p w14:paraId="4386AA6F" w14:textId="77777777" w:rsidR="00C12E30" w:rsidRPr="00233A9E" w:rsidRDefault="00C12E30" w:rsidP="00C12E30">
      <w:pPr>
        <w:pStyle w:val="Title"/>
        <w:spacing w:before="120"/>
        <w:jc w:val="left"/>
        <w:rPr>
          <w:sz w:val="20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lastRenderedPageBreak/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2</w:t>
      </w:r>
    </w:p>
    <w:p w14:paraId="204532ED" w14:textId="77777777" w:rsidR="00C12E30" w:rsidRDefault="00C12E30" w:rsidP="00C12E30"/>
    <w:tbl>
      <w:tblPr>
        <w:tblW w:w="49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18"/>
        <w:gridCol w:w="20"/>
        <w:gridCol w:w="1122"/>
        <w:gridCol w:w="3850"/>
        <w:gridCol w:w="17"/>
        <w:gridCol w:w="2117"/>
        <w:gridCol w:w="17"/>
        <w:gridCol w:w="2131"/>
        <w:gridCol w:w="2751"/>
      </w:tblGrid>
      <w:tr w:rsidR="00C12E30" w:rsidRPr="00233A9E" w14:paraId="319DEA63" w14:textId="77777777" w:rsidTr="00C12E30">
        <w:trPr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BF7655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  <w:r w:rsidRPr="00831BE9">
              <w:rPr>
                <w:b/>
                <w:spacing w:val="-3"/>
              </w:rPr>
              <w:t>EN 12972:2018/prA1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2B5240" w14:textId="77777777" w:rsidR="00C12E30" w:rsidRPr="00E2282A" w:rsidRDefault="00C12E30" w:rsidP="00DB743B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831BE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transport of dangerous goods - Testing, inspection and marking of metallic tanks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5FF4401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Where to refer in </w:t>
            </w:r>
          </w:p>
          <w:p w14:paraId="3CE0C3A3" w14:textId="77777777" w:rsidR="00C12E30" w:rsidRPr="00234970" w:rsidRDefault="00C12E30" w:rsidP="00DB743B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6.8.2.3, 6.8.2.4.1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BE25ED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3AC1A32E" w14:textId="77777777" w:rsidR="00C12E30" w:rsidRPr="003D3C5F" w:rsidRDefault="00C12E30" w:rsidP="00DB743B">
            <w:pPr>
              <w:jc w:val="center"/>
              <w:rPr>
                <w:b/>
                <w:bCs/>
              </w:rPr>
            </w:pPr>
            <w:r w:rsidRPr="003D3C5F">
              <w:rPr>
                <w:b/>
                <w:bCs/>
              </w:rPr>
              <w:t>6.8.2.6.2</w:t>
            </w:r>
          </w:p>
        </w:tc>
      </w:tr>
      <w:tr w:rsidR="00C12E30" w:rsidRPr="00233A9E" w14:paraId="5C3CE37B" w14:textId="77777777" w:rsidTr="00C12E30">
        <w:trPr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35A72B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831BE9">
              <w:rPr>
                <w:spacing w:val="-3"/>
              </w:rPr>
              <w:t>00296112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5ACFE0" w14:textId="77777777" w:rsidR="00C12E30" w:rsidRPr="00E2282A" w:rsidRDefault="00C12E30" w:rsidP="00DB743B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E58124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9827D6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560C2F6E" w14:textId="77777777" w:rsidTr="00C12E30">
        <w:tc>
          <w:tcPr>
            <w:tcW w:w="5000" w:type="pct"/>
            <w:gridSpan w:val="10"/>
          </w:tcPr>
          <w:p w14:paraId="26EFBC01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C12E30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C12E30" w:rsidRPr="00C12E30" w14:paraId="6EEBEFAF" w14:textId="77777777" w:rsidTr="00C12E30">
        <w:tc>
          <w:tcPr>
            <w:tcW w:w="5000" w:type="pct"/>
            <w:gridSpan w:val="10"/>
          </w:tcPr>
          <w:p w14:paraId="2C846A3A" w14:textId="77777777" w:rsidR="00C12E30" w:rsidRPr="00C12E30" w:rsidRDefault="00C12E30" w:rsidP="00DB743B">
            <w:pPr>
              <w:rPr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</w:t>
            </w:r>
          </w:p>
        </w:tc>
      </w:tr>
      <w:tr w:rsidR="00C12E30" w:rsidRPr="00233A9E" w14:paraId="75DDA205" w14:textId="77777777" w:rsidTr="00C12E30">
        <w:tc>
          <w:tcPr>
            <w:tcW w:w="313" w:type="pct"/>
            <w:tcMar>
              <w:top w:w="57" w:type="dxa"/>
              <w:bottom w:w="57" w:type="dxa"/>
            </w:tcMar>
          </w:tcPr>
          <w:p w14:paraId="6C570AC0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2446374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74A85525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78D75DE1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7939813D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</w:p>
          <w:p w14:paraId="2E1FEEC8" w14:textId="77777777" w:rsidR="00C12E30" w:rsidRPr="00E2282A" w:rsidRDefault="00C12E30" w:rsidP="00DB743B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1A183E9B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</w:t>
            </w:r>
          </w:p>
          <w:p w14:paraId="2F2692E2" w14:textId="77777777" w:rsidR="00C12E30" w:rsidRPr="00E2282A" w:rsidRDefault="00C12E30" w:rsidP="00DB743B">
            <w:pPr>
              <w:jc w:val="center"/>
            </w:pPr>
            <w:r w:rsidRPr="00E2282A">
              <w:t>WG Standards</w:t>
            </w:r>
          </w:p>
        </w:tc>
      </w:tr>
      <w:tr w:rsidR="00C12E30" w:rsidRPr="00233A9E" w14:paraId="23FD5457" w14:textId="77777777" w:rsidTr="00C12E30">
        <w:tc>
          <w:tcPr>
            <w:tcW w:w="313" w:type="pct"/>
            <w:tcMar>
              <w:top w:w="0" w:type="dxa"/>
              <w:bottom w:w="0" w:type="dxa"/>
            </w:tcMar>
          </w:tcPr>
          <w:p w14:paraId="529D8351" w14:textId="77777777" w:rsidR="00C12E30" w:rsidRPr="00E2282A" w:rsidRDefault="00C12E30" w:rsidP="00DB743B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FC38AAC" w14:textId="77777777" w:rsidR="00C12E30" w:rsidRPr="00E2282A" w:rsidRDefault="00C12E30" w:rsidP="00DB743B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BABD6EF" w14:textId="77777777" w:rsidR="00C12E30" w:rsidRPr="00E2282A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A613868" w14:textId="77777777" w:rsidR="00C12E30" w:rsidRPr="00E2282A" w:rsidRDefault="00C12E30" w:rsidP="00DB743B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EBDE6B7" w14:textId="77777777" w:rsidR="00C12E30" w:rsidRPr="00E2282A" w:rsidRDefault="00C12E30" w:rsidP="00DB743B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3648DAC4" w14:textId="77777777" w:rsidR="00C12E30" w:rsidRPr="00E2282A" w:rsidRDefault="00C12E30" w:rsidP="00DB743B">
            <w:pPr>
              <w:keepLines/>
              <w:rPr>
                <w:bCs/>
              </w:rPr>
            </w:pPr>
          </w:p>
        </w:tc>
      </w:tr>
      <w:tr w:rsidR="00C12E30" w:rsidRPr="00233A9E" w14:paraId="72B4AE9B" w14:textId="77777777" w:rsidTr="00C12E30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8995DDA" w14:textId="77777777" w:rsidR="00C12E30" w:rsidRPr="00233A9E" w:rsidRDefault="00C12E30" w:rsidP="00DB743B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EB262A4" w14:textId="77777777" w:rsidR="00C12E30" w:rsidRPr="00233A9E" w:rsidRDefault="00C12E30" w:rsidP="00DB743B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C7EFD60" w14:textId="77777777" w:rsidR="00C12E30" w:rsidRPr="00233A9E" w:rsidRDefault="00C12E30" w:rsidP="00DB743B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ECB36E0" w14:textId="77777777" w:rsidR="00C12E30" w:rsidRPr="00233A9E" w:rsidRDefault="00C12E30" w:rsidP="00DB743B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504F18A" w14:textId="77777777" w:rsidR="00C12E30" w:rsidRPr="00233A9E" w:rsidRDefault="00C12E30" w:rsidP="00DB743B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9B2FD85" w14:textId="77777777" w:rsidR="00C12E30" w:rsidRPr="00233A9E" w:rsidRDefault="00C12E30" w:rsidP="00DB743B">
            <w:pPr>
              <w:keepLines/>
              <w:rPr>
                <w:bCs/>
              </w:rPr>
            </w:pPr>
          </w:p>
        </w:tc>
      </w:tr>
      <w:tr w:rsidR="00C12E30" w:rsidRPr="00233A9E" w14:paraId="0959164E" w14:textId="77777777" w:rsidTr="00C12E30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89B619A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FC1D00" w14:textId="77777777" w:rsidR="00C12E30" w:rsidRPr="00233A9E" w:rsidRDefault="00C12E30" w:rsidP="00DB743B">
            <w:pPr>
              <w:keepLine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Agreed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referencing</w:t>
            </w:r>
            <w:proofErr w:type="spellEnd"/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1F14A7D" w14:textId="77777777" w:rsidR="00C12E30" w:rsidRPr="00233A9E" w:rsidRDefault="00C12E30" w:rsidP="00DB743B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10C36DD0" w14:textId="77777777" w:rsidR="00C12E30" w:rsidRPr="00233A9E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34587438" w14:textId="77777777" w:rsidR="00C12E30" w:rsidRPr="00233A9E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06F4FE7" w14:textId="77777777" w:rsidR="00C12E30" w:rsidRPr="00233A9E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72FF8C98" w14:textId="70ED40F0" w:rsidR="00C12E30" w:rsidRDefault="00C12E30" w:rsidP="00C12E30">
      <w:pPr>
        <w:pStyle w:val="SingleTxtG"/>
        <w:jc w:val="left"/>
      </w:pPr>
      <w:r>
        <w:br w:type="page"/>
      </w:r>
    </w:p>
    <w:p w14:paraId="08D1C0C9" w14:textId="77777777" w:rsidR="00C12E30" w:rsidRPr="00C12E30" w:rsidRDefault="00C12E30" w:rsidP="00C12E30">
      <w:pPr>
        <w:pStyle w:val="H23G"/>
        <w:rPr>
          <w:lang w:val="en-US"/>
        </w:rPr>
      </w:pPr>
      <w:r>
        <w:lastRenderedPageBreak/>
        <w:tab/>
      </w:r>
      <w:r>
        <w:tab/>
      </w:r>
      <w:r w:rsidRPr="00C12E30">
        <w:rPr>
          <w:lang w:val="en-US"/>
        </w:rPr>
        <w:t>B. Standards at Stage 3 or 4: Submitted for Formal vote or Published</w:t>
      </w:r>
    </w:p>
    <w:p w14:paraId="71DD8BD3" w14:textId="77777777" w:rsidR="00C12E30" w:rsidRDefault="00C12E30" w:rsidP="00C12E30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42060C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p w14:paraId="5B4A0F51" w14:textId="77777777" w:rsidR="00C12E30" w:rsidRDefault="00C12E30" w:rsidP="00C12E30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C12E30" w:rsidRPr="00233A9E" w14:paraId="4FEEEA71" w14:textId="77777777" w:rsidTr="00DB743B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3A8565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proofErr w:type="spellStart"/>
            <w:r w:rsidRPr="00BE547D">
              <w:rPr>
                <w:b/>
                <w:iCs/>
              </w:rPr>
              <w:t>prEN</w:t>
            </w:r>
            <w:proofErr w:type="spellEnd"/>
            <w:r w:rsidRPr="00BE547D">
              <w:rPr>
                <w:b/>
                <w:iCs/>
              </w:rPr>
              <w:t xml:space="preserve"> ISO 21011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1C4DE8" w14:textId="77777777" w:rsidR="00C12E30" w:rsidRPr="00C12E30" w:rsidRDefault="00C12E30" w:rsidP="00DB743B">
            <w:pPr>
              <w:jc w:val="center"/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Cryogenic vessels - Valves for cryogenic service (ISO/DIS 21011:2021)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3E58B6E" w14:textId="77777777" w:rsidR="00C12E30" w:rsidRPr="003D3C5F" w:rsidRDefault="00C12E30" w:rsidP="00DB743B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3D3C5F">
              <w:rPr>
                <w:bCs/>
                <w:smallCaps w:val="0"/>
                <w:sz w:val="20"/>
              </w:rPr>
              <w:t>Where to refer in RID/ADR</w:t>
            </w:r>
          </w:p>
          <w:p w14:paraId="2822E61C" w14:textId="77777777" w:rsidR="00C12E30" w:rsidRPr="003D3C5F" w:rsidRDefault="00C12E30" w:rsidP="00DB743B">
            <w:pPr>
              <w:jc w:val="center"/>
              <w:rPr>
                <w:b/>
                <w:iCs/>
              </w:rPr>
            </w:pPr>
            <w:r w:rsidRPr="003D3C5F">
              <w:rPr>
                <w:b/>
                <w:iCs/>
              </w:rPr>
              <w:t>6.2.3.3.1,</w:t>
            </w:r>
            <w:r w:rsidRPr="003D3C5F">
              <w:t xml:space="preserve"> </w:t>
            </w:r>
            <w:r w:rsidRPr="003D3C5F">
              <w:rPr>
                <w:b/>
                <w:iCs/>
              </w:rPr>
              <w:t>6.8.2.2.1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E29045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>:</w:t>
            </w:r>
          </w:p>
          <w:p w14:paraId="57C58793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C12E30" w:rsidRPr="00233A9E" w14:paraId="5997ECA6" w14:textId="77777777" w:rsidTr="00DB743B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A4DB4D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BE547D">
              <w:rPr>
                <w:spacing w:val="-3"/>
              </w:rPr>
              <w:t>00268076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7DE22E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E5AC3F1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1BEE75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26F87A57" w14:textId="77777777" w:rsidTr="00DB743B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345E7698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C12E30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C12E30" w:rsidRPr="00C12E30" w14:paraId="589B538A" w14:textId="77777777" w:rsidTr="00DB743B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257A1C45" w14:textId="77777777" w:rsidR="00C12E30" w:rsidRPr="00C12E30" w:rsidRDefault="00C12E30" w:rsidP="00DB743B">
            <w:pPr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</w:t>
            </w:r>
          </w:p>
        </w:tc>
      </w:tr>
      <w:tr w:rsidR="00C12E30" w:rsidRPr="00233A9E" w14:paraId="05B2F50E" w14:textId="77777777" w:rsidTr="00DB743B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9E0B21E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C1E12B3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C022C9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0356FC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12CAC7B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19E1C799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WG Standards</w:t>
            </w:r>
          </w:p>
        </w:tc>
      </w:tr>
      <w:tr w:rsidR="00C12E30" w:rsidRPr="00233A9E" w14:paraId="56F655A7" w14:textId="77777777" w:rsidTr="00DB743B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D6FBD9A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2C99A89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B3A283B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26043A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A7CF6A9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70F7487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233A9E" w14:paraId="3233F86B" w14:textId="77777777" w:rsidTr="00DB743B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340D61D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962E656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2B35E0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BEBAE6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614F24E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CA071A0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C12E30" w14:paraId="3E944103" w14:textId="77777777" w:rsidTr="00DB743B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ECDECED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D070197" w14:textId="77777777" w:rsidR="00C12E30" w:rsidRPr="00E2282A" w:rsidRDefault="00C12E30" w:rsidP="00DB743B">
            <w:pPr>
              <w:keepLine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Agreed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referencing</w:t>
            </w:r>
            <w:proofErr w:type="spellEnd"/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0D4A7E3" w14:textId="77777777" w:rsidR="00C12E30" w:rsidRPr="00E2282A" w:rsidRDefault="00C12E30" w:rsidP="00DB743B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E2282A">
              <w:rPr>
                <w:bCs/>
              </w:rPr>
              <w:t>Comments</w:t>
            </w:r>
            <w:proofErr w:type="spellEnd"/>
          </w:p>
          <w:p w14:paraId="5939ABD8" w14:textId="77777777" w:rsidR="00C12E30" w:rsidRPr="00E2282A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C12E30" w:rsidRPr="00C12E30" w14:paraId="2EEF9E7C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4826B64" w14:textId="77777777" w:rsidR="00C12E30" w:rsidRPr="00E2282A" w:rsidRDefault="00C12E30" w:rsidP="00DB743B">
                  <w:pPr>
                    <w:jc w:val="center"/>
                    <w:rPr>
                      <w:bCs/>
                    </w:rPr>
                  </w:pPr>
                  <w:proofErr w:type="spellStart"/>
                  <w:r w:rsidRPr="00E2282A">
                    <w:rPr>
                      <w:bCs/>
                    </w:rPr>
                    <w:t>Proposed</w:t>
                  </w:r>
                  <w:proofErr w:type="spellEnd"/>
                  <w:r w:rsidRPr="00E2282A">
                    <w:rPr>
                      <w:bCs/>
                    </w:rPr>
                    <w:t xml:space="preserve"> transition </w:t>
                  </w:r>
                  <w:proofErr w:type="spellStart"/>
                  <w:r w:rsidRPr="00E2282A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A5EA0B6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B484799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C12E30" w:rsidRPr="00C12E30" w14:paraId="247BBF48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99FD616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3E4D811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D41E85B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C12E30" w:rsidRPr="00C12E30" w14:paraId="64397FDF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A65E6ED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7258EDA8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58A244E2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0CEB6BD3" w14:textId="77777777" w:rsidR="00C12E30" w:rsidRPr="00C12E30" w:rsidRDefault="00C12E30" w:rsidP="00DB743B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58E11F69" w14:textId="20E70BDE" w:rsidR="00C12E30" w:rsidRDefault="00C12E30" w:rsidP="00C12E30">
      <w:pPr>
        <w:pStyle w:val="SingleTxtG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C12E30" w:rsidRPr="00233A9E" w14:paraId="4ED46AEA" w14:textId="77777777" w:rsidTr="00DB743B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746DD8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proofErr w:type="spellStart"/>
            <w:r w:rsidRPr="00BE547D">
              <w:rPr>
                <w:b/>
                <w:iCs/>
              </w:rPr>
              <w:lastRenderedPageBreak/>
              <w:t>FprEN</w:t>
            </w:r>
            <w:proofErr w:type="spellEnd"/>
            <w:r w:rsidRPr="00BE547D">
              <w:rPr>
                <w:b/>
                <w:iCs/>
              </w:rPr>
              <w:t xml:space="preserve"> 14129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A6CD7C" w14:textId="77777777" w:rsidR="00C12E30" w:rsidRPr="00C12E30" w:rsidRDefault="00C12E30" w:rsidP="00DB743B">
            <w:pPr>
              <w:jc w:val="center"/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LPG Equipment and accessories - Pressure relief valves for LPG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25FBF7" w14:textId="77777777" w:rsidR="00C12E30" w:rsidRPr="00E2282A" w:rsidRDefault="00C12E30" w:rsidP="00DB743B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21401E7B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r w:rsidRPr="003D3C5F">
              <w:rPr>
                <w:b/>
                <w:iCs/>
              </w:rPr>
              <w:t>6.8.2.1.1, 6.8.2.2.1,</w:t>
            </w:r>
            <w:r w:rsidRPr="003D3C5F">
              <w:t xml:space="preserve"> </w:t>
            </w:r>
            <w:r w:rsidRPr="003D3C5F">
              <w:rPr>
                <w:b/>
                <w:iCs/>
              </w:rPr>
              <w:t>6.8.3.2.9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DE0FCE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>:</w:t>
            </w:r>
          </w:p>
          <w:p w14:paraId="6911115F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6.8.2.6.1</w:t>
            </w:r>
          </w:p>
        </w:tc>
      </w:tr>
      <w:tr w:rsidR="00C12E30" w:rsidRPr="00233A9E" w14:paraId="2D6A65ED" w14:textId="77777777" w:rsidTr="00DB743B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166115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BE547D">
              <w:rPr>
                <w:spacing w:val="-3"/>
              </w:rPr>
              <w:t>00286210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9746CE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84476B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B4B402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39772130" w14:textId="77777777" w:rsidTr="00DB743B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5D50D96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C12E30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C12E30" w:rsidRPr="00C12E30" w14:paraId="1B7462A4" w14:textId="77777777" w:rsidTr="00DB743B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2A410548" w14:textId="77777777" w:rsidR="00C12E30" w:rsidRPr="00C12E30" w:rsidRDefault="00C12E30" w:rsidP="00DB743B">
            <w:pPr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</w:t>
            </w:r>
          </w:p>
        </w:tc>
      </w:tr>
      <w:tr w:rsidR="00C12E30" w:rsidRPr="00233A9E" w14:paraId="0B17F92B" w14:textId="77777777" w:rsidTr="00DB743B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AF8EBFE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A8254E1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FEFAE8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EC4E7B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88B8100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2AE0BF4F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WG Standards</w:t>
            </w:r>
          </w:p>
        </w:tc>
      </w:tr>
      <w:tr w:rsidR="00C12E30" w:rsidRPr="00233A9E" w14:paraId="5A6398CB" w14:textId="77777777" w:rsidTr="00DB743B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1BE9454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74D2CB5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B925EB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F0A679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62F64B3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336DA5B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233A9E" w14:paraId="51063BF5" w14:textId="77777777" w:rsidTr="00DB743B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9E98561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EAEA7B7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D64EA47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7C749E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892AE89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E3E8F24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C12E30" w14:paraId="0A1BD844" w14:textId="77777777" w:rsidTr="00DB743B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3704B6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4BCAABD" w14:textId="77777777" w:rsidR="00C12E30" w:rsidRPr="00E2282A" w:rsidRDefault="00C12E30" w:rsidP="00DB743B">
            <w:pPr>
              <w:keepLine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Agreed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referencing</w:t>
            </w:r>
            <w:proofErr w:type="spellEnd"/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4EEC870" w14:textId="77777777" w:rsidR="00C12E30" w:rsidRPr="00E2282A" w:rsidRDefault="00C12E30" w:rsidP="00DB743B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E2282A">
              <w:rPr>
                <w:bCs/>
              </w:rPr>
              <w:t>Comments</w:t>
            </w:r>
            <w:proofErr w:type="spellEnd"/>
          </w:p>
          <w:p w14:paraId="778C37DE" w14:textId="77777777" w:rsidR="00C12E30" w:rsidRPr="00E2282A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C12E30" w:rsidRPr="00C12E30" w14:paraId="640E66EC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9482EEA" w14:textId="77777777" w:rsidR="00C12E30" w:rsidRPr="00E2282A" w:rsidRDefault="00C12E30" w:rsidP="00DB743B">
                  <w:pPr>
                    <w:jc w:val="center"/>
                    <w:rPr>
                      <w:bCs/>
                    </w:rPr>
                  </w:pPr>
                  <w:proofErr w:type="spellStart"/>
                  <w:r w:rsidRPr="00E2282A">
                    <w:rPr>
                      <w:bCs/>
                    </w:rPr>
                    <w:t>Proposed</w:t>
                  </w:r>
                  <w:proofErr w:type="spellEnd"/>
                  <w:r w:rsidRPr="00E2282A">
                    <w:rPr>
                      <w:bCs/>
                    </w:rPr>
                    <w:t xml:space="preserve"> transition </w:t>
                  </w:r>
                  <w:proofErr w:type="spellStart"/>
                  <w:r w:rsidRPr="00E2282A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13CBD2C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232059E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C12E30" w:rsidRPr="00C12E30" w14:paraId="06CFC7D3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78F547D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0A8F056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C190489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C12E30" w:rsidRPr="00C12E30" w14:paraId="2CDB8B09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C31AB23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87F547A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7D8A269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7D719987" w14:textId="77777777" w:rsidR="00C12E30" w:rsidRPr="00C12E30" w:rsidRDefault="00C12E30" w:rsidP="00DB743B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5ABF14B8" w14:textId="66CDD51B" w:rsidR="00C12E30" w:rsidRDefault="00C12E30" w:rsidP="00C12E30">
      <w:pPr>
        <w:pStyle w:val="SingleTxtG"/>
        <w:jc w:val="left"/>
        <w:rPr>
          <w:lang w:val="en-US"/>
        </w:rPr>
      </w:pPr>
    </w:p>
    <w:tbl>
      <w:tblPr>
        <w:tblW w:w="49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2"/>
        <w:gridCol w:w="22"/>
        <w:gridCol w:w="2122"/>
        <w:gridCol w:w="17"/>
        <w:gridCol w:w="2456"/>
        <w:gridCol w:w="2447"/>
      </w:tblGrid>
      <w:tr w:rsidR="00C12E30" w:rsidRPr="00233A9E" w14:paraId="260316C3" w14:textId="77777777" w:rsidTr="00C12E3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F036CC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proofErr w:type="spellStart"/>
            <w:r w:rsidRPr="00BE547D">
              <w:rPr>
                <w:b/>
                <w:iCs/>
              </w:rPr>
              <w:t>FprEN</w:t>
            </w:r>
            <w:proofErr w:type="spellEnd"/>
            <w:r w:rsidRPr="00BE547D">
              <w:rPr>
                <w:b/>
                <w:iCs/>
              </w:rPr>
              <w:t xml:space="preserve"> 13110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72F173" w14:textId="77777777" w:rsidR="00C12E30" w:rsidRPr="00C12E30" w:rsidRDefault="00C12E30" w:rsidP="00DB743B">
            <w:pPr>
              <w:jc w:val="center"/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 xml:space="preserve">LPG equipment and accessories - Transportable refillable welded </w:t>
            </w:r>
            <w:proofErr w:type="spellStart"/>
            <w:r w:rsidRPr="00C12E30">
              <w:rPr>
                <w:b/>
                <w:iCs/>
                <w:lang w:val="en-US"/>
              </w:rPr>
              <w:t>aluminium</w:t>
            </w:r>
            <w:proofErr w:type="spellEnd"/>
            <w:r w:rsidRPr="00C12E30">
              <w:rPr>
                <w:b/>
                <w:iCs/>
                <w:lang w:val="en-US"/>
              </w:rPr>
              <w:t xml:space="preserve"> cylinders for liquefied petroleum gas (LPG) - Design and construction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A596BD" w14:textId="77777777" w:rsidR="00C12E30" w:rsidRPr="00E2282A" w:rsidRDefault="00C12E30" w:rsidP="00DB743B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1094BD92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r w:rsidRPr="00BE547D">
              <w:rPr>
                <w:b/>
                <w:iCs/>
              </w:rPr>
              <w:t>6.2.3.1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BE547D">
              <w:rPr>
                <w:b/>
                <w:iCs/>
              </w:rPr>
              <w:t>6.2.3.4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5395139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>:</w:t>
            </w:r>
          </w:p>
          <w:p w14:paraId="72EDC09C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6.2.4.1</w:t>
            </w:r>
          </w:p>
        </w:tc>
      </w:tr>
      <w:tr w:rsidR="00C12E30" w:rsidRPr="00233A9E" w14:paraId="64B89C02" w14:textId="77777777" w:rsidTr="00C12E3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8CF481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BE547D">
              <w:rPr>
                <w:spacing w:val="-3"/>
              </w:rPr>
              <w:t>00286214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8CE583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4D949A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4AB2C1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2A15AF09" w14:textId="77777777" w:rsidTr="00C12E3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945E959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C12E30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C12E30" w:rsidRPr="00C12E30" w14:paraId="252DDE13" w14:textId="77777777" w:rsidTr="00C12E3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1CE8AC7C" w14:textId="77777777" w:rsidR="00C12E30" w:rsidRPr="00C12E30" w:rsidRDefault="00C12E30" w:rsidP="00DB743B">
            <w:pPr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</w:t>
            </w:r>
          </w:p>
        </w:tc>
      </w:tr>
      <w:tr w:rsidR="00C12E30" w:rsidRPr="00233A9E" w14:paraId="3A0C6602" w14:textId="77777777" w:rsidTr="00C12E3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BAD4E40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29FD4CC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B39782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C84ABE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AE81FE2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461BF82B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WG Standards</w:t>
            </w:r>
          </w:p>
        </w:tc>
      </w:tr>
      <w:tr w:rsidR="00C12E30" w:rsidRPr="00233A9E" w14:paraId="08BAB77A" w14:textId="77777777" w:rsidTr="00C12E3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8B23325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760D2CE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8403CD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929695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1A79410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4E82405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233A9E" w14:paraId="5547F029" w14:textId="77777777" w:rsidTr="00C12E3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E1D66E8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901DD33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78FBE5F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874258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008D8CD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E71F81A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C12E30" w14:paraId="7B22A89D" w14:textId="77777777" w:rsidTr="00C12E3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3D53241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4F5CDE3" w14:textId="77777777" w:rsidR="00C12E30" w:rsidRPr="00E2282A" w:rsidRDefault="00C12E30" w:rsidP="00DB743B">
            <w:pPr>
              <w:keepLine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Agreed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referencing</w:t>
            </w:r>
            <w:proofErr w:type="spellEnd"/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4E87B58" w14:textId="77777777" w:rsidR="00C12E30" w:rsidRPr="00E2282A" w:rsidRDefault="00C12E30" w:rsidP="00DB743B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E2282A">
              <w:rPr>
                <w:bCs/>
              </w:rPr>
              <w:t>Comments</w:t>
            </w:r>
            <w:proofErr w:type="spellEnd"/>
          </w:p>
          <w:p w14:paraId="25D0BECE" w14:textId="77777777" w:rsidR="00C12E30" w:rsidRPr="00E2282A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337"/>
              <w:gridCol w:w="2337"/>
            </w:tblGrid>
            <w:tr w:rsidR="00C12E30" w:rsidRPr="00C12E30" w14:paraId="75B9C637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434A486" w14:textId="77777777" w:rsidR="00C12E30" w:rsidRPr="00E2282A" w:rsidRDefault="00C12E30" w:rsidP="00DB743B">
                  <w:pPr>
                    <w:jc w:val="center"/>
                    <w:rPr>
                      <w:bCs/>
                    </w:rPr>
                  </w:pPr>
                  <w:proofErr w:type="spellStart"/>
                  <w:r w:rsidRPr="00E2282A">
                    <w:rPr>
                      <w:bCs/>
                    </w:rPr>
                    <w:t>Proposed</w:t>
                  </w:r>
                  <w:proofErr w:type="spellEnd"/>
                  <w:r w:rsidRPr="00E2282A">
                    <w:rPr>
                      <w:bCs/>
                    </w:rPr>
                    <w:t xml:space="preserve"> transition </w:t>
                  </w:r>
                  <w:proofErr w:type="spellStart"/>
                  <w:r w:rsidRPr="00E2282A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29891A9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2189FDE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C12E30" w:rsidRPr="00C12E30" w14:paraId="2309EE72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2F61028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D6C930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EF11D9E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C12E30" w:rsidRPr="00C12E30" w14:paraId="78D8B014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F0D6028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4F2EC914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/>
                </w:tcPr>
                <w:p w14:paraId="50E4E958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2BE7EAAD" w14:textId="77777777" w:rsidR="00C12E30" w:rsidRPr="00C12E30" w:rsidRDefault="00C12E30" w:rsidP="00DB743B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  <w:tr w:rsidR="00C12E30" w:rsidRPr="00233A9E" w14:paraId="52B6C1AF" w14:textId="77777777" w:rsidTr="00C12E3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24F086B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proofErr w:type="spellStart"/>
            <w:r w:rsidRPr="0042060C">
              <w:rPr>
                <w:b/>
                <w:iCs/>
              </w:rPr>
              <w:lastRenderedPageBreak/>
              <w:t>FprEN</w:t>
            </w:r>
            <w:proofErr w:type="spellEnd"/>
            <w:r w:rsidRPr="0042060C">
              <w:rPr>
                <w:b/>
                <w:iCs/>
              </w:rPr>
              <w:t xml:space="preserve"> 14841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02CA90" w14:textId="77777777" w:rsidR="00C12E30" w:rsidRPr="00C12E30" w:rsidRDefault="00C12E30" w:rsidP="00DB743B">
            <w:pPr>
              <w:jc w:val="center"/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LPG equipment and accessories - Filling and discharge procedures for LPG rail tankers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21BA0D" w14:textId="77777777" w:rsidR="00C12E30" w:rsidRPr="00E2282A" w:rsidRDefault="00C12E30" w:rsidP="00DB743B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3BEB3FFE" w14:textId="77777777" w:rsidR="00C12E30" w:rsidRPr="00E2282A" w:rsidRDefault="00C12E30" w:rsidP="00DB743B">
            <w:pPr>
              <w:jc w:val="center"/>
              <w:rPr>
                <w:b/>
                <w:iCs/>
              </w:rPr>
            </w:pPr>
            <w:r w:rsidRPr="0042060C">
              <w:rPr>
                <w:b/>
                <w:iCs/>
              </w:rPr>
              <w:t>1.4.1.1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1.4.1.2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1.4.3.3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1.4.3.7</w:t>
            </w:r>
            <w:r>
              <w:rPr>
                <w:b/>
                <w:iCs/>
              </w:rPr>
              <w:t>,</w:t>
            </w:r>
            <w:r>
              <w:t xml:space="preserve"> </w:t>
            </w:r>
            <w:r w:rsidRPr="0042060C">
              <w:rPr>
                <w:b/>
                <w:iCs/>
              </w:rPr>
              <w:t>4.3.3.4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02C0C0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r w:rsidRPr="00E2282A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E2282A">
              <w:rPr>
                <w:rFonts w:ascii="(Asiatische Schriftart verwende" w:hAnsi="(Asiatische Schriftart verwende"/>
                <w:b/>
              </w:rPr>
              <w:t>:</w:t>
            </w:r>
          </w:p>
          <w:p w14:paraId="43A9588C" w14:textId="77777777" w:rsidR="00C12E30" w:rsidRPr="00E2282A" w:rsidRDefault="00C12E30" w:rsidP="00DB743B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C12E30" w:rsidRPr="00233A9E" w14:paraId="30DC7F79" w14:textId="77777777" w:rsidTr="00C12E3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3133B6" w14:textId="77777777" w:rsidR="00C12E30" w:rsidRPr="00E2282A" w:rsidRDefault="00C12E30" w:rsidP="00DB743B">
            <w:pPr>
              <w:jc w:val="center"/>
              <w:rPr>
                <w:spacing w:val="-3"/>
              </w:rPr>
            </w:pPr>
            <w:r w:rsidRPr="0042060C">
              <w:rPr>
                <w:spacing w:val="-3"/>
              </w:rPr>
              <w:t>00286219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999E7E" w14:textId="77777777" w:rsidR="00C12E30" w:rsidRPr="00E2282A" w:rsidRDefault="00C12E30" w:rsidP="00DB743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620549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71C698" w14:textId="77777777" w:rsidR="00C12E30" w:rsidRPr="00E2282A" w:rsidRDefault="00C12E30" w:rsidP="00DB743B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C12E30" w:rsidRPr="00C12E30" w14:paraId="7699E964" w14:textId="77777777" w:rsidTr="00C12E3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6131F06" w14:textId="77777777" w:rsidR="00C12E30" w:rsidRPr="00C12E30" w:rsidRDefault="00C12E30" w:rsidP="00DB743B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C12E30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C12E30" w:rsidRPr="00C12E30" w14:paraId="30A52632" w14:textId="77777777" w:rsidTr="00C12E3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99B94B9" w14:textId="77777777" w:rsidR="00C12E30" w:rsidRPr="00C12E30" w:rsidRDefault="00C12E30" w:rsidP="00DB743B">
            <w:pPr>
              <w:rPr>
                <w:b/>
                <w:iCs/>
                <w:lang w:val="en-US"/>
              </w:rPr>
            </w:pPr>
            <w:r w:rsidRPr="00C12E30">
              <w:rPr>
                <w:b/>
                <w:iCs/>
                <w:lang w:val="en-US"/>
              </w:rPr>
              <w:t>Comments from members of the Joint Meeting</w:t>
            </w:r>
            <w:r w:rsidRPr="00C12E30">
              <w:rPr>
                <w:b/>
                <w:lang w:val="en-US"/>
              </w:rPr>
              <w:t>:</w:t>
            </w:r>
          </w:p>
        </w:tc>
      </w:tr>
      <w:tr w:rsidR="00C12E30" w:rsidRPr="00233A9E" w14:paraId="2370B288" w14:textId="77777777" w:rsidTr="00C12E3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AB70D5A" w14:textId="77777777" w:rsidR="00C12E30" w:rsidRPr="00E2282A" w:rsidRDefault="00C12E30" w:rsidP="00DB743B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B881095" w14:textId="77777777" w:rsidR="00C12E30" w:rsidRPr="00E2282A" w:rsidRDefault="00C12E30" w:rsidP="00DB743B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F10AA1" w14:textId="77777777" w:rsidR="00C12E30" w:rsidRPr="00E2282A" w:rsidRDefault="00C12E30" w:rsidP="00DB743B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31AEEA" w14:textId="77777777" w:rsidR="00C12E30" w:rsidRPr="00E2282A" w:rsidRDefault="00C12E30" w:rsidP="00DB743B">
            <w:pPr>
              <w:jc w:val="center"/>
            </w:pPr>
            <w:proofErr w:type="spellStart"/>
            <w:r w:rsidRPr="00E2282A">
              <w:t>Proposed</w:t>
            </w:r>
            <w:proofErr w:type="spellEnd"/>
            <w:r w:rsidRPr="00E2282A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40FF41E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1314E3B8" w14:textId="77777777" w:rsidR="00C12E30" w:rsidRPr="00E2282A" w:rsidRDefault="00C12E30" w:rsidP="00DB743B">
            <w:pPr>
              <w:jc w:val="center"/>
            </w:pPr>
            <w:r w:rsidRPr="00E2282A">
              <w:t xml:space="preserve">Comment </w:t>
            </w:r>
            <w:proofErr w:type="spellStart"/>
            <w:r w:rsidRPr="00E2282A">
              <w:t>from</w:t>
            </w:r>
            <w:proofErr w:type="spellEnd"/>
            <w:r w:rsidRPr="00E2282A">
              <w:t xml:space="preserve"> WG Standards</w:t>
            </w:r>
          </w:p>
        </w:tc>
      </w:tr>
      <w:tr w:rsidR="00C12E30" w:rsidRPr="00233A9E" w14:paraId="1ECABE35" w14:textId="77777777" w:rsidTr="00C12E3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57DD716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7B12C01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F1E101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51B782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DF9CF64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3960F03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233A9E" w14:paraId="4863D4B3" w14:textId="77777777" w:rsidTr="00C12E3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2EFC21B" w14:textId="77777777" w:rsidR="00C12E30" w:rsidRPr="00E2282A" w:rsidRDefault="00C12E30" w:rsidP="00DB743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2F67142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63B695" w14:textId="77777777" w:rsidR="00C12E30" w:rsidRPr="00E2282A" w:rsidRDefault="00C12E30" w:rsidP="00DB743B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606885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496697F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959E2F0" w14:textId="77777777" w:rsidR="00C12E30" w:rsidRPr="00E2282A" w:rsidRDefault="00C12E30" w:rsidP="00DB743B">
            <w:pPr>
              <w:spacing w:line="240" w:lineRule="auto"/>
              <w:rPr>
                <w:bCs/>
              </w:rPr>
            </w:pPr>
          </w:p>
        </w:tc>
      </w:tr>
      <w:tr w:rsidR="00C12E30" w:rsidRPr="00C12E30" w14:paraId="640DB563" w14:textId="77777777" w:rsidTr="00C12E3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8E3A3C1" w14:textId="77777777" w:rsidR="00C12E30" w:rsidRPr="00C12E30" w:rsidRDefault="00C12E30" w:rsidP="00DB743B">
            <w:pPr>
              <w:rPr>
                <w:b/>
                <w:bCs/>
                <w:lang w:val="en-US"/>
              </w:rPr>
            </w:pPr>
            <w:r w:rsidRPr="00C12E30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00DFCF5" w14:textId="77777777" w:rsidR="00C12E30" w:rsidRPr="00E2282A" w:rsidRDefault="00C12E30" w:rsidP="00DB743B">
            <w:pPr>
              <w:keepLine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Agreed</w:t>
            </w:r>
            <w:proofErr w:type="spellEnd"/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referencing</w:t>
            </w:r>
            <w:proofErr w:type="spellEnd"/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3ADEE51" w14:textId="77777777" w:rsidR="00C12E30" w:rsidRPr="00E2282A" w:rsidRDefault="00C12E30" w:rsidP="00DB743B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E2282A">
              <w:rPr>
                <w:bCs/>
              </w:rPr>
              <w:t>Comments</w:t>
            </w:r>
            <w:proofErr w:type="spellEnd"/>
          </w:p>
          <w:p w14:paraId="429C4C74" w14:textId="77777777" w:rsidR="00C12E30" w:rsidRPr="00E2282A" w:rsidRDefault="00C12E30" w:rsidP="00DB743B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337"/>
              <w:gridCol w:w="2337"/>
            </w:tblGrid>
            <w:tr w:rsidR="00C12E30" w:rsidRPr="00C12E30" w14:paraId="757B0789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12DCC5F" w14:textId="77777777" w:rsidR="00C12E30" w:rsidRPr="00E2282A" w:rsidRDefault="00C12E30" w:rsidP="00DB743B">
                  <w:pPr>
                    <w:jc w:val="center"/>
                    <w:rPr>
                      <w:bCs/>
                    </w:rPr>
                  </w:pPr>
                  <w:proofErr w:type="spellStart"/>
                  <w:r w:rsidRPr="00E2282A">
                    <w:rPr>
                      <w:bCs/>
                    </w:rPr>
                    <w:t>Proposed</w:t>
                  </w:r>
                  <w:proofErr w:type="spellEnd"/>
                  <w:r w:rsidRPr="00E2282A">
                    <w:rPr>
                      <w:bCs/>
                    </w:rPr>
                    <w:t xml:space="preserve"> transition </w:t>
                  </w:r>
                  <w:proofErr w:type="spellStart"/>
                  <w:r w:rsidRPr="00E2282A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505FDE6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1EA52E5" w14:textId="77777777" w:rsidR="00C12E30" w:rsidRPr="00C12E30" w:rsidRDefault="00C12E30" w:rsidP="00DB743B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C12E30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C12E30" w:rsidRPr="00C12E30" w14:paraId="3AC2C843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BDD05A3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92E0339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53E86B6" w14:textId="77777777" w:rsidR="00C12E30" w:rsidRPr="00C12E30" w:rsidRDefault="00C12E30" w:rsidP="00DB743B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C12E30" w:rsidRPr="00C12E30" w14:paraId="339C16AD" w14:textId="77777777" w:rsidTr="00DB743B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D898B81" w14:textId="77777777" w:rsidR="00C12E30" w:rsidRPr="00C12E30" w:rsidRDefault="00C12E30" w:rsidP="00DB743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0B9B38D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F29D9F9" w14:textId="77777777" w:rsidR="00C12E30" w:rsidRPr="00C12E30" w:rsidRDefault="00C12E30" w:rsidP="00DB743B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061EBB8D" w14:textId="77777777" w:rsidR="00C12E30" w:rsidRPr="00C12E30" w:rsidRDefault="00C12E30" w:rsidP="00DB743B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2248D7B5" w14:textId="77777777" w:rsidR="00C12E30" w:rsidRDefault="00C12E30" w:rsidP="00C12E30">
      <w:pPr>
        <w:pStyle w:val="H1G"/>
      </w:pPr>
      <w:r>
        <w:tab/>
      </w:r>
      <w:r>
        <w:tab/>
        <w:t xml:space="preserve">General </w:t>
      </w:r>
      <w:proofErr w:type="spellStart"/>
      <w:r>
        <w:t>purpose</w:t>
      </w:r>
      <w:proofErr w:type="spellEnd"/>
      <w:r>
        <w:t xml:space="preserve"> standards:</w:t>
      </w:r>
    </w:p>
    <w:p w14:paraId="5F880262" w14:textId="77777777" w:rsidR="00C12E30" w:rsidRPr="00C12E30" w:rsidRDefault="00C12E30" w:rsidP="00C12E30">
      <w:pPr>
        <w:pStyle w:val="Bullet1G"/>
        <w:numPr>
          <w:ilvl w:val="0"/>
          <w:numId w:val="19"/>
        </w:numPr>
        <w:kinsoku/>
        <w:overflowPunct/>
        <w:autoSpaceDE/>
        <w:autoSpaceDN/>
        <w:adjustRightInd/>
        <w:snapToGrid/>
        <w:rPr>
          <w:lang w:val="en-US"/>
        </w:rPr>
      </w:pPr>
      <w:proofErr w:type="spellStart"/>
      <w:r w:rsidRPr="00C12E30">
        <w:rPr>
          <w:lang w:val="en-US"/>
        </w:rPr>
        <w:t>prEN</w:t>
      </w:r>
      <w:proofErr w:type="spellEnd"/>
      <w:r w:rsidRPr="00C12E30">
        <w:rPr>
          <w:lang w:val="en-US"/>
        </w:rPr>
        <w:t xml:space="preserve"> IEC 60079-2 ‘Explosive atmospheres - Part 2: Equipment protection by pressurized enclosure "p"’</w:t>
      </w:r>
    </w:p>
    <w:p w14:paraId="01754BF9" w14:textId="05EE49AB" w:rsidR="00C12E30" w:rsidRDefault="00C12E30" w:rsidP="00C12E30">
      <w:pPr>
        <w:pStyle w:val="Bullet1G"/>
        <w:numPr>
          <w:ilvl w:val="0"/>
          <w:numId w:val="19"/>
        </w:numPr>
        <w:kinsoku/>
        <w:overflowPunct/>
        <w:autoSpaceDE/>
        <w:autoSpaceDN/>
        <w:adjustRightInd/>
        <w:snapToGrid/>
        <w:rPr>
          <w:lang w:val="en-US"/>
        </w:rPr>
      </w:pPr>
      <w:proofErr w:type="spellStart"/>
      <w:r w:rsidRPr="00C12E30">
        <w:rPr>
          <w:lang w:val="en-US"/>
        </w:rPr>
        <w:t>FprEN</w:t>
      </w:r>
      <w:proofErr w:type="spellEnd"/>
      <w:r w:rsidRPr="00C12E30">
        <w:rPr>
          <w:lang w:val="en-US"/>
        </w:rPr>
        <w:t xml:space="preserve"> IEC 60079-11 ‘Explosive atmospheres - Part 11: Equipment protection by intrinsic safety "</w:t>
      </w:r>
      <w:proofErr w:type="spellStart"/>
      <w:r w:rsidRPr="00C12E30">
        <w:rPr>
          <w:lang w:val="en-US"/>
        </w:rPr>
        <w:t>i</w:t>
      </w:r>
      <w:proofErr w:type="spellEnd"/>
      <w:r w:rsidRPr="00C12E30">
        <w:rPr>
          <w:lang w:val="en-US"/>
        </w:rPr>
        <w:t>"’</w:t>
      </w:r>
    </w:p>
    <w:p w14:paraId="218CC724" w14:textId="1D1D5A29" w:rsidR="00C12E30" w:rsidRPr="00C12E30" w:rsidRDefault="00C12E30" w:rsidP="00C12E30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12E30" w:rsidRPr="00C12E30" w:rsidSect="00C12E30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CBDE" w14:textId="77777777" w:rsidR="007A31D2" w:rsidRDefault="007A31D2" w:rsidP="00F95C08">
      <w:pPr>
        <w:spacing w:line="240" w:lineRule="auto"/>
      </w:pPr>
    </w:p>
  </w:endnote>
  <w:endnote w:type="continuationSeparator" w:id="0">
    <w:p w14:paraId="11D9A355" w14:textId="77777777" w:rsidR="007A31D2" w:rsidRPr="00AC3823" w:rsidRDefault="007A31D2" w:rsidP="00AC3823">
      <w:pPr>
        <w:pStyle w:val="Footer"/>
      </w:pPr>
    </w:p>
  </w:endnote>
  <w:endnote w:type="continuationNotice" w:id="1">
    <w:p w14:paraId="0A8EA472" w14:textId="77777777" w:rsidR="007A31D2" w:rsidRDefault="007A31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784" w14:textId="51255A56" w:rsidR="00497DBC" w:rsidRPr="00497DBC" w:rsidRDefault="00497DBC" w:rsidP="00497DBC">
    <w:pPr>
      <w:pStyle w:val="Footer"/>
      <w:tabs>
        <w:tab w:val="right" w:pos="9638"/>
      </w:tabs>
    </w:pPr>
    <w:r w:rsidRPr="00497DBC">
      <w:rPr>
        <w:b/>
        <w:sz w:val="18"/>
      </w:rPr>
      <w:fldChar w:fldCharType="begin"/>
    </w:r>
    <w:r w:rsidRPr="00497DBC">
      <w:rPr>
        <w:b/>
        <w:sz w:val="18"/>
      </w:rPr>
      <w:instrText xml:space="preserve"> PAGE  \* MERGEFORMAT </w:instrText>
    </w:r>
    <w:r w:rsidRPr="00497DBC">
      <w:rPr>
        <w:b/>
        <w:sz w:val="18"/>
      </w:rPr>
      <w:fldChar w:fldCharType="separate"/>
    </w:r>
    <w:r w:rsidRPr="00497DBC">
      <w:rPr>
        <w:b/>
        <w:noProof/>
        <w:sz w:val="18"/>
      </w:rPr>
      <w:t>2</w:t>
    </w:r>
    <w:r w:rsidRPr="00497DBC">
      <w:rPr>
        <w:b/>
        <w:sz w:val="18"/>
      </w:rPr>
      <w:fldChar w:fldCharType="end"/>
    </w:r>
    <w:r>
      <w:rPr>
        <w:b/>
        <w:sz w:val="18"/>
      </w:rPr>
      <w:tab/>
    </w:r>
    <w:r>
      <w:t>GE.22-28646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9C9E" w14:textId="7D730C27" w:rsidR="00497DBC" w:rsidRPr="00497DBC" w:rsidRDefault="00497DBC" w:rsidP="00497DBC">
    <w:pPr>
      <w:pStyle w:val="Footer"/>
      <w:tabs>
        <w:tab w:val="right" w:pos="9638"/>
      </w:tabs>
      <w:rPr>
        <w:b/>
        <w:sz w:val="18"/>
      </w:rPr>
    </w:pPr>
    <w:r>
      <w:t>GE.22-28646</w:t>
    </w:r>
    <w:r>
      <w:tab/>
    </w:r>
    <w:r w:rsidRPr="00497DBC">
      <w:rPr>
        <w:b/>
        <w:sz w:val="18"/>
      </w:rPr>
      <w:fldChar w:fldCharType="begin"/>
    </w:r>
    <w:r w:rsidRPr="00497DBC">
      <w:rPr>
        <w:b/>
        <w:sz w:val="18"/>
      </w:rPr>
      <w:instrText xml:space="preserve"> PAGE  \* MERGEFORMAT </w:instrText>
    </w:r>
    <w:r w:rsidRPr="00497DBC">
      <w:rPr>
        <w:b/>
        <w:sz w:val="18"/>
      </w:rPr>
      <w:fldChar w:fldCharType="separate"/>
    </w:r>
    <w:r w:rsidRPr="00497DBC">
      <w:rPr>
        <w:b/>
        <w:noProof/>
        <w:sz w:val="18"/>
      </w:rPr>
      <w:t>3</w:t>
    </w:r>
    <w:r w:rsidRPr="00497D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B329" w14:textId="507E50EE" w:rsidR="007F20FA" w:rsidRPr="00497DBC" w:rsidRDefault="00497DBC" w:rsidP="00497DB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221B0B8" wp14:editId="2B42B5F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22-28646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01EE3C" wp14:editId="73528A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310123    310123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9CE8" w14:textId="44FB32CD" w:rsidR="00C12E30" w:rsidRPr="00C12E30" w:rsidRDefault="00C12E30" w:rsidP="00C12E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D8C2E7" wp14:editId="475BEF2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044718" w14:textId="77777777" w:rsidR="00C12E30" w:rsidRPr="00497DBC" w:rsidRDefault="00C12E30" w:rsidP="00C12E30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497DB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97DB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97DB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497DB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GE.22-28646</w:t>
                          </w:r>
                        </w:p>
                        <w:p w14:paraId="04B8BAC0" w14:textId="77777777" w:rsidR="00C12E30" w:rsidRDefault="00C12E3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8C2E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3044718" w14:textId="77777777" w:rsidR="00C12E30" w:rsidRPr="00497DBC" w:rsidRDefault="00C12E30" w:rsidP="00C12E30">
                    <w:pPr>
                      <w:pStyle w:val="Footer"/>
                      <w:tabs>
                        <w:tab w:val="right" w:pos="9638"/>
                      </w:tabs>
                    </w:pPr>
                    <w:r w:rsidRPr="00497DBC">
                      <w:rPr>
                        <w:b/>
                        <w:sz w:val="18"/>
                      </w:rPr>
                      <w:fldChar w:fldCharType="begin"/>
                    </w:r>
                    <w:r w:rsidRPr="00497DB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97DB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497DB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GE.22-28646</w:t>
                    </w:r>
                  </w:p>
                  <w:p w14:paraId="04B8BAC0" w14:textId="77777777" w:rsidR="00C12E30" w:rsidRDefault="00C12E3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EEAC" w14:textId="009D31DD" w:rsidR="00C12E30" w:rsidRPr="00C12E30" w:rsidRDefault="00C12E30" w:rsidP="00C12E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8EA20F" wp14:editId="2188259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574A2D8" w14:textId="77777777" w:rsidR="00C12E30" w:rsidRPr="00497DBC" w:rsidRDefault="00C12E30" w:rsidP="00C12E3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GE.22-28646</w:t>
                          </w:r>
                          <w:r>
                            <w:tab/>
                          </w:r>
                          <w:r w:rsidRPr="00497DB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97DB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97DB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497DB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38EB285" w14:textId="77777777" w:rsidR="00C12E30" w:rsidRDefault="00C12E3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A20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574A2D8" w14:textId="77777777" w:rsidR="00C12E30" w:rsidRPr="00497DBC" w:rsidRDefault="00C12E30" w:rsidP="00C12E30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GE.22-28646</w:t>
                    </w:r>
                    <w:r>
                      <w:tab/>
                    </w:r>
                    <w:r w:rsidRPr="00497DBC">
                      <w:rPr>
                        <w:b/>
                        <w:sz w:val="18"/>
                      </w:rPr>
                      <w:fldChar w:fldCharType="begin"/>
                    </w:r>
                    <w:r w:rsidRPr="00497DB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97DB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497DB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38EB285" w14:textId="77777777" w:rsidR="00C12E30" w:rsidRDefault="00C12E3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92B6" w14:textId="77777777" w:rsidR="007A31D2" w:rsidRPr="00AC3823" w:rsidRDefault="007A31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F2C2A0" w14:textId="77777777" w:rsidR="007A31D2" w:rsidRPr="00AC3823" w:rsidRDefault="007A31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F7B49C" w14:textId="77777777" w:rsidR="007A31D2" w:rsidRPr="00AC3823" w:rsidRDefault="007A31D2">
      <w:pPr>
        <w:spacing w:line="240" w:lineRule="auto"/>
        <w:rPr>
          <w:sz w:val="2"/>
          <w:szCs w:val="2"/>
        </w:rPr>
      </w:pPr>
    </w:p>
  </w:footnote>
  <w:footnote w:id="2">
    <w:p w14:paraId="5A510B07" w14:textId="265E9999" w:rsidR="00497DBC" w:rsidRPr="00497DBC" w:rsidRDefault="00497DBC">
      <w:pPr>
        <w:pStyle w:val="FootnoteText"/>
      </w:pPr>
      <w:r>
        <w:rPr>
          <w:rStyle w:val="FootnoteReference"/>
        </w:rPr>
        <w:tab/>
      </w:r>
      <w:r w:rsidRPr="00497DB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</w:t>
      </w:r>
      <w:r w:rsidR="00BA155F">
        <w:rPr>
          <w:lang w:val="fr-FR"/>
        </w:rPr>
        <w:t> </w:t>
      </w:r>
      <w:r>
        <w:rPr>
          <w:lang w:val="fr-FR"/>
        </w:rPr>
        <w:t>20), par. 20.76</w:t>
      </w:r>
    </w:p>
  </w:footnote>
  <w:footnote w:id="3">
    <w:p w14:paraId="369A7D50" w14:textId="4E180D34" w:rsidR="00497DBC" w:rsidRPr="00497DBC" w:rsidRDefault="00497DBC">
      <w:pPr>
        <w:pStyle w:val="FootnoteText"/>
      </w:pPr>
      <w:r>
        <w:rPr>
          <w:rStyle w:val="FootnoteReference"/>
        </w:rPr>
        <w:tab/>
      </w:r>
      <w:r w:rsidRPr="00497DB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</w:t>
      </w:r>
      <w:r w:rsidR="00217A77">
        <w:rPr>
          <w:lang w:val="fr-FR"/>
        </w:rPr>
        <w:t>’</w:t>
      </w:r>
      <w:r>
        <w:rPr>
          <w:lang w:val="fr-FR"/>
        </w:rPr>
        <w:t>Organisation intergouvernementale pour les transports internationaux ferroviaires (OTIF) sous la cote OTIF/RID/RC/2023/12.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DD2" w14:textId="3AD3FCAF" w:rsidR="00497DBC" w:rsidRPr="00497DBC" w:rsidRDefault="00D4545F">
    <w:pPr>
      <w:pStyle w:val="Header"/>
    </w:pPr>
    <w:fldSimple w:instr=" TITLE  \* MERGEFORMAT ">
      <w:r w:rsidR="008C5E48">
        <w:t>ECE/TRANS/WP.15/AC.1/2023/12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07BF" w14:textId="7C4F83A6" w:rsidR="00497DBC" w:rsidRPr="00497DBC" w:rsidRDefault="00D4545F" w:rsidP="00497DBC">
    <w:pPr>
      <w:pStyle w:val="Header"/>
      <w:jc w:val="right"/>
    </w:pPr>
    <w:fldSimple w:instr=" TITLE  \* MERGEFORMAT ">
      <w:r w:rsidR="008C5E48">
        <w:t>ECE/TRANS/WP.15/AC.1/2023/12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CBDC" w14:textId="23081547" w:rsidR="00C12E30" w:rsidRPr="00C12E30" w:rsidRDefault="00C12E30" w:rsidP="00C12E3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4FAE5" wp14:editId="5BA8A4C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758ABE" w14:textId="20F4573C" w:rsidR="00C12E30" w:rsidRPr="00497DBC" w:rsidRDefault="008C5E48" w:rsidP="00C12E30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ECE/TRANS/WP.15/AC.1/2023/12</w:t>
                          </w:r>
                          <w:r>
                            <w:fldChar w:fldCharType="end"/>
                          </w:r>
                        </w:p>
                        <w:p w14:paraId="318433F2" w14:textId="77777777" w:rsidR="00C12E30" w:rsidRDefault="00C12E3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4FAE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E758ABE" w14:textId="20F4573C" w:rsidR="00C12E30" w:rsidRPr="00497DBC" w:rsidRDefault="008C5E48" w:rsidP="00C12E30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ECE/TRANS/WP.15/AC.1/2023/12</w:t>
                    </w:r>
                    <w:r>
                      <w:fldChar w:fldCharType="end"/>
                    </w:r>
                  </w:p>
                  <w:p w14:paraId="318433F2" w14:textId="77777777" w:rsidR="00C12E30" w:rsidRDefault="00C12E3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D2BA" w14:textId="1FE3D860" w:rsidR="00C12E30" w:rsidRPr="00C12E30" w:rsidRDefault="00C12E30" w:rsidP="00C12E30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F0AE46" wp14:editId="1DC00E2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91A850" w14:textId="5C2E931A" w:rsidR="00C12E30" w:rsidRPr="00497DBC" w:rsidRDefault="008C5E48" w:rsidP="00C12E30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ECE/TRANS/WP.15/AC.1/2023/12</w:t>
                          </w:r>
                          <w:r>
                            <w:fldChar w:fldCharType="end"/>
                          </w:r>
                        </w:p>
                        <w:p w14:paraId="5D41E0BD" w14:textId="77777777" w:rsidR="00C12E30" w:rsidRDefault="00C12E3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AE4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591A850" w14:textId="5C2E931A" w:rsidR="00C12E30" w:rsidRPr="00497DBC" w:rsidRDefault="008C5E48" w:rsidP="00C12E30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ECE/TRANS/WP.15/AC.1/2023/12</w:t>
                    </w:r>
                    <w:r>
                      <w:fldChar w:fldCharType="end"/>
                    </w:r>
                  </w:p>
                  <w:p w14:paraId="5D41E0BD" w14:textId="77777777" w:rsidR="00C12E30" w:rsidRDefault="00C12E30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D485794"/>
    <w:multiLevelType w:val="hybridMultilevel"/>
    <w:tmpl w:val="210C4680"/>
    <w:lvl w:ilvl="0" w:tplc="E85469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D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7A77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97DBC"/>
    <w:rsid w:val="004E2EED"/>
    <w:rsid w:val="004E468C"/>
    <w:rsid w:val="005505B7"/>
    <w:rsid w:val="00573BE5"/>
    <w:rsid w:val="00582622"/>
    <w:rsid w:val="00586ED3"/>
    <w:rsid w:val="00596AA9"/>
    <w:rsid w:val="006042AD"/>
    <w:rsid w:val="00642465"/>
    <w:rsid w:val="0071601D"/>
    <w:rsid w:val="00727B9C"/>
    <w:rsid w:val="007A31D2"/>
    <w:rsid w:val="007A62E6"/>
    <w:rsid w:val="007F20FA"/>
    <w:rsid w:val="0080684C"/>
    <w:rsid w:val="00871C75"/>
    <w:rsid w:val="008776DC"/>
    <w:rsid w:val="008C5E48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155F"/>
    <w:rsid w:val="00BD0EA4"/>
    <w:rsid w:val="00C02897"/>
    <w:rsid w:val="00C12E30"/>
    <w:rsid w:val="00C97039"/>
    <w:rsid w:val="00D307E6"/>
    <w:rsid w:val="00D3439C"/>
    <w:rsid w:val="00D4545F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27C4B"/>
  <w15:docId w15:val="{58AD737F-7D65-48BF-81D0-3A6B5FF4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12E30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C12E30"/>
    <w:rPr>
      <w:rFonts w:ascii="Arial" w:hAnsi="Arial" w:cs="Times New Roman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C12E30"/>
    <w:pPr>
      <w:suppressAutoHyphens w:val="0"/>
      <w:kinsoku/>
      <w:overflowPunct/>
      <w:autoSpaceDE/>
      <w:autoSpaceDN/>
      <w:adjustRightInd/>
      <w:snapToGrid/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paragraph" w:customStyle="1" w:styleId="ISOClause">
    <w:name w:val="ISO_Clause"/>
    <w:basedOn w:val="Normal"/>
    <w:rsid w:val="00C12E30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omments">
    <w:name w:val="ISO_Comments"/>
    <w:basedOn w:val="Normal"/>
    <w:rsid w:val="00C12E30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hange">
    <w:name w:val="ISO_Change"/>
    <w:basedOn w:val="Normal"/>
    <w:rsid w:val="00C12E30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Paragraph">
    <w:name w:val="ISO_Paragraph"/>
    <w:basedOn w:val="Normal"/>
    <w:rsid w:val="00C12E30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Pa0">
    <w:name w:val="Pa0"/>
    <w:basedOn w:val="Normal"/>
    <w:next w:val="Normal"/>
    <w:uiPriority w:val="99"/>
    <w:rsid w:val="00C12E30"/>
    <w:pPr>
      <w:suppressAutoHyphens w:val="0"/>
      <w:kinsoku/>
      <w:overflowPunct/>
      <w:snapToGrid/>
      <w:spacing w:line="361" w:lineRule="atLeast"/>
    </w:pPr>
    <w:rPr>
      <w:rFonts w:ascii="Cambria" w:eastAsia="Times New Roman" w:hAnsi="Cambria"/>
      <w:sz w:val="24"/>
      <w:szCs w:val="24"/>
      <w:lang w:val="en-GB" w:eastAsia="zh-CN"/>
    </w:rPr>
  </w:style>
  <w:style w:type="character" w:customStyle="1" w:styleId="H1GChar">
    <w:name w:val="_ H_1_G Char"/>
    <w:link w:val="H1G"/>
    <w:rsid w:val="00C12E3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903484-E8EE-4825-9D1A-337EE24DE6A8}"/>
</file>

<file path=customXml/itemProps2.xml><?xml version="1.0" encoding="utf-8"?>
<ds:datastoreItem xmlns:ds="http://schemas.openxmlformats.org/officeDocument/2006/customXml" ds:itemID="{8135618C-BE33-469F-BBD9-018FCFC26C2E}"/>
</file>

<file path=customXml/itemProps3.xml><?xml version="1.0" encoding="utf-8"?>
<ds:datastoreItem xmlns:ds="http://schemas.openxmlformats.org/officeDocument/2006/customXml" ds:itemID="{2C0A3495-1E3E-4A3E-8440-2DE391A00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ECE/TRANS/WP.15/AC.1/2023/12</vt:lpstr>
    </vt:vector>
  </TitlesOfParts>
  <Company>DCM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ECE/TRANS/WP.15/AC.1/2023/12</dc:title>
  <dc:subject/>
  <dc:creator>Julien OKRZESIK</dc:creator>
  <cp:keywords/>
  <cp:lastModifiedBy>Laurence Berthet</cp:lastModifiedBy>
  <cp:revision>4</cp:revision>
  <cp:lastPrinted>2023-02-01T07:49:00Z</cp:lastPrinted>
  <dcterms:created xsi:type="dcterms:W3CDTF">2023-02-01T07:47:00Z</dcterms:created>
  <dcterms:modified xsi:type="dcterms:W3CDTF">2023-02-01T07:50:00Z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