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042C8" w14:paraId="324CD35E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0DF19" w14:textId="54241A40" w:rsidR="00B56E9C" w:rsidRPr="00B042C8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AD9C" w14:textId="77777777" w:rsidR="00B56E9C" w:rsidRPr="00B042C8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FDFE3" w14:textId="2E133EB2" w:rsidR="00B56E9C" w:rsidRPr="00B042C8" w:rsidRDefault="00CD57D2" w:rsidP="009F652C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113517">
              <w:rPr>
                <w:b/>
                <w:sz w:val="24"/>
                <w:szCs w:val="24"/>
              </w:rPr>
              <w:t>6</w:t>
            </w:r>
          </w:p>
        </w:tc>
      </w:tr>
    </w:tbl>
    <w:p w14:paraId="48559710" w14:textId="77777777" w:rsidR="00EC106A" w:rsidRPr="000C1287" w:rsidRDefault="00EC106A">
      <w:pPr>
        <w:spacing w:before="120"/>
        <w:rPr>
          <w:b/>
          <w:sz w:val="28"/>
          <w:szCs w:val="28"/>
        </w:rPr>
      </w:pPr>
      <w:r w:rsidRPr="000C1287">
        <w:rPr>
          <w:b/>
          <w:sz w:val="28"/>
          <w:szCs w:val="28"/>
        </w:rPr>
        <w:t>Economic Commission for Europe</w:t>
      </w:r>
    </w:p>
    <w:p w14:paraId="16911975" w14:textId="77777777" w:rsidR="00EC106A" w:rsidRPr="000C1287" w:rsidRDefault="00EC106A">
      <w:pPr>
        <w:spacing w:before="120"/>
        <w:rPr>
          <w:sz w:val="28"/>
          <w:szCs w:val="28"/>
        </w:rPr>
      </w:pPr>
      <w:r w:rsidRPr="000C1287">
        <w:rPr>
          <w:sz w:val="28"/>
          <w:szCs w:val="28"/>
        </w:rPr>
        <w:t>Inland Transport Committee</w:t>
      </w:r>
    </w:p>
    <w:p w14:paraId="578A4C68" w14:textId="77777777" w:rsidR="00EC106A" w:rsidRPr="00782B5C" w:rsidRDefault="00EC106A" w:rsidP="00EC106A">
      <w:pPr>
        <w:spacing w:before="120" w:after="120"/>
        <w:rPr>
          <w:b/>
          <w:sz w:val="24"/>
          <w:szCs w:val="24"/>
        </w:rPr>
      </w:pPr>
      <w:r w:rsidRPr="00782B5C">
        <w:rPr>
          <w:b/>
          <w:sz w:val="24"/>
          <w:szCs w:val="24"/>
        </w:rPr>
        <w:t>Working Party on the Transport of Dangerous Goods</w:t>
      </w:r>
    </w:p>
    <w:p w14:paraId="6FA226BE" w14:textId="77777777" w:rsidR="009D2A5B" w:rsidRPr="00782B5C" w:rsidRDefault="009D2A5B" w:rsidP="009D2A5B">
      <w:pPr>
        <w:rPr>
          <w:b/>
        </w:rPr>
      </w:pPr>
      <w:r w:rsidRPr="00782B5C">
        <w:rPr>
          <w:b/>
        </w:rPr>
        <w:t>Joint Meeting of the RID Committee of Experts and the</w:t>
      </w:r>
    </w:p>
    <w:p w14:paraId="3AB5359E" w14:textId="2A0B690E" w:rsidR="009D2A5B" w:rsidRPr="00782B5C" w:rsidRDefault="009D2A5B" w:rsidP="009D2A5B">
      <w:pPr>
        <w:rPr>
          <w:b/>
        </w:rPr>
      </w:pPr>
      <w:r w:rsidRPr="00782B5C">
        <w:rPr>
          <w:b/>
        </w:rPr>
        <w:t>Working Party on the Transport of Dangerous Goods</w:t>
      </w:r>
      <w:r w:rsidR="000A3752" w:rsidRPr="00782B5C">
        <w:rPr>
          <w:b/>
        </w:rPr>
        <w:tab/>
      </w:r>
      <w:r w:rsidR="000A3752" w:rsidRPr="00782B5C">
        <w:rPr>
          <w:b/>
        </w:rPr>
        <w:tab/>
      </w:r>
      <w:r w:rsidR="000A3752" w:rsidRPr="00782B5C">
        <w:rPr>
          <w:b/>
        </w:rPr>
        <w:tab/>
      </w:r>
      <w:r w:rsidR="000A3752" w:rsidRPr="00782B5C">
        <w:rPr>
          <w:b/>
        </w:rPr>
        <w:tab/>
      </w:r>
      <w:r w:rsidR="000A3752" w:rsidRPr="00782B5C">
        <w:rPr>
          <w:b/>
        </w:rPr>
        <w:tab/>
      </w:r>
      <w:r w:rsidR="00507993" w:rsidRPr="00782B5C">
        <w:rPr>
          <w:b/>
        </w:rPr>
        <w:tab/>
      </w:r>
      <w:r w:rsidR="004D440A" w:rsidRPr="00782B5C">
        <w:rPr>
          <w:b/>
        </w:rPr>
        <w:t>2</w:t>
      </w:r>
      <w:r w:rsidR="00113517" w:rsidRPr="00782B5C">
        <w:rPr>
          <w:b/>
        </w:rPr>
        <w:t>3</w:t>
      </w:r>
      <w:r w:rsidR="002A009E" w:rsidRPr="00782B5C">
        <w:rPr>
          <w:b/>
        </w:rPr>
        <w:t xml:space="preserve"> January 2023</w:t>
      </w:r>
    </w:p>
    <w:p w14:paraId="54D6CC22" w14:textId="5F21C665" w:rsidR="009D2A5B" w:rsidRPr="00782B5C" w:rsidRDefault="00FB7679" w:rsidP="00BB7CD1">
      <w:r w:rsidRPr="00782B5C">
        <w:t>Bern</w:t>
      </w:r>
      <w:r w:rsidR="00BB7CD1" w:rsidRPr="00782B5C">
        <w:t xml:space="preserve">, </w:t>
      </w:r>
      <w:r w:rsidR="00E82755" w:rsidRPr="00782B5C">
        <w:t>20-24 March 2023</w:t>
      </w:r>
    </w:p>
    <w:p w14:paraId="06858F9A" w14:textId="1DB5857F" w:rsidR="00433A32" w:rsidRPr="00782B5C" w:rsidRDefault="00433A32" w:rsidP="00433A32">
      <w:pPr>
        <w:rPr>
          <w:b/>
          <w:bCs/>
        </w:rPr>
      </w:pPr>
      <w:r w:rsidRPr="00782B5C">
        <w:t xml:space="preserve">Item </w:t>
      </w:r>
      <w:r w:rsidR="00113517" w:rsidRPr="00782B5C">
        <w:t>5 (b)</w:t>
      </w:r>
      <w:r w:rsidRPr="00782B5C">
        <w:t xml:space="preserve"> of the provisional agenda</w:t>
      </w:r>
      <w:r w:rsidR="00E312C3" w:rsidRPr="00782B5C">
        <w:br/>
      </w:r>
      <w:r w:rsidR="00D9495B" w:rsidRPr="00782B5C">
        <w:rPr>
          <w:b/>
          <w:bCs/>
        </w:rPr>
        <w:t>Proposals for amendments to RID/ADR/A</w:t>
      </w:r>
      <w:r w:rsidR="00AB3174">
        <w:rPr>
          <w:b/>
          <w:bCs/>
        </w:rPr>
        <w:t>D</w:t>
      </w:r>
      <w:r w:rsidR="00D9495B" w:rsidRPr="00782B5C">
        <w:rPr>
          <w:b/>
          <w:bCs/>
        </w:rPr>
        <w:t xml:space="preserve">N: </w:t>
      </w:r>
      <w:r w:rsidR="00DB262A" w:rsidRPr="00782B5C">
        <w:rPr>
          <w:b/>
          <w:bCs/>
        </w:rPr>
        <w:t>new proposals</w:t>
      </w:r>
    </w:p>
    <w:p w14:paraId="3F05973F" w14:textId="5AE5E541" w:rsidR="007F20BE" w:rsidRPr="00782B5C" w:rsidRDefault="007F20BE" w:rsidP="007F20BE">
      <w:pPr>
        <w:pStyle w:val="HChG"/>
        <w:rPr>
          <w:lang w:val="en-GB"/>
        </w:rPr>
      </w:pPr>
      <w:r w:rsidRPr="00782B5C">
        <w:rPr>
          <w:lang w:val="en-GB"/>
        </w:rPr>
        <w:tab/>
      </w:r>
      <w:r w:rsidRPr="00782B5C">
        <w:rPr>
          <w:lang w:val="en-GB"/>
        </w:rPr>
        <w:tab/>
        <w:t xml:space="preserve">Change of </w:t>
      </w:r>
      <w:r w:rsidR="007B09E5" w:rsidRPr="00782B5C">
        <w:rPr>
          <w:lang w:val="en-GB"/>
        </w:rPr>
        <w:t xml:space="preserve">special provision </w:t>
      </w:r>
      <w:r w:rsidRPr="00782B5C">
        <w:rPr>
          <w:lang w:val="en-GB"/>
        </w:rPr>
        <w:t>SP 653 in chapter 3.3 RID/ADR</w:t>
      </w:r>
    </w:p>
    <w:p w14:paraId="54881AB6" w14:textId="77777777" w:rsidR="007F20BE" w:rsidRPr="00782B5C" w:rsidRDefault="007F20BE" w:rsidP="007F20BE">
      <w:pPr>
        <w:pStyle w:val="H1G"/>
        <w:rPr>
          <w:szCs w:val="24"/>
          <w:lang w:eastAsia="zh-CN"/>
        </w:rPr>
      </w:pPr>
      <w:r w:rsidRPr="00782B5C">
        <w:rPr>
          <w:lang w:eastAsia="en-GB"/>
        </w:rPr>
        <w:tab/>
      </w:r>
      <w:r w:rsidRPr="00782B5C">
        <w:rPr>
          <w:lang w:eastAsia="en-GB"/>
        </w:rPr>
        <w:tab/>
        <w:t>Transmitted by the European Industrial Gases Association (EIGA)</w:t>
      </w:r>
    </w:p>
    <w:p w14:paraId="04759542" w14:textId="77777777" w:rsidR="007F20BE" w:rsidRPr="00782B5C" w:rsidRDefault="007F20BE" w:rsidP="007F20BE">
      <w:pPr>
        <w:pStyle w:val="HChG"/>
        <w:rPr>
          <w:lang w:val="en-GB" w:eastAsia="en-GB"/>
        </w:rPr>
      </w:pPr>
      <w:r w:rsidRPr="00782B5C">
        <w:rPr>
          <w:lang w:val="en-GB" w:eastAsia="en-GB"/>
        </w:rPr>
        <w:tab/>
      </w:r>
      <w:r w:rsidRPr="00782B5C">
        <w:rPr>
          <w:lang w:val="en-GB" w:eastAsia="en-GB"/>
        </w:rPr>
        <w:tab/>
      </w:r>
      <w:r w:rsidRPr="00782B5C">
        <w:rPr>
          <w:lang w:val="en-GB" w:eastAsia="en-GB"/>
        </w:rPr>
        <w:tab/>
        <w:t>Introduction</w:t>
      </w:r>
    </w:p>
    <w:p w14:paraId="2DEBAFFD" w14:textId="47354AFD" w:rsidR="007F20BE" w:rsidRPr="00782B5C" w:rsidRDefault="007F20BE" w:rsidP="007F20BE">
      <w:pPr>
        <w:pStyle w:val="SingleTxtG"/>
        <w:rPr>
          <w:lang w:val="en-GB"/>
        </w:rPr>
      </w:pPr>
      <w:r w:rsidRPr="00782B5C">
        <w:rPr>
          <w:lang w:val="en-GB" w:eastAsia="en-GB"/>
        </w:rPr>
        <w:t xml:space="preserve">1. </w:t>
      </w:r>
      <w:r w:rsidRPr="00782B5C">
        <w:rPr>
          <w:lang w:val="en-GB" w:eastAsia="en-GB"/>
        </w:rPr>
        <w:tab/>
      </w:r>
      <w:r w:rsidRPr="00782B5C">
        <w:rPr>
          <w:lang w:val="en-GB"/>
        </w:rPr>
        <w:t xml:space="preserve">In Table A of the current RID/ADR 2021, </w:t>
      </w:r>
      <w:r w:rsidR="00BD4842">
        <w:rPr>
          <w:lang w:val="en-GB"/>
        </w:rPr>
        <w:t xml:space="preserve">special </w:t>
      </w:r>
      <w:r w:rsidR="008A61D9">
        <w:rPr>
          <w:lang w:val="en-GB"/>
        </w:rPr>
        <w:t xml:space="preserve">provision </w:t>
      </w:r>
      <w:r w:rsidRPr="00782B5C">
        <w:rPr>
          <w:lang w:val="en-GB"/>
        </w:rPr>
        <w:t>SP 653 is assigned to the following gases: UN 1006 Argon, compressed, UN 1013 Carbon dioxide, UN 1046 Helium, compressed and UN 1066 Nitrogen, compressed.</w:t>
      </w:r>
    </w:p>
    <w:p w14:paraId="45CB3A6D" w14:textId="4D403CDC" w:rsidR="007F20BE" w:rsidRPr="00782B5C" w:rsidRDefault="007F20BE" w:rsidP="007F20BE">
      <w:pPr>
        <w:pStyle w:val="SingleTxtG"/>
        <w:rPr>
          <w:lang w:val="en-GB"/>
        </w:rPr>
      </w:pPr>
      <w:r w:rsidRPr="00782B5C">
        <w:rPr>
          <w:lang w:val="en-GB"/>
        </w:rPr>
        <w:t xml:space="preserve">2. </w:t>
      </w:r>
      <w:r w:rsidR="00F425AB" w:rsidRPr="00782B5C">
        <w:rPr>
          <w:lang w:val="en-GB"/>
        </w:rPr>
        <w:tab/>
      </w:r>
      <w:r w:rsidRPr="00782B5C">
        <w:rPr>
          <w:lang w:val="en-GB"/>
        </w:rPr>
        <w:t xml:space="preserve">Gas cartridges filled with the above mentioned gases are assigned to </w:t>
      </w:r>
      <w:r w:rsidRPr="00782B5C">
        <w:rPr>
          <w:b/>
          <w:bCs/>
          <w:lang w:val="en-GB"/>
        </w:rPr>
        <w:t>UN 2037</w:t>
      </w:r>
      <w:r w:rsidRPr="00782B5C">
        <w:rPr>
          <w:lang w:val="en-GB"/>
        </w:rPr>
        <w:t xml:space="preserve"> Gas cartridges (5A).</w:t>
      </w:r>
    </w:p>
    <w:p w14:paraId="208D464F" w14:textId="051DA660" w:rsidR="007F20BE" w:rsidRPr="00782B5C" w:rsidRDefault="007F20BE" w:rsidP="007F20BE">
      <w:pPr>
        <w:pStyle w:val="SingleTxtG"/>
        <w:rPr>
          <w:lang w:val="en-GB"/>
        </w:rPr>
      </w:pPr>
      <w:r w:rsidRPr="00782B5C">
        <w:rPr>
          <w:lang w:val="en-GB"/>
        </w:rPr>
        <w:t xml:space="preserve">3. </w:t>
      </w:r>
      <w:r w:rsidR="00F425AB" w:rsidRPr="00782B5C">
        <w:rPr>
          <w:lang w:val="en-GB"/>
        </w:rPr>
        <w:tab/>
      </w:r>
      <w:r w:rsidRPr="00782B5C">
        <w:rPr>
          <w:lang w:val="en-GB"/>
        </w:rPr>
        <w:t>SP 653 does not cover UN 2037 gas cartridges.</w:t>
      </w:r>
    </w:p>
    <w:p w14:paraId="66CF0EF3" w14:textId="6647DFF9" w:rsidR="007F20BE" w:rsidRPr="00782B5C" w:rsidRDefault="007F20BE" w:rsidP="007F20BE">
      <w:pPr>
        <w:pStyle w:val="SingleTxtG"/>
        <w:rPr>
          <w:lang w:val="en-GB"/>
        </w:rPr>
      </w:pPr>
      <w:r w:rsidRPr="00782B5C">
        <w:rPr>
          <w:lang w:val="en-GB"/>
        </w:rPr>
        <w:t xml:space="preserve">4. </w:t>
      </w:r>
      <w:r w:rsidR="00F425AB" w:rsidRPr="00782B5C">
        <w:rPr>
          <w:lang w:val="en-GB"/>
        </w:rPr>
        <w:tab/>
      </w:r>
      <w:r w:rsidRPr="00782B5C">
        <w:rPr>
          <w:lang w:val="en-GB"/>
        </w:rPr>
        <w:t>The maximum test pressure capacity product of UN 2037 Gas cartridges (3 MP</w:t>
      </w:r>
      <w:r w:rsidR="00A008C0">
        <w:rPr>
          <w:lang w:val="en-GB"/>
        </w:rPr>
        <w:t>a</w:t>
      </w:r>
      <w:r w:rsidRPr="00782B5C">
        <w:rPr>
          <w:lang w:val="en-GB"/>
        </w:rPr>
        <w:t>.litres (30 bar.litres) for liquefied gases and 5</w:t>
      </w:r>
      <w:r w:rsidR="00E90DAA">
        <w:rPr>
          <w:lang w:val="en-GB"/>
        </w:rPr>
        <w:t>.</w:t>
      </w:r>
      <w:r w:rsidRPr="00782B5C">
        <w:rPr>
          <w:lang w:val="en-GB"/>
        </w:rPr>
        <w:t>4 MPa.litres (54 bar.litres) for compressed gases) is much less than the limit s</w:t>
      </w:r>
      <w:r w:rsidR="00A83D5D">
        <w:rPr>
          <w:lang w:val="en-GB"/>
        </w:rPr>
        <w:t>pecifi</w:t>
      </w:r>
      <w:r w:rsidRPr="00782B5C">
        <w:rPr>
          <w:lang w:val="en-GB"/>
        </w:rPr>
        <w:t>ed in SP 653 (15</w:t>
      </w:r>
      <w:r w:rsidR="00744E94">
        <w:rPr>
          <w:lang w:val="en-GB"/>
        </w:rPr>
        <w:t>.</w:t>
      </w:r>
      <w:r w:rsidRPr="00782B5C">
        <w:rPr>
          <w:lang w:val="en-GB"/>
        </w:rPr>
        <w:t>2 MPa.litres (152 bar.litres))</w:t>
      </w:r>
      <w:r w:rsidR="00390D7C">
        <w:rPr>
          <w:lang w:val="en-GB"/>
        </w:rPr>
        <w:t>.</w:t>
      </w:r>
    </w:p>
    <w:p w14:paraId="307D80B5" w14:textId="0EA50492" w:rsidR="007F20BE" w:rsidRPr="00782B5C" w:rsidRDefault="007F20BE" w:rsidP="007F20BE">
      <w:pPr>
        <w:pStyle w:val="HChG"/>
        <w:rPr>
          <w:rFonts w:eastAsia="MS Mincho"/>
          <w:b w:val="0"/>
          <w:sz w:val="20"/>
          <w:lang w:val="en-GB" w:eastAsia="ja-JP"/>
        </w:rPr>
      </w:pPr>
      <w:r w:rsidRPr="00782B5C">
        <w:rPr>
          <w:lang w:val="en-GB" w:eastAsia="en-GB"/>
        </w:rPr>
        <w:tab/>
      </w:r>
      <w:r w:rsidRPr="00782B5C">
        <w:rPr>
          <w:lang w:val="en-GB" w:eastAsia="en-GB"/>
        </w:rPr>
        <w:tab/>
        <w:t>Background information</w:t>
      </w:r>
    </w:p>
    <w:p w14:paraId="59BF5FF7" w14:textId="42809594" w:rsidR="007F20BE" w:rsidRPr="00782B5C" w:rsidRDefault="00F425AB" w:rsidP="007F20BE">
      <w:pPr>
        <w:pStyle w:val="SingleTxtG"/>
        <w:rPr>
          <w:lang w:val="en-GB"/>
        </w:rPr>
      </w:pPr>
      <w:r w:rsidRPr="00782B5C">
        <w:rPr>
          <w:lang w:val="en-GB"/>
        </w:rPr>
        <w:t>5</w:t>
      </w:r>
      <w:r w:rsidR="007F20BE" w:rsidRPr="00782B5C">
        <w:rPr>
          <w:lang w:val="en-GB"/>
        </w:rPr>
        <w:t xml:space="preserve">. </w:t>
      </w:r>
      <w:r w:rsidRPr="00782B5C">
        <w:rPr>
          <w:lang w:val="en-GB"/>
        </w:rPr>
        <w:tab/>
      </w:r>
      <w:r w:rsidR="007F20BE" w:rsidRPr="00782B5C">
        <w:rPr>
          <w:lang w:val="en-GB"/>
        </w:rPr>
        <w:t>Gas cartridges with a design according to EN 16509, referenced for UN 2037 in 6.2.6.4, are limited to a volume of 120 ml.</w:t>
      </w:r>
    </w:p>
    <w:p w14:paraId="1DD17A1F" w14:textId="034DCBAE" w:rsidR="007F20BE" w:rsidRPr="00782B5C" w:rsidRDefault="00F425AB" w:rsidP="007F20BE">
      <w:pPr>
        <w:pStyle w:val="SingleTxtG"/>
        <w:rPr>
          <w:lang w:val="en-GB"/>
        </w:rPr>
      </w:pPr>
      <w:r w:rsidRPr="00782B5C">
        <w:rPr>
          <w:lang w:val="en-GB"/>
        </w:rPr>
        <w:t>6</w:t>
      </w:r>
      <w:r w:rsidR="007F20BE" w:rsidRPr="00782B5C">
        <w:rPr>
          <w:lang w:val="en-GB"/>
        </w:rPr>
        <w:t xml:space="preserve">. </w:t>
      </w:r>
      <w:r w:rsidRPr="00782B5C">
        <w:rPr>
          <w:lang w:val="en-GB"/>
        </w:rPr>
        <w:tab/>
      </w:r>
      <w:r w:rsidR="007F20BE" w:rsidRPr="00782B5C">
        <w:rPr>
          <w:lang w:val="en-GB"/>
        </w:rPr>
        <w:t>For carbon dioxide, the maximal test pressure for a filling ratio of 0</w:t>
      </w:r>
      <w:r w:rsidR="00F1467D">
        <w:rPr>
          <w:lang w:val="en-GB"/>
        </w:rPr>
        <w:t>.</w:t>
      </w:r>
      <w:r w:rsidR="007F20BE" w:rsidRPr="00782B5C">
        <w:rPr>
          <w:lang w:val="en-GB"/>
        </w:rPr>
        <w:t>76 kg/l is 250 bar according to table 2 of P200. This results in a test pressure capacity product of 3 MPa.litre</w:t>
      </w:r>
      <w:r w:rsidR="00CC6B97">
        <w:rPr>
          <w:lang w:val="en-GB"/>
        </w:rPr>
        <w:t>s</w:t>
      </w:r>
      <w:r w:rsidR="007F20BE" w:rsidRPr="00782B5C">
        <w:rPr>
          <w:lang w:val="en-GB"/>
        </w:rPr>
        <w:t xml:space="preserve"> (30 bar.litres)</w:t>
      </w:r>
      <w:r w:rsidR="004B051B">
        <w:rPr>
          <w:lang w:val="en-GB"/>
        </w:rPr>
        <w:t>.</w:t>
      </w:r>
    </w:p>
    <w:p w14:paraId="0846C69D" w14:textId="16CF6558" w:rsidR="007F20BE" w:rsidRPr="00782B5C" w:rsidRDefault="00F425AB" w:rsidP="007F20BE">
      <w:pPr>
        <w:pStyle w:val="SingleTxtG"/>
        <w:rPr>
          <w:lang w:val="en-GB"/>
        </w:rPr>
      </w:pPr>
      <w:r w:rsidRPr="00782B5C">
        <w:rPr>
          <w:lang w:val="en-GB"/>
        </w:rPr>
        <w:t>7</w:t>
      </w:r>
      <w:r w:rsidR="007F20BE" w:rsidRPr="00782B5C">
        <w:rPr>
          <w:lang w:val="en-GB"/>
        </w:rPr>
        <w:t xml:space="preserve">. </w:t>
      </w:r>
      <w:r w:rsidRPr="00782B5C">
        <w:rPr>
          <w:lang w:val="en-GB"/>
        </w:rPr>
        <w:tab/>
      </w:r>
      <w:r w:rsidR="007F20BE" w:rsidRPr="00782B5C">
        <w:rPr>
          <w:lang w:val="en-GB"/>
        </w:rPr>
        <w:t>For permanent gases for this application the typical test pressure is 375 bar, which results in 4</w:t>
      </w:r>
      <w:r w:rsidR="004B051B">
        <w:rPr>
          <w:lang w:val="en-GB"/>
        </w:rPr>
        <w:t>.</w:t>
      </w:r>
      <w:r w:rsidR="007F20BE" w:rsidRPr="00782B5C">
        <w:rPr>
          <w:lang w:val="en-GB"/>
        </w:rPr>
        <w:t>5 MPa.litre</w:t>
      </w:r>
      <w:r w:rsidR="00331A88">
        <w:rPr>
          <w:lang w:val="en-GB"/>
        </w:rPr>
        <w:t>s</w:t>
      </w:r>
      <w:r w:rsidR="007F20BE" w:rsidRPr="00782B5C">
        <w:rPr>
          <w:lang w:val="en-GB"/>
        </w:rPr>
        <w:t xml:space="preserve"> (45 bar.litres)</w:t>
      </w:r>
      <w:r w:rsidR="00331A88">
        <w:rPr>
          <w:lang w:val="en-GB"/>
        </w:rPr>
        <w:t>.</w:t>
      </w:r>
    </w:p>
    <w:p w14:paraId="53B30398" w14:textId="67441CFE" w:rsidR="007F20BE" w:rsidRPr="00782B5C" w:rsidRDefault="007F20BE" w:rsidP="00F425AB">
      <w:pPr>
        <w:pStyle w:val="HChG"/>
        <w:rPr>
          <w:lang w:val="en-GB"/>
        </w:rPr>
      </w:pPr>
      <w:r w:rsidRPr="00782B5C">
        <w:rPr>
          <w:lang w:val="en-GB"/>
        </w:rPr>
        <w:tab/>
      </w:r>
      <w:r w:rsidR="00F425AB" w:rsidRPr="00782B5C">
        <w:rPr>
          <w:lang w:val="en-GB"/>
        </w:rPr>
        <w:tab/>
      </w:r>
      <w:r w:rsidR="00F425AB" w:rsidRPr="00782B5C">
        <w:rPr>
          <w:lang w:val="en-GB"/>
        </w:rPr>
        <w:tab/>
      </w:r>
      <w:r w:rsidRPr="00782B5C">
        <w:rPr>
          <w:lang w:val="en-GB"/>
        </w:rPr>
        <w:t>Proposals</w:t>
      </w:r>
    </w:p>
    <w:p w14:paraId="159DC4B9" w14:textId="05B98EFB" w:rsidR="007F20BE" w:rsidRPr="00782B5C" w:rsidRDefault="00F425AB" w:rsidP="007F20BE">
      <w:pPr>
        <w:pStyle w:val="SingleTxtG"/>
        <w:rPr>
          <w:lang w:val="en-GB"/>
        </w:rPr>
      </w:pPr>
      <w:r w:rsidRPr="00782B5C">
        <w:rPr>
          <w:lang w:val="en-GB"/>
        </w:rPr>
        <w:t>8</w:t>
      </w:r>
      <w:r w:rsidR="007F20BE" w:rsidRPr="00782B5C">
        <w:rPr>
          <w:lang w:val="en-GB"/>
        </w:rPr>
        <w:t>.</w:t>
      </w:r>
      <w:r w:rsidRPr="00782B5C">
        <w:rPr>
          <w:lang w:val="en-GB"/>
        </w:rPr>
        <w:tab/>
      </w:r>
      <w:r w:rsidR="007F20BE" w:rsidRPr="00782B5C">
        <w:rPr>
          <w:lang w:val="en-GB"/>
        </w:rPr>
        <w:t>EIGA proposes to add UN 2037 Gas cartridges to SP 653 and “653” to column (6) of Table A in chapter 3.2 for UN 2037 (5A) (new text is underlined):</w:t>
      </w:r>
    </w:p>
    <w:p w14:paraId="6090B343" w14:textId="09CFDED2" w:rsidR="007F20BE" w:rsidRPr="00782B5C" w:rsidRDefault="007F20BE" w:rsidP="00F425AB">
      <w:pPr>
        <w:pStyle w:val="HChG"/>
        <w:rPr>
          <w:sz w:val="24"/>
          <w:szCs w:val="24"/>
          <w:lang w:val="en-GB"/>
        </w:rPr>
      </w:pPr>
      <w:r w:rsidRPr="00782B5C">
        <w:rPr>
          <w:sz w:val="24"/>
          <w:szCs w:val="24"/>
          <w:lang w:val="en-GB"/>
        </w:rPr>
        <w:tab/>
      </w:r>
      <w:r w:rsidR="00F425AB" w:rsidRPr="00782B5C">
        <w:rPr>
          <w:sz w:val="24"/>
          <w:szCs w:val="24"/>
          <w:lang w:val="en-GB"/>
        </w:rPr>
        <w:tab/>
      </w:r>
      <w:r w:rsidRPr="00782B5C">
        <w:rPr>
          <w:sz w:val="24"/>
          <w:szCs w:val="24"/>
          <w:lang w:val="en-GB"/>
        </w:rPr>
        <w:t>Proposal 1</w:t>
      </w:r>
    </w:p>
    <w:p w14:paraId="2A3A0B2D" w14:textId="37122366" w:rsidR="007F20BE" w:rsidRPr="00782B5C" w:rsidRDefault="00B02C09" w:rsidP="009B7316">
      <w:pPr>
        <w:pStyle w:val="SingleTxtG"/>
        <w:rPr>
          <w:lang w:val="en-GB"/>
        </w:rPr>
      </w:pPr>
      <w:bookmarkStart w:id="0" w:name="_Hlk103088763"/>
      <w:r>
        <w:rPr>
          <w:lang w:val="en-GB"/>
        </w:rPr>
        <w:t>“</w:t>
      </w:r>
      <w:r w:rsidR="007F20BE" w:rsidRPr="00782B5C">
        <w:rPr>
          <w:lang w:val="en-GB"/>
        </w:rPr>
        <w:t>SP653</w:t>
      </w:r>
      <w:r w:rsidR="007F20BE" w:rsidRPr="00782B5C">
        <w:rPr>
          <w:lang w:val="en-GB"/>
        </w:rPr>
        <w:tab/>
        <w:t xml:space="preserve">The carriage of this gas in cylinders </w:t>
      </w:r>
      <w:r w:rsidR="007F20BE" w:rsidRPr="00782B5C">
        <w:rPr>
          <w:u w:val="single"/>
          <w:lang w:val="en-GB"/>
        </w:rPr>
        <w:t>and gas cartridges</w:t>
      </w:r>
      <w:r w:rsidR="007F20BE" w:rsidRPr="00782B5C">
        <w:rPr>
          <w:lang w:val="en-GB"/>
        </w:rPr>
        <w:t xml:space="preserve"> having a test pressure capacity product of maximum 15.2 MPa.litres (152 bar.litres) is not subject to the other provisions of ADR if the following conditions are met</w:t>
      </w:r>
      <w:r w:rsidR="00FB16B1">
        <w:rPr>
          <w:lang w:val="en-GB"/>
        </w:rPr>
        <w:t>:</w:t>
      </w:r>
    </w:p>
    <w:p w14:paraId="0CB3C94F" w14:textId="77777777" w:rsidR="007F20BE" w:rsidRPr="00782B5C" w:rsidRDefault="007F20BE" w:rsidP="007F20BE">
      <w:pPr>
        <w:pStyle w:val="SingleTxtG"/>
        <w:numPr>
          <w:ilvl w:val="0"/>
          <w:numId w:val="33"/>
        </w:numPr>
        <w:rPr>
          <w:lang w:val="en-GB"/>
        </w:rPr>
      </w:pPr>
      <w:r w:rsidRPr="00782B5C">
        <w:rPr>
          <w:lang w:val="en-GB"/>
        </w:rPr>
        <w:t xml:space="preserve">The provisions for the construction, testing and filling of cylinders </w:t>
      </w:r>
      <w:r w:rsidRPr="00782B5C">
        <w:rPr>
          <w:u w:val="single"/>
          <w:lang w:val="en-GB"/>
        </w:rPr>
        <w:t>and gas cartridges</w:t>
      </w:r>
      <w:r w:rsidRPr="00782B5C">
        <w:rPr>
          <w:lang w:val="en-GB"/>
        </w:rPr>
        <w:t xml:space="preserve"> are observed;</w:t>
      </w:r>
    </w:p>
    <w:bookmarkEnd w:id="0"/>
    <w:p w14:paraId="683E8A14" w14:textId="77777777" w:rsidR="007F20BE" w:rsidRPr="00782B5C" w:rsidRDefault="007F20BE" w:rsidP="007F20BE">
      <w:pPr>
        <w:pStyle w:val="SingleTxtG"/>
        <w:numPr>
          <w:ilvl w:val="0"/>
          <w:numId w:val="33"/>
        </w:numPr>
        <w:rPr>
          <w:lang w:val="en-GB"/>
        </w:rPr>
      </w:pPr>
      <w:r w:rsidRPr="00782B5C">
        <w:rPr>
          <w:lang w:val="en-GB"/>
        </w:rPr>
        <w:lastRenderedPageBreak/>
        <w:t xml:space="preserve">The cylinders </w:t>
      </w:r>
      <w:r w:rsidRPr="00782B5C">
        <w:rPr>
          <w:u w:val="single"/>
          <w:lang w:val="en-GB"/>
        </w:rPr>
        <w:t>and gas cartridges</w:t>
      </w:r>
      <w:r w:rsidRPr="00782B5C">
        <w:rPr>
          <w:lang w:val="en-GB"/>
        </w:rPr>
        <w:t xml:space="preserve"> are contained in outer packagings which at least meet the requirements of Part 4 for combination packagings. The general provisions of packing of 4.1.1.1, 4.1.1.2 and 4.1.1.5 to 4.1.1.7 shall be observed;</w:t>
      </w:r>
    </w:p>
    <w:p w14:paraId="42440BD0" w14:textId="77777777" w:rsidR="007F20BE" w:rsidRPr="00782B5C" w:rsidRDefault="007F20BE" w:rsidP="007F20BE">
      <w:pPr>
        <w:pStyle w:val="SingleTxtG"/>
        <w:numPr>
          <w:ilvl w:val="0"/>
          <w:numId w:val="33"/>
        </w:numPr>
        <w:rPr>
          <w:lang w:val="en-GB"/>
        </w:rPr>
      </w:pPr>
      <w:r w:rsidRPr="00782B5C">
        <w:rPr>
          <w:lang w:val="en-GB"/>
        </w:rPr>
        <w:t xml:space="preserve">The cylinders </w:t>
      </w:r>
      <w:r w:rsidRPr="00782B5C">
        <w:rPr>
          <w:u w:val="single"/>
          <w:lang w:val="en-GB"/>
        </w:rPr>
        <w:t>and gas cartridges</w:t>
      </w:r>
      <w:r w:rsidRPr="00782B5C">
        <w:rPr>
          <w:lang w:val="en-GB"/>
        </w:rPr>
        <w:t xml:space="preserve"> are not packed together with other dangerous goods;</w:t>
      </w:r>
    </w:p>
    <w:p w14:paraId="47860FA4" w14:textId="5724B757" w:rsidR="007F20BE" w:rsidRPr="00782B5C" w:rsidRDefault="007F20BE" w:rsidP="007F20BE">
      <w:pPr>
        <w:pStyle w:val="SingleTxtG"/>
        <w:numPr>
          <w:ilvl w:val="0"/>
          <w:numId w:val="33"/>
        </w:numPr>
        <w:rPr>
          <w:lang w:val="en-GB"/>
        </w:rPr>
      </w:pPr>
      <w:r w:rsidRPr="00782B5C">
        <w:rPr>
          <w:lang w:val="en-GB"/>
        </w:rPr>
        <w:t>The total gross mass of a package does not exceed 30</w:t>
      </w:r>
      <w:r w:rsidR="00100595">
        <w:rPr>
          <w:lang w:val="en-GB"/>
        </w:rPr>
        <w:t xml:space="preserve"> </w:t>
      </w:r>
      <w:r w:rsidRPr="00782B5C">
        <w:rPr>
          <w:lang w:val="en-GB"/>
        </w:rPr>
        <w:t>kg; and</w:t>
      </w:r>
    </w:p>
    <w:p w14:paraId="7D12E1B0" w14:textId="03C2FA1B" w:rsidR="007F20BE" w:rsidRPr="00782B5C" w:rsidRDefault="007F20BE" w:rsidP="007F20BE">
      <w:pPr>
        <w:pStyle w:val="SingleTxtG"/>
        <w:numPr>
          <w:ilvl w:val="0"/>
          <w:numId w:val="33"/>
        </w:numPr>
        <w:rPr>
          <w:lang w:val="en-GB"/>
        </w:rPr>
      </w:pPr>
      <w:r w:rsidRPr="00782B5C">
        <w:rPr>
          <w:lang w:val="en-GB"/>
        </w:rPr>
        <w:t>Each package is clearly and durable marked with “UN 1006” for argon compressed, “UN 1013” for carbon dioxide, “UN 1046” for helium compressed, “UN 1066” for nitrogen compressed or “</w:t>
      </w:r>
      <w:r w:rsidRPr="00782B5C">
        <w:rPr>
          <w:u w:val="single"/>
          <w:lang w:val="en-GB"/>
        </w:rPr>
        <w:t>UN 2037 (5A)” for non</w:t>
      </w:r>
      <w:r w:rsidR="00BD4842">
        <w:rPr>
          <w:u w:val="single"/>
          <w:lang w:val="en-GB"/>
        </w:rPr>
        <w:t>-</w:t>
      </w:r>
      <w:r w:rsidRPr="00782B5C">
        <w:rPr>
          <w:u w:val="single"/>
          <w:lang w:val="en-GB"/>
        </w:rPr>
        <w:t>flammable and non</w:t>
      </w:r>
      <w:r w:rsidR="00BD4842">
        <w:rPr>
          <w:u w:val="single"/>
          <w:lang w:val="en-GB"/>
        </w:rPr>
        <w:t>-</w:t>
      </w:r>
      <w:r w:rsidRPr="00782B5C">
        <w:rPr>
          <w:u w:val="single"/>
          <w:lang w:val="en-GB"/>
        </w:rPr>
        <w:t xml:space="preserve">toxic gases in gas cartridges (designed according to EN 16509). </w:t>
      </w:r>
      <w:r w:rsidRPr="00782B5C">
        <w:rPr>
          <w:lang w:val="en-GB"/>
        </w:rPr>
        <w:t>This mark is displayed within a diamond-shaped area surrounded by a line that measured at least 100 mm by 100 mm.</w:t>
      </w:r>
      <w:r w:rsidR="00B02C09">
        <w:rPr>
          <w:lang w:val="en-GB"/>
        </w:rPr>
        <w:t>”</w:t>
      </w:r>
    </w:p>
    <w:p w14:paraId="52D7C81A" w14:textId="0126CE94" w:rsidR="007F20BE" w:rsidRPr="00782B5C" w:rsidRDefault="00F425AB" w:rsidP="00F425AB">
      <w:pPr>
        <w:pStyle w:val="HChG"/>
        <w:rPr>
          <w:sz w:val="24"/>
          <w:szCs w:val="24"/>
          <w:lang w:val="en-GB"/>
        </w:rPr>
      </w:pPr>
      <w:r w:rsidRPr="00782B5C">
        <w:rPr>
          <w:sz w:val="24"/>
          <w:szCs w:val="24"/>
          <w:lang w:val="en-GB"/>
        </w:rPr>
        <w:tab/>
      </w:r>
      <w:r w:rsidRPr="00782B5C">
        <w:rPr>
          <w:sz w:val="24"/>
          <w:szCs w:val="24"/>
          <w:lang w:val="en-GB"/>
        </w:rPr>
        <w:tab/>
      </w:r>
      <w:r w:rsidR="007F20BE" w:rsidRPr="00782B5C">
        <w:rPr>
          <w:sz w:val="24"/>
          <w:szCs w:val="24"/>
          <w:lang w:val="en-GB"/>
        </w:rPr>
        <w:t>Proposal 2</w:t>
      </w:r>
    </w:p>
    <w:p w14:paraId="3B246902" w14:textId="08E9CF00" w:rsidR="007F20BE" w:rsidRPr="00782B5C" w:rsidRDefault="007F20BE" w:rsidP="007F20BE">
      <w:pPr>
        <w:pStyle w:val="SingleTxtG"/>
        <w:rPr>
          <w:lang w:val="en-GB"/>
        </w:rPr>
      </w:pPr>
      <w:r w:rsidRPr="00782B5C">
        <w:rPr>
          <w:lang w:val="en-GB"/>
        </w:rPr>
        <w:t>Add SP 653 in table A in chapter 3.2 column 6 for UN 2037 (5A)</w:t>
      </w:r>
      <w:r w:rsidR="00DD27B4">
        <w:rPr>
          <w:lang w:val="en-GB"/>
        </w:rPr>
        <w:t>.</w:t>
      </w:r>
    </w:p>
    <w:p w14:paraId="479A7CB0" w14:textId="21D4F780" w:rsidR="007F20BE" w:rsidRPr="00782B5C" w:rsidRDefault="005847D0" w:rsidP="005847D0">
      <w:pPr>
        <w:pStyle w:val="HChG"/>
        <w:rPr>
          <w:lang w:val="en-GB"/>
        </w:rPr>
      </w:pPr>
      <w:r w:rsidRPr="00782B5C">
        <w:rPr>
          <w:lang w:val="en-GB"/>
        </w:rPr>
        <w:tab/>
      </w:r>
      <w:r w:rsidRPr="00782B5C">
        <w:rPr>
          <w:lang w:val="en-GB"/>
        </w:rPr>
        <w:tab/>
      </w:r>
      <w:r w:rsidR="007F20BE" w:rsidRPr="00782B5C">
        <w:rPr>
          <w:lang w:val="en-GB"/>
        </w:rPr>
        <w:t>Safety</w:t>
      </w:r>
    </w:p>
    <w:p w14:paraId="0CAE59C9" w14:textId="6A019BB2" w:rsidR="007F20BE" w:rsidRPr="00782B5C" w:rsidRDefault="007F20BE" w:rsidP="007F20BE">
      <w:pPr>
        <w:pStyle w:val="SingleTxtG"/>
        <w:rPr>
          <w:lang w:val="en-GB"/>
        </w:rPr>
      </w:pPr>
      <w:r w:rsidRPr="00EF15C7">
        <w:rPr>
          <w:lang w:val="en-GB"/>
        </w:rPr>
        <w:tab/>
      </w:r>
      <w:r w:rsidR="007F3660" w:rsidRPr="00EF15C7">
        <w:rPr>
          <w:lang w:val="en-GB"/>
        </w:rPr>
        <w:t>9.</w:t>
      </w:r>
      <w:r w:rsidR="007F3660" w:rsidRPr="00EF15C7">
        <w:rPr>
          <w:lang w:val="en-GB"/>
        </w:rPr>
        <w:tab/>
      </w:r>
      <w:r w:rsidRPr="00782B5C">
        <w:rPr>
          <w:lang w:val="en-GB"/>
        </w:rPr>
        <w:t>There is no impact of change to safety since the maximum test pressure capacity is much less than the limit s</w:t>
      </w:r>
      <w:r w:rsidR="008A2EDE">
        <w:rPr>
          <w:lang w:val="en-GB"/>
        </w:rPr>
        <w:t>pecifi</w:t>
      </w:r>
      <w:r w:rsidRPr="00782B5C">
        <w:rPr>
          <w:lang w:val="en-GB"/>
        </w:rPr>
        <w:t>ed in SP653</w:t>
      </w:r>
      <w:bookmarkStart w:id="1" w:name="_Hlk103005437"/>
      <w:r w:rsidR="00BD4842">
        <w:rPr>
          <w:lang w:val="en-GB"/>
        </w:rPr>
        <w:t>.</w:t>
      </w:r>
    </w:p>
    <w:bookmarkEnd w:id="1"/>
    <w:p w14:paraId="17B73270" w14:textId="0227AC7D" w:rsidR="007F20BE" w:rsidRPr="00782B5C" w:rsidRDefault="005847D0" w:rsidP="005847D0">
      <w:pPr>
        <w:spacing w:before="240"/>
        <w:jc w:val="center"/>
        <w:rPr>
          <w:u w:val="single"/>
        </w:rPr>
      </w:pPr>
      <w:r w:rsidRPr="00782B5C">
        <w:rPr>
          <w:u w:val="single"/>
        </w:rPr>
        <w:tab/>
      </w:r>
      <w:r w:rsidRPr="00782B5C">
        <w:rPr>
          <w:u w:val="single"/>
        </w:rPr>
        <w:tab/>
      </w:r>
      <w:r w:rsidRPr="00782B5C">
        <w:rPr>
          <w:u w:val="single"/>
        </w:rPr>
        <w:tab/>
      </w:r>
    </w:p>
    <w:p w14:paraId="6A16B1ED" w14:textId="77777777" w:rsidR="007F20BE" w:rsidRPr="00782B5C" w:rsidRDefault="007F20BE" w:rsidP="007F20BE">
      <w:pPr>
        <w:tabs>
          <w:tab w:val="left" w:pos="2967"/>
        </w:tabs>
      </w:pPr>
    </w:p>
    <w:sectPr w:rsidR="007F20BE" w:rsidRPr="00782B5C" w:rsidSect="00932E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D133" w14:textId="77777777" w:rsidR="00705DA6" w:rsidRDefault="00705DA6"/>
  </w:endnote>
  <w:endnote w:type="continuationSeparator" w:id="0">
    <w:p w14:paraId="432D240C" w14:textId="77777777" w:rsidR="00705DA6" w:rsidRDefault="00705DA6"/>
  </w:endnote>
  <w:endnote w:type="continuationNotice" w:id="1">
    <w:p w14:paraId="0B96F69D" w14:textId="77777777" w:rsidR="00705DA6" w:rsidRDefault="00705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E6A3" w14:textId="0BC2FDAB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6537F2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234B" w14:textId="29C6ED12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2C2884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3C0D" w14:textId="77777777" w:rsidR="00705DA6" w:rsidRPr="000B175B" w:rsidRDefault="00705DA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242909" w14:textId="77777777" w:rsidR="00705DA6" w:rsidRPr="00FC68B7" w:rsidRDefault="00705DA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2F9370" w14:textId="77777777" w:rsidR="00705DA6" w:rsidRDefault="00705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89E9" w14:textId="5DFBA30B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287070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45B2" w14:textId="60BFA09A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5A29A3" w:rsidRPr="005A29A3">
      <w:rPr>
        <w:highlight w:val="yellow"/>
        <w:lang w:val="fr-CH"/>
      </w:rPr>
      <w:t>XZ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9AAC" w14:textId="77777777" w:rsidR="00872E49" w:rsidRDefault="00872E49" w:rsidP="00872E4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9C4C1E"/>
    <w:multiLevelType w:val="hybridMultilevel"/>
    <w:tmpl w:val="1040DB6A"/>
    <w:lvl w:ilvl="0" w:tplc="2332A6C8">
      <w:start w:val="1"/>
      <w:numFmt w:val="decimal"/>
      <w:pStyle w:val="Style1"/>
      <w:lvlText w:val="%1."/>
      <w:lvlJc w:val="left"/>
      <w:pPr>
        <w:ind w:left="1710" w:hanging="576"/>
      </w:pPr>
      <w:rPr>
        <w:rFonts w:ascii="Times New Roman" w:hAnsi="Times New Roman" w:cs="Times New Roman" w:hint="default"/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2B62593"/>
    <w:multiLevelType w:val="hybridMultilevel"/>
    <w:tmpl w:val="8F1A6826"/>
    <w:lvl w:ilvl="0" w:tplc="66A8AE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19B2A24"/>
    <w:multiLevelType w:val="hybridMultilevel"/>
    <w:tmpl w:val="6A1632F8"/>
    <w:lvl w:ilvl="0" w:tplc="8940FC4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15A75F0F"/>
    <w:multiLevelType w:val="hybridMultilevel"/>
    <w:tmpl w:val="29E47796"/>
    <w:lvl w:ilvl="0" w:tplc="0F84AADC">
      <w:start w:val="1"/>
      <w:numFmt w:val="decimal"/>
      <w:lvlText w:val="%1."/>
      <w:lvlJc w:val="left"/>
      <w:pPr>
        <w:ind w:left="132" w:hanging="576"/>
      </w:pPr>
      <w:rPr>
        <w:rFonts w:ascii="Arial" w:eastAsia="Arial" w:hAnsi="Arial" w:cs="Arial" w:hint="default"/>
        <w:color w:val="212121"/>
        <w:spacing w:val="-1"/>
        <w:w w:val="99"/>
        <w:sz w:val="19"/>
        <w:szCs w:val="19"/>
      </w:rPr>
    </w:lvl>
    <w:lvl w:ilvl="1" w:tplc="24A67092">
      <w:numFmt w:val="bullet"/>
      <w:lvlText w:val=""/>
      <w:lvlJc w:val="left"/>
      <w:pPr>
        <w:ind w:left="1476" w:hanging="340"/>
      </w:pPr>
      <w:rPr>
        <w:rFonts w:ascii="Symbol" w:eastAsia="Symbol" w:hAnsi="Symbol" w:cs="Symbol" w:hint="default"/>
        <w:color w:val="212121"/>
        <w:w w:val="99"/>
        <w:sz w:val="19"/>
        <w:szCs w:val="19"/>
      </w:rPr>
    </w:lvl>
    <w:lvl w:ilvl="2" w:tplc="12523A6E">
      <w:numFmt w:val="bullet"/>
      <w:lvlText w:val="•"/>
      <w:lvlJc w:val="left"/>
      <w:pPr>
        <w:ind w:left="2293" w:hanging="340"/>
      </w:pPr>
      <w:rPr>
        <w:rFonts w:hint="default"/>
      </w:rPr>
    </w:lvl>
    <w:lvl w:ilvl="3" w:tplc="D89EB4FC">
      <w:numFmt w:val="bullet"/>
      <w:lvlText w:val="•"/>
      <w:lvlJc w:val="left"/>
      <w:pPr>
        <w:ind w:left="3106" w:hanging="340"/>
      </w:pPr>
      <w:rPr>
        <w:rFonts w:hint="default"/>
      </w:rPr>
    </w:lvl>
    <w:lvl w:ilvl="4" w:tplc="BE02EA3C">
      <w:numFmt w:val="bullet"/>
      <w:lvlText w:val="•"/>
      <w:lvlJc w:val="left"/>
      <w:pPr>
        <w:ind w:left="3920" w:hanging="340"/>
      </w:pPr>
      <w:rPr>
        <w:rFonts w:hint="default"/>
      </w:rPr>
    </w:lvl>
    <w:lvl w:ilvl="5" w:tplc="A89C0DD6">
      <w:numFmt w:val="bullet"/>
      <w:lvlText w:val="•"/>
      <w:lvlJc w:val="left"/>
      <w:pPr>
        <w:ind w:left="4733" w:hanging="340"/>
      </w:pPr>
      <w:rPr>
        <w:rFonts w:hint="default"/>
      </w:rPr>
    </w:lvl>
    <w:lvl w:ilvl="6" w:tplc="2CFE71F4">
      <w:numFmt w:val="bullet"/>
      <w:lvlText w:val="•"/>
      <w:lvlJc w:val="left"/>
      <w:pPr>
        <w:ind w:left="5546" w:hanging="340"/>
      </w:pPr>
      <w:rPr>
        <w:rFonts w:hint="default"/>
      </w:rPr>
    </w:lvl>
    <w:lvl w:ilvl="7" w:tplc="38DA61B6">
      <w:numFmt w:val="bullet"/>
      <w:lvlText w:val="•"/>
      <w:lvlJc w:val="left"/>
      <w:pPr>
        <w:ind w:left="6360" w:hanging="340"/>
      </w:pPr>
      <w:rPr>
        <w:rFonts w:hint="default"/>
      </w:rPr>
    </w:lvl>
    <w:lvl w:ilvl="8" w:tplc="05BA123E">
      <w:numFmt w:val="bullet"/>
      <w:lvlText w:val="•"/>
      <w:lvlJc w:val="left"/>
      <w:pPr>
        <w:ind w:left="7173" w:hanging="3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B8B62B4"/>
    <w:multiLevelType w:val="hybridMultilevel"/>
    <w:tmpl w:val="695664E0"/>
    <w:lvl w:ilvl="0" w:tplc="CF966E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B0834"/>
    <w:multiLevelType w:val="hybridMultilevel"/>
    <w:tmpl w:val="6F26A3C4"/>
    <w:lvl w:ilvl="0" w:tplc="B6963C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5C4044F"/>
    <w:multiLevelType w:val="hybridMultilevel"/>
    <w:tmpl w:val="CFE4057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D27642E"/>
    <w:multiLevelType w:val="hybridMultilevel"/>
    <w:tmpl w:val="584A8A90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31D65"/>
    <w:multiLevelType w:val="hybridMultilevel"/>
    <w:tmpl w:val="3AA05A32"/>
    <w:lvl w:ilvl="0" w:tplc="6CF8F8D2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D4CC0"/>
    <w:multiLevelType w:val="hybridMultilevel"/>
    <w:tmpl w:val="1B060D96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4C02175"/>
    <w:multiLevelType w:val="hybridMultilevel"/>
    <w:tmpl w:val="7CBCC5F2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4613A"/>
    <w:multiLevelType w:val="hybridMultilevel"/>
    <w:tmpl w:val="996C419C"/>
    <w:lvl w:ilvl="0" w:tplc="2E48DB88">
      <w:start w:val="653"/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31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9"/>
  </w:num>
  <w:num w:numId="13">
    <w:abstractNumId w:val="10"/>
  </w:num>
  <w:num w:numId="14">
    <w:abstractNumId w:val="28"/>
  </w:num>
  <w:num w:numId="15">
    <w:abstractNumId w:val="16"/>
  </w:num>
  <w:num w:numId="16">
    <w:abstractNumId w:val="13"/>
  </w:num>
  <w:num w:numId="17">
    <w:abstractNumId w:val="31"/>
  </w:num>
  <w:num w:numId="18">
    <w:abstractNumId w:val="17"/>
  </w:num>
  <w:num w:numId="19">
    <w:abstractNumId w:val="32"/>
  </w:num>
  <w:num w:numId="20">
    <w:abstractNumId w:val="25"/>
  </w:num>
  <w:num w:numId="21">
    <w:abstractNumId w:val="29"/>
  </w:num>
  <w:num w:numId="22">
    <w:abstractNumId w:val="14"/>
  </w:num>
  <w:num w:numId="23">
    <w:abstractNumId w:val="26"/>
  </w:num>
  <w:num w:numId="24">
    <w:abstractNumId w:val="27"/>
  </w:num>
  <w:num w:numId="25">
    <w:abstractNumId w:val="22"/>
  </w:num>
  <w:num w:numId="26">
    <w:abstractNumId w:val="12"/>
  </w:num>
  <w:num w:numId="27">
    <w:abstractNumId w:val="18"/>
  </w:num>
  <w:num w:numId="28">
    <w:abstractNumId w:val="21"/>
  </w:num>
  <w:num w:numId="29">
    <w:abstractNumId w:val="24"/>
  </w:num>
  <w:num w:numId="30">
    <w:abstractNumId w:val="20"/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176F"/>
    <w:rsid w:val="00012736"/>
    <w:rsid w:val="0002216E"/>
    <w:rsid w:val="000305B1"/>
    <w:rsid w:val="00037F90"/>
    <w:rsid w:val="000412D8"/>
    <w:rsid w:val="00044805"/>
    <w:rsid w:val="00044F99"/>
    <w:rsid w:val="00045BBE"/>
    <w:rsid w:val="00046B1F"/>
    <w:rsid w:val="00050F6B"/>
    <w:rsid w:val="00052E55"/>
    <w:rsid w:val="00057E97"/>
    <w:rsid w:val="00063ABA"/>
    <w:rsid w:val="00072C8C"/>
    <w:rsid w:val="000733B5"/>
    <w:rsid w:val="00081815"/>
    <w:rsid w:val="00083DAB"/>
    <w:rsid w:val="000931C0"/>
    <w:rsid w:val="000943A1"/>
    <w:rsid w:val="00096262"/>
    <w:rsid w:val="000971D1"/>
    <w:rsid w:val="00097556"/>
    <w:rsid w:val="000A3752"/>
    <w:rsid w:val="000A7267"/>
    <w:rsid w:val="000A756B"/>
    <w:rsid w:val="000B0595"/>
    <w:rsid w:val="000B1660"/>
    <w:rsid w:val="000B175B"/>
    <w:rsid w:val="000B296B"/>
    <w:rsid w:val="000B3A0F"/>
    <w:rsid w:val="000B4EF7"/>
    <w:rsid w:val="000B633F"/>
    <w:rsid w:val="000C1287"/>
    <w:rsid w:val="000C2C03"/>
    <w:rsid w:val="000C2D2E"/>
    <w:rsid w:val="000C4D51"/>
    <w:rsid w:val="000C7F79"/>
    <w:rsid w:val="000E0415"/>
    <w:rsid w:val="000E08C2"/>
    <w:rsid w:val="000E4B01"/>
    <w:rsid w:val="000F4FF6"/>
    <w:rsid w:val="000F567A"/>
    <w:rsid w:val="00100595"/>
    <w:rsid w:val="0010391C"/>
    <w:rsid w:val="00104CDA"/>
    <w:rsid w:val="00105827"/>
    <w:rsid w:val="00105935"/>
    <w:rsid w:val="001103AA"/>
    <w:rsid w:val="00113517"/>
    <w:rsid w:val="00115C11"/>
    <w:rsid w:val="0011666B"/>
    <w:rsid w:val="00125117"/>
    <w:rsid w:val="001343BC"/>
    <w:rsid w:val="00151686"/>
    <w:rsid w:val="00155068"/>
    <w:rsid w:val="001555BF"/>
    <w:rsid w:val="00156009"/>
    <w:rsid w:val="00165F3A"/>
    <w:rsid w:val="001766DA"/>
    <w:rsid w:val="00186205"/>
    <w:rsid w:val="001A57BD"/>
    <w:rsid w:val="001A6E55"/>
    <w:rsid w:val="001B13A5"/>
    <w:rsid w:val="001B2401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495"/>
    <w:rsid w:val="001E0B9E"/>
    <w:rsid w:val="001E300A"/>
    <w:rsid w:val="001E49E0"/>
    <w:rsid w:val="001E7B67"/>
    <w:rsid w:val="001F1E44"/>
    <w:rsid w:val="001F34E3"/>
    <w:rsid w:val="001F5970"/>
    <w:rsid w:val="001F6DCC"/>
    <w:rsid w:val="001F7435"/>
    <w:rsid w:val="00202DA8"/>
    <w:rsid w:val="00203753"/>
    <w:rsid w:val="002102FF"/>
    <w:rsid w:val="0021114C"/>
    <w:rsid w:val="0021157B"/>
    <w:rsid w:val="00211DC0"/>
    <w:rsid w:val="00211E0B"/>
    <w:rsid w:val="002248F2"/>
    <w:rsid w:val="002314BC"/>
    <w:rsid w:val="002336E0"/>
    <w:rsid w:val="00236F7D"/>
    <w:rsid w:val="0024023A"/>
    <w:rsid w:val="00243217"/>
    <w:rsid w:val="00243B56"/>
    <w:rsid w:val="002500D9"/>
    <w:rsid w:val="00252290"/>
    <w:rsid w:val="00252ADF"/>
    <w:rsid w:val="00263469"/>
    <w:rsid w:val="00265023"/>
    <w:rsid w:val="0026532A"/>
    <w:rsid w:val="00265963"/>
    <w:rsid w:val="00267F5F"/>
    <w:rsid w:val="00286B4D"/>
    <w:rsid w:val="00287070"/>
    <w:rsid w:val="002925FF"/>
    <w:rsid w:val="00293582"/>
    <w:rsid w:val="002A009E"/>
    <w:rsid w:val="002A3C85"/>
    <w:rsid w:val="002A603B"/>
    <w:rsid w:val="002A68EA"/>
    <w:rsid w:val="002B6DC4"/>
    <w:rsid w:val="002C2884"/>
    <w:rsid w:val="002D4643"/>
    <w:rsid w:val="002D4B6C"/>
    <w:rsid w:val="002D659E"/>
    <w:rsid w:val="002E26B9"/>
    <w:rsid w:val="002F175C"/>
    <w:rsid w:val="00302E18"/>
    <w:rsid w:val="003032E0"/>
    <w:rsid w:val="003050A4"/>
    <w:rsid w:val="0030606F"/>
    <w:rsid w:val="00310FC9"/>
    <w:rsid w:val="003204CE"/>
    <w:rsid w:val="00321582"/>
    <w:rsid w:val="003229D8"/>
    <w:rsid w:val="00331A88"/>
    <w:rsid w:val="003358CF"/>
    <w:rsid w:val="00345184"/>
    <w:rsid w:val="003505DA"/>
    <w:rsid w:val="00350A2F"/>
    <w:rsid w:val="00352709"/>
    <w:rsid w:val="003571EA"/>
    <w:rsid w:val="003635B9"/>
    <w:rsid w:val="00371178"/>
    <w:rsid w:val="0038272B"/>
    <w:rsid w:val="00390D7C"/>
    <w:rsid w:val="0039354D"/>
    <w:rsid w:val="003958E4"/>
    <w:rsid w:val="00396800"/>
    <w:rsid w:val="00397DF6"/>
    <w:rsid w:val="003A480D"/>
    <w:rsid w:val="003A53DA"/>
    <w:rsid w:val="003A593B"/>
    <w:rsid w:val="003A6810"/>
    <w:rsid w:val="003A7F75"/>
    <w:rsid w:val="003B0571"/>
    <w:rsid w:val="003B311A"/>
    <w:rsid w:val="003B36D1"/>
    <w:rsid w:val="003C2CC4"/>
    <w:rsid w:val="003C732E"/>
    <w:rsid w:val="003C7C2C"/>
    <w:rsid w:val="003C7D8F"/>
    <w:rsid w:val="003D0957"/>
    <w:rsid w:val="003D49AC"/>
    <w:rsid w:val="003D4B23"/>
    <w:rsid w:val="003D5DB4"/>
    <w:rsid w:val="003E0C3C"/>
    <w:rsid w:val="00400297"/>
    <w:rsid w:val="00405491"/>
    <w:rsid w:val="00410C89"/>
    <w:rsid w:val="004226EE"/>
    <w:rsid w:val="00422E03"/>
    <w:rsid w:val="00426B9B"/>
    <w:rsid w:val="004325CB"/>
    <w:rsid w:val="00433A32"/>
    <w:rsid w:val="004356D2"/>
    <w:rsid w:val="00442A83"/>
    <w:rsid w:val="004532AC"/>
    <w:rsid w:val="0045495B"/>
    <w:rsid w:val="00461F7D"/>
    <w:rsid w:val="00464C81"/>
    <w:rsid w:val="0048397A"/>
    <w:rsid w:val="00483F1B"/>
    <w:rsid w:val="004A12F2"/>
    <w:rsid w:val="004A28A3"/>
    <w:rsid w:val="004B051B"/>
    <w:rsid w:val="004B138F"/>
    <w:rsid w:val="004B1892"/>
    <w:rsid w:val="004B3010"/>
    <w:rsid w:val="004C2461"/>
    <w:rsid w:val="004C408F"/>
    <w:rsid w:val="004C64C0"/>
    <w:rsid w:val="004C7462"/>
    <w:rsid w:val="004D12C5"/>
    <w:rsid w:val="004D440A"/>
    <w:rsid w:val="004D4E04"/>
    <w:rsid w:val="004D5426"/>
    <w:rsid w:val="004E065B"/>
    <w:rsid w:val="004E0C05"/>
    <w:rsid w:val="004E3AA8"/>
    <w:rsid w:val="004E69B9"/>
    <w:rsid w:val="004E77B2"/>
    <w:rsid w:val="004F3D1D"/>
    <w:rsid w:val="00503DEB"/>
    <w:rsid w:val="00504B2D"/>
    <w:rsid w:val="005072AF"/>
    <w:rsid w:val="00507993"/>
    <w:rsid w:val="00514A11"/>
    <w:rsid w:val="0052136D"/>
    <w:rsid w:val="00522B58"/>
    <w:rsid w:val="00523CD7"/>
    <w:rsid w:val="005258AB"/>
    <w:rsid w:val="0052775E"/>
    <w:rsid w:val="00535506"/>
    <w:rsid w:val="00537388"/>
    <w:rsid w:val="005420F2"/>
    <w:rsid w:val="00542540"/>
    <w:rsid w:val="00543B68"/>
    <w:rsid w:val="00546993"/>
    <w:rsid w:val="005501AB"/>
    <w:rsid w:val="0056075B"/>
    <w:rsid w:val="00560FD7"/>
    <w:rsid w:val="005628B6"/>
    <w:rsid w:val="00562CBB"/>
    <w:rsid w:val="00566FC4"/>
    <w:rsid w:val="00574011"/>
    <w:rsid w:val="005847D0"/>
    <w:rsid w:val="00584B44"/>
    <w:rsid w:val="00586813"/>
    <w:rsid w:val="0059363D"/>
    <w:rsid w:val="005970A6"/>
    <w:rsid w:val="00597863"/>
    <w:rsid w:val="005A29A3"/>
    <w:rsid w:val="005B12FC"/>
    <w:rsid w:val="005B3DB3"/>
    <w:rsid w:val="005B4E13"/>
    <w:rsid w:val="005B5D47"/>
    <w:rsid w:val="005C5A1C"/>
    <w:rsid w:val="005C68F0"/>
    <w:rsid w:val="005D0CF6"/>
    <w:rsid w:val="005D2A29"/>
    <w:rsid w:val="005D50B2"/>
    <w:rsid w:val="005D7F39"/>
    <w:rsid w:val="005E1472"/>
    <w:rsid w:val="005E6A77"/>
    <w:rsid w:val="005F1010"/>
    <w:rsid w:val="005F7B75"/>
    <w:rsid w:val="006001EE"/>
    <w:rsid w:val="00605042"/>
    <w:rsid w:val="0060537B"/>
    <w:rsid w:val="00611FC4"/>
    <w:rsid w:val="0061457E"/>
    <w:rsid w:val="006176FB"/>
    <w:rsid w:val="0062198A"/>
    <w:rsid w:val="00630BAF"/>
    <w:rsid w:val="00640B26"/>
    <w:rsid w:val="00643033"/>
    <w:rsid w:val="00652CFC"/>
    <w:rsid w:val="00652D0A"/>
    <w:rsid w:val="006537F2"/>
    <w:rsid w:val="00654204"/>
    <w:rsid w:val="00654F44"/>
    <w:rsid w:val="006623D5"/>
    <w:rsid w:val="00662BB6"/>
    <w:rsid w:val="0066353E"/>
    <w:rsid w:val="00667F8F"/>
    <w:rsid w:val="006741C5"/>
    <w:rsid w:val="006741F1"/>
    <w:rsid w:val="00684C21"/>
    <w:rsid w:val="00692E0E"/>
    <w:rsid w:val="006A0D0E"/>
    <w:rsid w:val="006A2530"/>
    <w:rsid w:val="006A67FC"/>
    <w:rsid w:val="006A6AEA"/>
    <w:rsid w:val="006B1C12"/>
    <w:rsid w:val="006C33AB"/>
    <w:rsid w:val="006C3589"/>
    <w:rsid w:val="006C47A1"/>
    <w:rsid w:val="006C58E0"/>
    <w:rsid w:val="006C5E4B"/>
    <w:rsid w:val="006D37AF"/>
    <w:rsid w:val="006D51D0"/>
    <w:rsid w:val="006E564B"/>
    <w:rsid w:val="006E7191"/>
    <w:rsid w:val="00703577"/>
    <w:rsid w:val="00705894"/>
    <w:rsid w:val="00705DA6"/>
    <w:rsid w:val="007067C3"/>
    <w:rsid w:val="0072632A"/>
    <w:rsid w:val="007327D5"/>
    <w:rsid w:val="007351B4"/>
    <w:rsid w:val="00740B63"/>
    <w:rsid w:val="007431D0"/>
    <w:rsid w:val="00743D8C"/>
    <w:rsid w:val="00744E94"/>
    <w:rsid w:val="00753C6F"/>
    <w:rsid w:val="00755A39"/>
    <w:rsid w:val="00760A73"/>
    <w:rsid w:val="007611CF"/>
    <w:rsid w:val="00761787"/>
    <w:rsid w:val="007629C8"/>
    <w:rsid w:val="00762CB8"/>
    <w:rsid w:val="00764668"/>
    <w:rsid w:val="00767D5D"/>
    <w:rsid w:val="0077047D"/>
    <w:rsid w:val="00771625"/>
    <w:rsid w:val="00776430"/>
    <w:rsid w:val="00776ACF"/>
    <w:rsid w:val="00782B5C"/>
    <w:rsid w:val="007840E3"/>
    <w:rsid w:val="00790C8F"/>
    <w:rsid w:val="007967A2"/>
    <w:rsid w:val="00797575"/>
    <w:rsid w:val="007A0948"/>
    <w:rsid w:val="007B09E5"/>
    <w:rsid w:val="007B6BA5"/>
    <w:rsid w:val="007C3390"/>
    <w:rsid w:val="007C4F4B"/>
    <w:rsid w:val="007D65E9"/>
    <w:rsid w:val="007D6759"/>
    <w:rsid w:val="007E01E9"/>
    <w:rsid w:val="007E63F3"/>
    <w:rsid w:val="007F10B4"/>
    <w:rsid w:val="007F1F2D"/>
    <w:rsid w:val="007F20BE"/>
    <w:rsid w:val="007F3660"/>
    <w:rsid w:val="007F6611"/>
    <w:rsid w:val="007F7106"/>
    <w:rsid w:val="007F7A86"/>
    <w:rsid w:val="008031DD"/>
    <w:rsid w:val="008116D7"/>
    <w:rsid w:val="00811920"/>
    <w:rsid w:val="00815AD0"/>
    <w:rsid w:val="00816C50"/>
    <w:rsid w:val="008242D7"/>
    <w:rsid w:val="008257B1"/>
    <w:rsid w:val="00826C3D"/>
    <w:rsid w:val="00831EFE"/>
    <w:rsid w:val="00836230"/>
    <w:rsid w:val="00840A12"/>
    <w:rsid w:val="00843767"/>
    <w:rsid w:val="00852B07"/>
    <w:rsid w:val="00854501"/>
    <w:rsid w:val="00863760"/>
    <w:rsid w:val="00863F55"/>
    <w:rsid w:val="008679D9"/>
    <w:rsid w:val="00871389"/>
    <w:rsid w:val="00872E49"/>
    <w:rsid w:val="00880848"/>
    <w:rsid w:val="00883999"/>
    <w:rsid w:val="00887652"/>
    <w:rsid w:val="008878DE"/>
    <w:rsid w:val="00892CEC"/>
    <w:rsid w:val="008979B1"/>
    <w:rsid w:val="008A2EDE"/>
    <w:rsid w:val="008A61D9"/>
    <w:rsid w:val="008A6B25"/>
    <w:rsid w:val="008A6C4F"/>
    <w:rsid w:val="008A7B69"/>
    <w:rsid w:val="008B216F"/>
    <w:rsid w:val="008B2335"/>
    <w:rsid w:val="008C7DAF"/>
    <w:rsid w:val="008D78BD"/>
    <w:rsid w:val="008E0678"/>
    <w:rsid w:val="008E06E0"/>
    <w:rsid w:val="008E0DAA"/>
    <w:rsid w:val="008E4D3A"/>
    <w:rsid w:val="008F741A"/>
    <w:rsid w:val="00904A55"/>
    <w:rsid w:val="0091260B"/>
    <w:rsid w:val="00915B39"/>
    <w:rsid w:val="009223CA"/>
    <w:rsid w:val="00923CCF"/>
    <w:rsid w:val="0093288D"/>
    <w:rsid w:val="00932EF9"/>
    <w:rsid w:val="00940F93"/>
    <w:rsid w:val="00941495"/>
    <w:rsid w:val="0094558F"/>
    <w:rsid w:val="00952AC2"/>
    <w:rsid w:val="00961690"/>
    <w:rsid w:val="009646C2"/>
    <w:rsid w:val="009760F3"/>
    <w:rsid w:val="00980E93"/>
    <w:rsid w:val="0098203C"/>
    <w:rsid w:val="0098441E"/>
    <w:rsid w:val="00985971"/>
    <w:rsid w:val="0099212D"/>
    <w:rsid w:val="00992813"/>
    <w:rsid w:val="00997AA8"/>
    <w:rsid w:val="009A0E8D"/>
    <w:rsid w:val="009B1518"/>
    <w:rsid w:val="009B1CEB"/>
    <w:rsid w:val="009B26E7"/>
    <w:rsid w:val="009B56F3"/>
    <w:rsid w:val="009B7316"/>
    <w:rsid w:val="009C454F"/>
    <w:rsid w:val="009D2A5B"/>
    <w:rsid w:val="009D7F37"/>
    <w:rsid w:val="009E1D8E"/>
    <w:rsid w:val="009F3A3C"/>
    <w:rsid w:val="009F652C"/>
    <w:rsid w:val="009F78BD"/>
    <w:rsid w:val="00A008C0"/>
    <w:rsid w:val="00A00A3F"/>
    <w:rsid w:val="00A01489"/>
    <w:rsid w:val="00A1433D"/>
    <w:rsid w:val="00A239E4"/>
    <w:rsid w:val="00A3009E"/>
    <w:rsid w:val="00A3026E"/>
    <w:rsid w:val="00A338F1"/>
    <w:rsid w:val="00A35EE0"/>
    <w:rsid w:val="00A37A0A"/>
    <w:rsid w:val="00A47249"/>
    <w:rsid w:val="00A47A60"/>
    <w:rsid w:val="00A51CDF"/>
    <w:rsid w:val="00A615A8"/>
    <w:rsid w:val="00A6748C"/>
    <w:rsid w:val="00A70684"/>
    <w:rsid w:val="00A72F22"/>
    <w:rsid w:val="00A7360F"/>
    <w:rsid w:val="00A748A6"/>
    <w:rsid w:val="00A769F4"/>
    <w:rsid w:val="00A776B4"/>
    <w:rsid w:val="00A805C7"/>
    <w:rsid w:val="00A8292C"/>
    <w:rsid w:val="00A83D5D"/>
    <w:rsid w:val="00A93E6F"/>
    <w:rsid w:val="00A94361"/>
    <w:rsid w:val="00AA293C"/>
    <w:rsid w:val="00AA59DB"/>
    <w:rsid w:val="00AA66C0"/>
    <w:rsid w:val="00AA693A"/>
    <w:rsid w:val="00AB1AF0"/>
    <w:rsid w:val="00AB3174"/>
    <w:rsid w:val="00AC3E5A"/>
    <w:rsid w:val="00AD1A7B"/>
    <w:rsid w:val="00AD409C"/>
    <w:rsid w:val="00AD44C2"/>
    <w:rsid w:val="00AD48FA"/>
    <w:rsid w:val="00AE1070"/>
    <w:rsid w:val="00AE44BE"/>
    <w:rsid w:val="00AE4840"/>
    <w:rsid w:val="00AF1506"/>
    <w:rsid w:val="00B02C09"/>
    <w:rsid w:val="00B042C8"/>
    <w:rsid w:val="00B11BB4"/>
    <w:rsid w:val="00B22BC2"/>
    <w:rsid w:val="00B26141"/>
    <w:rsid w:val="00B30179"/>
    <w:rsid w:val="00B33A82"/>
    <w:rsid w:val="00B36690"/>
    <w:rsid w:val="00B37544"/>
    <w:rsid w:val="00B421C1"/>
    <w:rsid w:val="00B45D92"/>
    <w:rsid w:val="00B50912"/>
    <w:rsid w:val="00B51A66"/>
    <w:rsid w:val="00B52FD7"/>
    <w:rsid w:val="00B55C71"/>
    <w:rsid w:val="00B56BEE"/>
    <w:rsid w:val="00B56E4A"/>
    <w:rsid w:val="00B56E9C"/>
    <w:rsid w:val="00B61320"/>
    <w:rsid w:val="00B61BB6"/>
    <w:rsid w:val="00B638D7"/>
    <w:rsid w:val="00B64B1F"/>
    <w:rsid w:val="00B6553F"/>
    <w:rsid w:val="00B70F1E"/>
    <w:rsid w:val="00B7236E"/>
    <w:rsid w:val="00B77D05"/>
    <w:rsid w:val="00B81206"/>
    <w:rsid w:val="00B81C66"/>
    <w:rsid w:val="00B81E12"/>
    <w:rsid w:val="00B8280B"/>
    <w:rsid w:val="00B9104C"/>
    <w:rsid w:val="00B93117"/>
    <w:rsid w:val="00BA2681"/>
    <w:rsid w:val="00BA4BFE"/>
    <w:rsid w:val="00BA6D6F"/>
    <w:rsid w:val="00BB39D6"/>
    <w:rsid w:val="00BB4C56"/>
    <w:rsid w:val="00BB4CED"/>
    <w:rsid w:val="00BB77E9"/>
    <w:rsid w:val="00BB7CD1"/>
    <w:rsid w:val="00BB7FE9"/>
    <w:rsid w:val="00BC3FA0"/>
    <w:rsid w:val="00BC74E9"/>
    <w:rsid w:val="00BD4842"/>
    <w:rsid w:val="00BD55A0"/>
    <w:rsid w:val="00BE218D"/>
    <w:rsid w:val="00BE3E69"/>
    <w:rsid w:val="00BE7D92"/>
    <w:rsid w:val="00BF15A1"/>
    <w:rsid w:val="00BF2A9F"/>
    <w:rsid w:val="00BF55CA"/>
    <w:rsid w:val="00BF63B3"/>
    <w:rsid w:val="00BF68A8"/>
    <w:rsid w:val="00C02ED5"/>
    <w:rsid w:val="00C05DAD"/>
    <w:rsid w:val="00C10FE6"/>
    <w:rsid w:val="00C11A03"/>
    <w:rsid w:val="00C22C0C"/>
    <w:rsid w:val="00C23699"/>
    <w:rsid w:val="00C27DBF"/>
    <w:rsid w:val="00C33AF6"/>
    <w:rsid w:val="00C35BC8"/>
    <w:rsid w:val="00C36481"/>
    <w:rsid w:val="00C41BD5"/>
    <w:rsid w:val="00C43DF8"/>
    <w:rsid w:val="00C4527F"/>
    <w:rsid w:val="00C458FE"/>
    <w:rsid w:val="00C463DD"/>
    <w:rsid w:val="00C467C9"/>
    <w:rsid w:val="00C4724C"/>
    <w:rsid w:val="00C50425"/>
    <w:rsid w:val="00C51345"/>
    <w:rsid w:val="00C5185D"/>
    <w:rsid w:val="00C548AF"/>
    <w:rsid w:val="00C57B14"/>
    <w:rsid w:val="00C57DA4"/>
    <w:rsid w:val="00C629A0"/>
    <w:rsid w:val="00C64629"/>
    <w:rsid w:val="00C652F9"/>
    <w:rsid w:val="00C73056"/>
    <w:rsid w:val="00C745C3"/>
    <w:rsid w:val="00C76CB0"/>
    <w:rsid w:val="00C91148"/>
    <w:rsid w:val="00C9216A"/>
    <w:rsid w:val="00CA0CE1"/>
    <w:rsid w:val="00CA0E33"/>
    <w:rsid w:val="00CB3E03"/>
    <w:rsid w:val="00CB5104"/>
    <w:rsid w:val="00CB5B1E"/>
    <w:rsid w:val="00CC04D9"/>
    <w:rsid w:val="00CC6B97"/>
    <w:rsid w:val="00CD57D2"/>
    <w:rsid w:val="00CD5DD3"/>
    <w:rsid w:val="00CD7BCB"/>
    <w:rsid w:val="00CE116B"/>
    <w:rsid w:val="00CE2CC6"/>
    <w:rsid w:val="00CE4A8F"/>
    <w:rsid w:val="00CE4B11"/>
    <w:rsid w:val="00CF54D5"/>
    <w:rsid w:val="00D00610"/>
    <w:rsid w:val="00D0166C"/>
    <w:rsid w:val="00D06382"/>
    <w:rsid w:val="00D2031B"/>
    <w:rsid w:val="00D20B16"/>
    <w:rsid w:val="00D22720"/>
    <w:rsid w:val="00D25499"/>
    <w:rsid w:val="00D25FE2"/>
    <w:rsid w:val="00D27327"/>
    <w:rsid w:val="00D43252"/>
    <w:rsid w:val="00D47EEA"/>
    <w:rsid w:val="00D550D4"/>
    <w:rsid w:val="00D64D0D"/>
    <w:rsid w:val="00D65303"/>
    <w:rsid w:val="00D773DF"/>
    <w:rsid w:val="00D80773"/>
    <w:rsid w:val="00D80FBB"/>
    <w:rsid w:val="00D876F8"/>
    <w:rsid w:val="00D9255F"/>
    <w:rsid w:val="00D9495B"/>
    <w:rsid w:val="00D95303"/>
    <w:rsid w:val="00D978C6"/>
    <w:rsid w:val="00DA0E79"/>
    <w:rsid w:val="00DA3C1C"/>
    <w:rsid w:val="00DB262A"/>
    <w:rsid w:val="00DB61A4"/>
    <w:rsid w:val="00DB6CA5"/>
    <w:rsid w:val="00DC0B3D"/>
    <w:rsid w:val="00DC53F4"/>
    <w:rsid w:val="00DD27B4"/>
    <w:rsid w:val="00DD3141"/>
    <w:rsid w:val="00DD430F"/>
    <w:rsid w:val="00DF64FE"/>
    <w:rsid w:val="00DF7B93"/>
    <w:rsid w:val="00E01800"/>
    <w:rsid w:val="00E028F4"/>
    <w:rsid w:val="00E046DF"/>
    <w:rsid w:val="00E073DE"/>
    <w:rsid w:val="00E15557"/>
    <w:rsid w:val="00E159CC"/>
    <w:rsid w:val="00E27346"/>
    <w:rsid w:val="00E27E33"/>
    <w:rsid w:val="00E312C3"/>
    <w:rsid w:val="00E367BB"/>
    <w:rsid w:val="00E402A0"/>
    <w:rsid w:val="00E44A1D"/>
    <w:rsid w:val="00E5005F"/>
    <w:rsid w:val="00E51D9B"/>
    <w:rsid w:val="00E572C8"/>
    <w:rsid w:val="00E57319"/>
    <w:rsid w:val="00E658D0"/>
    <w:rsid w:val="00E702E4"/>
    <w:rsid w:val="00E71BC8"/>
    <w:rsid w:val="00E7260F"/>
    <w:rsid w:val="00E73F5D"/>
    <w:rsid w:val="00E77E4E"/>
    <w:rsid w:val="00E8090F"/>
    <w:rsid w:val="00E82755"/>
    <w:rsid w:val="00E83B19"/>
    <w:rsid w:val="00E83FB7"/>
    <w:rsid w:val="00E90DAA"/>
    <w:rsid w:val="00E96630"/>
    <w:rsid w:val="00EA3456"/>
    <w:rsid w:val="00EA6185"/>
    <w:rsid w:val="00EB237B"/>
    <w:rsid w:val="00EB6956"/>
    <w:rsid w:val="00EB7A4A"/>
    <w:rsid w:val="00EC106A"/>
    <w:rsid w:val="00EC32A0"/>
    <w:rsid w:val="00EC5986"/>
    <w:rsid w:val="00EC5E52"/>
    <w:rsid w:val="00ED7A2A"/>
    <w:rsid w:val="00EE288F"/>
    <w:rsid w:val="00EE3195"/>
    <w:rsid w:val="00EE5FC8"/>
    <w:rsid w:val="00EE6B3A"/>
    <w:rsid w:val="00EF15C7"/>
    <w:rsid w:val="00EF1D7F"/>
    <w:rsid w:val="00F10F61"/>
    <w:rsid w:val="00F13080"/>
    <w:rsid w:val="00F1467D"/>
    <w:rsid w:val="00F150A0"/>
    <w:rsid w:val="00F227A6"/>
    <w:rsid w:val="00F22857"/>
    <w:rsid w:val="00F31E5F"/>
    <w:rsid w:val="00F32051"/>
    <w:rsid w:val="00F33C9F"/>
    <w:rsid w:val="00F36CB6"/>
    <w:rsid w:val="00F36F0D"/>
    <w:rsid w:val="00F425AB"/>
    <w:rsid w:val="00F4272A"/>
    <w:rsid w:val="00F5150A"/>
    <w:rsid w:val="00F60F02"/>
    <w:rsid w:val="00F6100A"/>
    <w:rsid w:val="00F66565"/>
    <w:rsid w:val="00F71B7F"/>
    <w:rsid w:val="00F74D18"/>
    <w:rsid w:val="00F80815"/>
    <w:rsid w:val="00F86D76"/>
    <w:rsid w:val="00F93781"/>
    <w:rsid w:val="00F955F8"/>
    <w:rsid w:val="00F95ED8"/>
    <w:rsid w:val="00F97B38"/>
    <w:rsid w:val="00FA3772"/>
    <w:rsid w:val="00FB16B1"/>
    <w:rsid w:val="00FB613B"/>
    <w:rsid w:val="00FB7679"/>
    <w:rsid w:val="00FC3C87"/>
    <w:rsid w:val="00FC56A9"/>
    <w:rsid w:val="00FC68B7"/>
    <w:rsid w:val="00FD0E0B"/>
    <w:rsid w:val="00FD49F1"/>
    <w:rsid w:val="00FE0135"/>
    <w:rsid w:val="00FE106A"/>
    <w:rsid w:val="00FE1178"/>
    <w:rsid w:val="00FE2378"/>
    <w:rsid w:val="00FE477D"/>
    <w:rsid w:val="00FE578A"/>
    <w:rsid w:val="00FF145D"/>
    <w:rsid w:val="00FF3121"/>
    <w:rsid w:val="00FF6BF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114A6"/>
  <w15:docId w15:val="{843CA65C-A78E-48E8-B34E-7312664F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uiPriority w:val="99"/>
    <w:qFormat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uiPriority w:val="99"/>
    <w:qFormat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82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82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05827"/>
    <w:rPr>
      <w:b/>
      <w:bCs/>
      <w:lang w:eastAsia="en-US"/>
    </w:rPr>
  </w:style>
  <w:style w:type="paragraph" w:styleId="NoSpacing">
    <w:name w:val="No Spacing"/>
    <w:uiPriority w:val="1"/>
    <w:qFormat/>
    <w:rsid w:val="009F3A3C"/>
    <w:pPr>
      <w:suppressAutoHyphens/>
    </w:pPr>
    <w:rPr>
      <w:lang w:eastAsia="en-US"/>
    </w:rPr>
  </w:style>
  <w:style w:type="paragraph" w:customStyle="1" w:styleId="Default">
    <w:name w:val="Default"/>
    <w:rsid w:val="004B138F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  <w:style w:type="paragraph" w:customStyle="1" w:styleId="Style1">
    <w:name w:val="Style1"/>
    <w:basedOn w:val="SingleTxtG"/>
    <w:link w:val="Style1Char"/>
    <w:qFormat/>
    <w:rsid w:val="002A68EA"/>
    <w:pPr>
      <w:numPr>
        <w:numId w:val="32"/>
      </w:numPr>
      <w:ind w:left="1134" w:firstLine="0"/>
    </w:pPr>
    <w:rPr>
      <w:lang w:val="en-GB"/>
    </w:rPr>
  </w:style>
  <w:style w:type="character" w:customStyle="1" w:styleId="Style1Char">
    <w:name w:val="Style1 Char"/>
    <w:basedOn w:val="SingleTxtGChar"/>
    <w:link w:val="Style1"/>
    <w:rsid w:val="002A68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83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0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02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009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97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  <SharedWithUsers xmlns="4b4a1c0d-4a69-4996-a84a-fc699b9f49de">
      <UserInfo>
        <DisplayName>Christine Barrio-Champeau</DisplayName>
        <AccountId>49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08F6-D7BD-4B5A-BA90-96BBF29E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AE041-BC0E-40E5-ACFF-9A3D21E7F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63A2C-E59B-4113-A0B1-1594C67CC33F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F95C9D1A-B2B5-43D2-832F-D2E9B03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Romain Hubert</cp:lastModifiedBy>
  <cp:revision>36</cp:revision>
  <cp:lastPrinted>2019-03-11T13:30:00Z</cp:lastPrinted>
  <dcterms:created xsi:type="dcterms:W3CDTF">2023-01-23T08:16:00Z</dcterms:created>
  <dcterms:modified xsi:type="dcterms:W3CDTF">2023-01-23T08:47:00Z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0x0101003B8422D08C252547BB1CFA7F78E2CB83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