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030886" w14:textId="77777777" w:rsidTr="00B20551">
        <w:trPr>
          <w:cantSplit/>
          <w:trHeight w:hRule="exact" w:val="851"/>
        </w:trPr>
        <w:tc>
          <w:tcPr>
            <w:tcW w:w="1276" w:type="dxa"/>
            <w:tcBorders>
              <w:bottom w:val="single" w:sz="4" w:space="0" w:color="auto"/>
            </w:tcBorders>
            <w:vAlign w:val="bottom"/>
          </w:tcPr>
          <w:p w14:paraId="56DA41C3" w14:textId="77777777" w:rsidR="009E6CB7" w:rsidRDefault="009E6CB7" w:rsidP="00B20551">
            <w:pPr>
              <w:spacing w:after="80"/>
            </w:pPr>
          </w:p>
        </w:tc>
        <w:tc>
          <w:tcPr>
            <w:tcW w:w="2268" w:type="dxa"/>
            <w:tcBorders>
              <w:bottom w:val="single" w:sz="4" w:space="0" w:color="auto"/>
            </w:tcBorders>
            <w:vAlign w:val="bottom"/>
          </w:tcPr>
          <w:p w14:paraId="0E19C85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272D57" w14:textId="6D416747" w:rsidR="009E6CB7" w:rsidRPr="00D47EEA" w:rsidRDefault="005630A2" w:rsidP="005630A2">
            <w:pPr>
              <w:jc w:val="right"/>
            </w:pPr>
            <w:r w:rsidRPr="005630A2">
              <w:rPr>
                <w:sz w:val="40"/>
              </w:rPr>
              <w:t>ECE</w:t>
            </w:r>
            <w:r>
              <w:t>/TRANS/WP.15/AC.1/16</w:t>
            </w:r>
            <w:r w:rsidR="00E86E4F">
              <w:t>7</w:t>
            </w:r>
            <w:r w:rsidR="00810B34">
              <w:t>/</w:t>
            </w:r>
            <w:r>
              <w:t>Add.1</w:t>
            </w:r>
          </w:p>
        </w:tc>
      </w:tr>
      <w:tr w:rsidR="009E6CB7" w14:paraId="0623830F" w14:textId="77777777" w:rsidTr="00B20551">
        <w:trPr>
          <w:cantSplit/>
          <w:trHeight w:hRule="exact" w:val="2835"/>
        </w:trPr>
        <w:tc>
          <w:tcPr>
            <w:tcW w:w="1276" w:type="dxa"/>
            <w:tcBorders>
              <w:top w:val="single" w:sz="4" w:space="0" w:color="auto"/>
              <w:bottom w:val="single" w:sz="12" w:space="0" w:color="auto"/>
            </w:tcBorders>
          </w:tcPr>
          <w:p w14:paraId="5F6AACB5" w14:textId="77777777" w:rsidR="009E6CB7" w:rsidRDefault="00686A48" w:rsidP="00B20551">
            <w:pPr>
              <w:spacing w:before="120"/>
            </w:pPr>
            <w:r>
              <w:rPr>
                <w:noProof/>
                <w:lang w:val="de-DE" w:eastAsia="de-DE"/>
              </w:rPr>
              <w:drawing>
                <wp:inline distT="0" distB="0" distL="0" distR="0" wp14:anchorId="6D4E6456" wp14:editId="736C35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70862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61BA4D" w14:textId="77777777" w:rsidR="009E6CB7" w:rsidRDefault="005630A2" w:rsidP="005630A2">
            <w:pPr>
              <w:spacing w:before="240" w:line="240" w:lineRule="exact"/>
            </w:pPr>
            <w:r>
              <w:t>Distr.: General</w:t>
            </w:r>
          </w:p>
          <w:p w14:paraId="741D6564" w14:textId="1D5F76E9" w:rsidR="005630A2" w:rsidRDefault="00B95503" w:rsidP="005630A2">
            <w:pPr>
              <w:spacing w:line="240" w:lineRule="exact"/>
            </w:pPr>
            <w:r>
              <w:t>5</w:t>
            </w:r>
            <w:r w:rsidR="000852F4">
              <w:t xml:space="preserve"> </w:t>
            </w:r>
            <w:r w:rsidR="00E86E4F">
              <w:t>January 2023</w:t>
            </w:r>
          </w:p>
          <w:p w14:paraId="565EA075" w14:textId="77777777" w:rsidR="005630A2" w:rsidRDefault="005630A2" w:rsidP="005630A2">
            <w:pPr>
              <w:spacing w:line="240" w:lineRule="exact"/>
            </w:pPr>
          </w:p>
          <w:p w14:paraId="69D75D4F" w14:textId="073E9873" w:rsidR="005630A2" w:rsidRDefault="005630A2" w:rsidP="005630A2">
            <w:pPr>
              <w:spacing w:line="240" w:lineRule="exact"/>
            </w:pPr>
            <w:r>
              <w:t>Original: English</w:t>
            </w:r>
          </w:p>
        </w:tc>
      </w:tr>
    </w:tbl>
    <w:p w14:paraId="1364ED6A" w14:textId="77777777" w:rsidR="006A3F7E" w:rsidRDefault="006A3F7E" w:rsidP="006A3F7E">
      <w:pPr>
        <w:rPr>
          <w:b/>
          <w:sz w:val="28"/>
          <w:szCs w:val="28"/>
        </w:rPr>
      </w:pPr>
      <w:r>
        <w:rPr>
          <w:b/>
          <w:sz w:val="28"/>
          <w:szCs w:val="28"/>
        </w:rPr>
        <w:t xml:space="preserve">Economic Commission for </w:t>
      </w:r>
      <w:smartTag w:uri="urn:schemas-microsoft-com:office:smarttags" w:element="place">
        <w:r>
          <w:rPr>
            <w:b/>
            <w:sz w:val="28"/>
            <w:szCs w:val="28"/>
          </w:rPr>
          <w:t>Europe</w:t>
        </w:r>
      </w:smartTag>
    </w:p>
    <w:p w14:paraId="21F4C5EA" w14:textId="77777777" w:rsidR="006A3F7E" w:rsidRDefault="006A3F7E" w:rsidP="006A3F7E">
      <w:pPr>
        <w:spacing w:before="120"/>
        <w:rPr>
          <w:sz w:val="28"/>
          <w:szCs w:val="28"/>
        </w:rPr>
      </w:pPr>
      <w:r>
        <w:rPr>
          <w:sz w:val="28"/>
          <w:szCs w:val="28"/>
        </w:rPr>
        <w:t>Inland Transport Committee</w:t>
      </w:r>
    </w:p>
    <w:p w14:paraId="465963A5" w14:textId="77777777" w:rsidR="006A3F7E" w:rsidRDefault="006A3F7E" w:rsidP="006A3F7E">
      <w:pPr>
        <w:spacing w:before="120"/>
        <w:rPr>
          <w:b/>
          <w:sz w:val="24"/>
          <w:szCs w:val="24"/>
        </w:rPr>
      </w:pPr>
      <w:r>
        <w:rPr>
          <w:b/>
          <w:sz w:val="24"/>
          <w:szCs w:val="24"/>
        </w:rPr>
        <w:t>Working Party on the Transport of Dangerous Goods</w:t>
      </w:r>
    </w:p>
    <w:p w14:paraId="6E508F46" w14:textId="77777777" w:rsidR="006A3F7E" w:rsidRDefault="006A3F7E" w:rsidP="006A3F7E">
      <w:pPr>
        <w:spacing w:before="120"/>
        <w:rPr>
          <w:b/>
        </w:rPr>
      </w:pPr>
      <w:r>
        <w:rPr>
          <w:b/>
        </w:rPr>
        <w:t>Joint Meeting of the RID Committee of Experts and the</w:t>
      </w:r>
      <w:r>
        <w:rPr>
          <w:b/>
        </w:rPr>
        <w:br/>
        <w:t>Working Party on the Transport of Dangerous Goods</w:t>
      </w:r>
    </w:p>
    <w:p w14:paraId="23956492" w14:textId="49F45153" w:rsidR="006A3F7E" w:rsidRDefault="00E86E4F" w:rsidP="006A3F7E">
      <w:r>
        <w:rPr>
          <w:lang w:val="en-US"/>
        </w:rPr>
        <w:t>Bern</w:t>
      </w:r>
      <w:r w:rsidR="006A3F7E">
        <w:rPr>
          <w:lang w:val="en-US"/>
        </w:rPr>
        <w:t xml:space="preserve">, </w:t>
      </w:r>
      <w:r>
        <w:rPr>
          <w:lang w:val="en-US"/>
        </w:rPr>
        <w:t>20-24 March 2023</w:t>
      </w:r>
    </w:p>
    <w:p w14:paraId="353FFD7F" w14:textId="77777777" w:rsidR="006A3F7E" w:rsidRDefault="006A3F7E" w:rsidP="006A3F7E">
      <w:pPr>
        <w:rPr>
          <w:lang w:val="en-US"/>
        </w:rPr>
      </w:pPr>
      <w:r>
        <w:rPr>
          <w:lang w:val="en-US"/>
        </w:rPr>
        <w:t>Item 1 of the provisional agenda</w:t>
      </w:r>
    </w:p>
    <w:p w14:paraId="72ECBD69" w14:textId="77777777" w:rsidR="006A3F7E" w:rsidRDefault="006A3F7E" w:rsidP="006A3F7E">
      <w:r>
        <w:rPr>
          <w:b/>
          <w:lang w:val="en-US"/>
        </w:rPr>
        <w:t>Adoption of the agenda</w:t>
      </w:r>
    </w:p>
    <w:p w14:paraId="6CB923A7" w14:textId="3CE0C561" w:rsidR="00AC5941" w:rsidRDefault="00AC5941" w:rsidP="003B4973">
      <w:pPr>
        <w:pStyle w:val="HChG"/>
      </w:pPr>
      <w:r>
        <w:tab/>
      </w:r>
      <w:r>
        <w:tab/>
        <w:t xml:space="preserve">Provisional agenda for the </w:t>
      </w:r>
      <w:r w:rsidR="00FD2CFA">
        <w:t>spring 2023</w:t>
      </w:r>
      <w:r>
        <w:t xml:space="preserve"> session</w:t>
      </w:r>
    </w:p>
    <w:p w14:paraId="1599B0E9" w14:textId="77777777" w:rsidR="00AC5941" w:rsidRPr="001B1B4E" w:rsidRDefault="00AC5941" w:rsidP="001B1B4E">
      <w:pPr>
        <w:pStyle w:val="H1G"/>
      </w:pPr>
      <w:r w:rsidRPr="001B1B4E">
        <w:tab/>
      </w:r>
      <w:r w:rsidRPr="001B1B4E">
        <w:tab/>
        <w:t>Addendum</w:t>
      </w:r>
    </w:p>
    <w:p w14:paraId="44249C35" w14:textId="77777777" w:rsidR="00AC5941" w:rsidRPr="001B1B4E" w:rsidRDefault="00AC5941" w:rsidP="001B1B4E">
      <w:pPr>
        <w:pStyle w:val="HChG"/>
      </w:pPr>
      <w:r w:rsidRPr="001B1B4E">
        <w:tab/>
      </w:r>
      <w:r w:rsidRPr="001B1B4E">
        <w:tab/>
        <w:t>Annotations and list of documents</w:t>
      </w:r>
    </w:p>
    <w:p w14:paraId="4B89749F" w14:textId="77777777" w:rsidR="00AC5941" w:rsidRPr="000D0B23" w:rsidRDefault="00AC5941" w:rsidP="000D0B23">
      <w:pPr>
        <w:pStyle w:val="HChG"/>
        <w:rPr>
          <w:sz w:val="24"/>
          <w:szCs w:val="24"/>
        </w:rPr>
      </w:pPr>
      <w:r w:rsidRPr="000D0B23">
        <w:rPr>
          <w:sz w:val="24"/>
          <w:szCs w:val="24"/>
        </w:rPr>
        <w:tab/>
        <w:t>1.</w:t>
      </w:r>
      <w:r w:rsidRPr="000D0B23">
        <w:rPr>
          <w:sz w:val="24"/>
          <w:szCs w:val="24"/>
        </w:rPr>
        <w:tab/>
        <w:t>Adoption of the agenda</w:t>
      </w:r>
    </w:p>
    <w:p w14:paraId="47F20090" w14:textId="7BF964B4" w:rsidR="008F22ED" w:rsidRDefault="008F22ED" w:rsidP="008F22ED">
      <w:pPr>
        <w:pStyle w:val="SingleTxtG"/>
        <w:ind w:firstLine="567"/>
      </w:pPr>
      <w:r>
        <w:t xml:space="preserve">The first item on the agenda concerns its adoption. The Joint Meeting will also have before it the report on its </w:t>
      </w:r>
      <w:r w:rsidR="008D0D87">
        <w:t>autumn 2022</w:t>
      </w:r>
      <w:r>
        <w:t xml:space="preserve"> session, held in </w:t>
      </w:r>
      <w:r w:rsidR="008F585C">
        <w:t>Geneva</w:t>
      </w:r>
      <w:r>
        <w:t xml:space="preserve"> from 1</w:t>
      </w:r>
      <w:r w:rsidR="00FA1B45">
        <w:t>2</w:t>
      </w:r>
      <w:r>
        <w:t xml:space="preserve"> to 1</w:t>
      </w:r>
      <w:r w:rsidR="00FA1B45">
        <w:t>6 September</w:t>
      </w:r>
      <w:r>
        <w:t xml:space="preserve"> 202</w:t>
      </w:r>
      <w:r w:rsidR="00BC3921">
        <w:t>2</w:t>
      </w:r>
      <w:r>
        <w:t xml:space="preserve"> (ECE/TRANS/WP.15/AC.1/16</w:t>
      </w:r>
      <w:r w:rsidR="00092ED6">
        <w:t>6</w:t>
      </w:r>
      <w:r>
        <w:t>).</w:t>
      </w:r>
    </w:p>
    <w:p w14:paraId="2A0C6C21" w14:textId="77777777" w:rsidR="008F22ED" w:rsidRDefault="008F22ED" w:rsidP="008F22ED">
      <w:pPr>
        <w:pStyle w:val="SingleTxtG"/>
      </w:pPr>
      <w:r>
        <w:tab/>
        <w:t>The following points should be borne in mind:</w:t>
      </w:r>
    </w:p>
    <w:p w14:paraId="399D0355" w14:textId="2999438E" w:rsidR="008F22ED" w:rsidRDefault="008F22ED" w:rsidP="008F22ED">
      <w:pPr>
        <w:pStyle w:val="SingleTxtG"/>
      </w:pPr>
      <w:r>
        <w:tab/>
      </w:r>
      <w:r>
        <w:tab/>
        <w:t>(a)</w:t>
      </w:r>
      <w:r>
        <w:tab/>
        <w:t>At its autumn 202</w:t>
      </w:r>
      <w:r w:rsidR="00F33A4F">
        <w:t>2</w:t>
      </w:r>
      <w:r>
        <w:t xml:space="preserve"> session, the Joint Meeting elected Mr. C. </w:t>
      </w:r>
      <w:proofErr w:type="spellStart"/>
      <w:r>
        <w:t>Pfauvadel</w:t>
      </w:r>
      <w:proofErr w:type="spellEnd"/>
      <w:r>
        <w:t xml:space="preserve"> (France) as Chair and </w:t>
      </w:r>
      <w:r w:rsidRPr="00C0510A">
        <w:t>Ms. S. García Wolfrum (Spain) as Vice-Chair</w:t>
      </w:r>
      <w:r>
        <w:t>;</w:t>
      </w:r>
    </w:p>
    <w:p w14:paraId="5795A972" w14:textId="77777777" w:rsidR="008F22ED" w:rsidRDefault="008F22ED" w:rsidP="008F22ED">
      <w:pPr>
        <w:pStyle w:val="SingleTxtG"/>
      </w:pPr>
      <w:r>
        <w:tab/>
      </w:r>
      <w:r>
        <w:tab/>
        <w:t>(b)</w:t>
      </w:r>
      <w:r>
        <w:tab/>
        <w:t xml:space="preserve">UNECE documents (other than agendas or reports) with the symbol ECE/TRANS/WP.15/AC.1/ are circulated by the </w:t>
      </w:r>
      <w:r>
        <w:rPr>
          <w:szCs w:val="24"/>
        </w:rPr>
        <w:t>Intergovernmental Organisation for International Carriage by Rail (OTIF)</w:t>
      </w:r>
      <w:r>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239264E4" w14:textId="77777777" w:rsidR="008F22ED" w:rsidRDefault="008F22ED" w:rsidP="008F22ED">
      <w:pPr>
        <w:pStyle w:val="SingleTxtG"/>
      </w:pPr>
      <w:r>
        <w:tab/>
      </w:r>
      <w:r>
        <w:tab/>
        <w:t>(c)</w:t>
      </w:r>
      <w:r>
        <w:tab/>
        <w:t>The documentation will be available on the UNECE website (unece.org/transport/dangerous-goods) in English, French and Russian;</w:t>
      </w:r>
    </w:p>
    <w:p w14:paraId="42353693" w14:textId="2C381B84" w:rsidR="008F22ED" w:rsidRPr="00E26522" w:rsidRDefault="008F22ED" w:rsidP="008F22ED">
      <w:pPr>
        <w:pStyle w:val="SingleTxtG"/>
      </w:pPr>
      <w:r>
        <w:tab/>
      </w:r>
      <w:r>
        <w:tab/>
      </w:r>
      <w:r w:rsidRPr="00C0510A">
        <w:t>(d)</w:t>
      </w:r>
      <w:r w:rsidRPr="00C0510A">
        <w:tab/>
        <w:t>The Joint Meeting would, if necessary, like an ad hoc working group to meet outside the times of the plenary session, to consider documents concerning standards (item 3), in accordance with the mandate to be decided by the Joint Meeting;</w:t>
      </w:r>
    </w:p>
    <w:p w14:paraId="7F84512B" w14:textId="29D24A2A" w:rsidR="00067B93" w:rsidRDefault="00067B93" w:rsidP="005E4B77">
      <w:pPr>
        <w:pStyle w:val="SingleTxtG"/>
        <w:ind w:firstLine="567"/>
      </w:pPr>
      <w:r w:rsidRPr="00C0510A">
        <w:t>(e)</w:t>
      </w:r>
      <w:r w:rsidRPr="00C0510A">
        <w:tab/>
        <w:t>The Joint Meeting would like, if necessary, an ad hoc working group to meet concurrently with it to consider documents concerning tanks (item 2), after this item have been discussed in plenary</w:t>
      </w:r>
      <w:r w:rsidR="00B02318" w:rsidRPr="00C0510A">
        <w:t>;</w:t>
      </w:r>
    </w:p>
    <w:p w14:paraId="1623D400" w14:textId="483B2C09" w:rsidR="001E2A60" w:rsidRDefault="008F22ED" w:rsidP="007F3AF9">
      <w:pPr>
        <w:pStyle w:val="SingleTxtG"/>
        <w:spacing w:before="120"/>
        <w:rPr>
          <w:rFonts w:asciiTheme="majorBidi" w:hAnsiTheme="majorBidi" w:cstheme="majorBidi"/>
        </w:rPr>
      </w:pPr>
      <w:r>
        <w:tab/>
      </w:r>
      <w:r>
        <w:rPr>
          <w:rFonts w:asciiTheme="majorBidi" w:hAnsiTheme="majorBidi" w:cstheme="majorBidi"/>
        </w:rPr>
        <w:tab/>
        <w:t>(</w:t>
      </w:r>
      <w:r w:rsidR="007F3AF9">
        <w:rPr>
          <w:rFonts w:asciiTheme="majorBidi" w:hAnsiTheme="majorBidi" w:cstheme="majorBidi"/>
        </w:rPr>
        <w:t>f</w:t>
      </w:r>
      <w:r>
        <w:rPr>
          <w:rFonts w:asciiTheme="majorBidi" w:hAnsiTheme="majorBidi" w:cstheme="majorBidi"/>
        </w:rPr>
        <w:t>)</w:t>
      </w:r>
      <w:r>
        <w:rPr>
          <w:rFonts w:asciiTheme="majorBidi" w:hAnsiTheme="majorBidi" w:cstheme="majorBidi"/>
        </w:rPr>
        <w:tab/>
      </w:r>
      <w:r w:rsidR="00E92DBD">
        <w:rPr>
          <w:rFonts w:asciiTheme="majorBidi" w:hAnsiTheme="majorBidi" w:cstheme="majorBidi"/>
        </w:rPr>
        <w:t>T</w:t>
      </w:r>
      <w:r w:rsidR="00E92DBD">
        <w:t xml:space="preserve">o minimise the impact of the COVID-19 pandemic on the work of the Joint Meeting, UNECE is planning to revert to normal business </w:t>
      </w:r>
      <w:r w:rsidR="00AB0CC8">
        <w:t>beginning of</w:t>
      </w:r>
      <w:r w:rsidR="008701D5">
        <w:t xml:space="preserve"> 2023</w:t>
      </w:r>
      <w:r w:rsidR="00E92DBD">
        <w:t xml:space="preserve">, i.e. organizing in-person sessions </w:t>
      </w:r>
      <w:r w:rsidR="00B00488">
        <w:t xml:space="preserve">only </w:t>
      </w:r>
      <w:r w:rsidR="00E92DBD">
        <w:t xml:space="preserve">depending on the further improvement of the ongoing sanitary </w:t>
      </w:r>
      <w:r w:rsidR="00E92DBD">
        <w:lastRenderedPageBreak/>
        <w:t xml:space="preserve">restrictions. Following the agreement </w:t>
      </w:r>
      <w:r w:rsidR="001242A0">
        <w:t xml:space="preserve">by OTIF </w:t>
      </w:r>
      <w:r w:rsidR="00E92DBD">
        <w:t>to continue with the working arrangements already proposed for the 202</w:t>
      </w:r>
      <w:r w:rsidR="00B00488">
        <w:t>2</w:t>
      </w:r>
      <w:r w:rsidR="00E92DBD">
        <w:t xml:space="preserve"> sessions, the </w:t>
      </w:r>
      <w:r w:rsidR="002E24D0">
        <w:t xml:space="preserve">spring </w:t>
      </w:r>
      <w:r w:rsidR="00E92DBD">
        <w:t>session will still be held in a hybrid format</w:t>
      </w:r>
      <w:r w:rsidR="00F776AF">
        <w:t xml:space="preserve"> </w:t>
      </w:r>
      <w:r>
        <w:rPr>
          <w:rFonts w:asciiTheme="majorBidi" w:hAnsiTheme="majorBidi" w:cstheme="majorBidi"/>
        </w:rPr>
        <w:t>allowing delegates to participate either in person or remotely. More detailed information will be circulated at a later date;</w:t>
      </w:r>
    </w:p>
    <w:p w14:paraId="2C07D905" w14:textId="6EA17AD6" w:rsidR="00DD29BD" w:rsidRDefault="007F3AF9" w:rsidP="00DD29BD">
      <w:pPr>
        <w:pStyle w:val="SingleTxtG"/>
        <w:spacing w:before="120"/>
        <w:rPr>
          <w:rFonts w:asciiTheme="majorBidi" w:hAnsiTheme="majorBidi" w:cstheme="majorBidi"/>
        </w:rPr>
      </w:pPr>
      <w:r>
        <w:rPr>
          <w:rFonts w:asciiTheme="majorBidi" w:hAnsiTheme="majorBidi" w:cstheme="majorBidi"/>
        </w:rPr>
        <w:tab/>
      </w:r>
      <w:r w:rsidR="00DD29BD">
        <w:rPr>
          <w:rFonts w:asciiTheme="majorBidi" w:hAnsiTheme="majorBidi" w:cstheme="majorBidi"/>
        </w:rPr>
        <w:tab/>
        <w:t>(g)</w:t>
      </w:r>
      <w:r w:rsidR="00DD29BD">
        <w:rPr>
          <w:rFonts w:asciiTheme="majorBidi" w:hAnsiTheme="majorBidi" w:cstheme="majorBidi"/>
        </w:rPr>
        <w:tab/>
        <w:t xml:space="preserve">In order to keep you informed of developments, please register using the </w:t>
      </w:r>
      <w:hyperlink r:id="rId12" w:history="1">
        <w:r w:rsidR="00DD29BD">
          <w:rPr>
            <w:rStyle w:val="Hyperlink"/>
          </w:rPr>
          <w:t>online form</w:t>
        </w:r>
      </w:hyperlink>
      <w:r w:rsidR="00DD29BD">
        <w:rPr>
          <w:rFonts w:asciiTheme="majorBidi" w:hAnsiTheme="majorBidi" w:cstheme="majorBidi"/>
        </w:rPr>
        <w:t xml:space="preserve"> </w:t>
      </w:r>
      <w:r w:rsidR="00DD29BD">
        <w:rPr>
          <w:rFonts w:asciiTheme="majorBidi" w:hAnsiTheme="majorBidi" w:cstheme="majorBidi"/>
          <w:b/>
        </w:rPr>
        <w:t>by 10 March 2023 at the latest</w:t>
      </w:r>
      <w:r w:rsidR="00CF6735">
        <w:rPr>
          <w:rStyle w:val="FootnoteReference"/>
          <w:rFonts w:cstheme="majorBidi"/>
          <w:b/>
        </w:rPr>
        <w:footnoteReference w:id="2"/>
      </w:r>
      <w:r w:rsidR="00DD29BD">
        <w:rPr>
          <w:rFonts w:asciiTheme="majorBidi" w:hAnsiTheme="majorBidi" w:cstheme="majorBidi"/>
        </w:rPr>
        <w:t>;</w:t>
      </w:r>
    </w:p>
    <w:p w14:paraId="4F8FB669" w14:textId="5D3E4A7D" w:rsidR="008F22ED" w:rsidRDefault="008F22ED" w:rsidP="008F22ED">
      <w:pPr>
        <w:pStyle w:val="SingleTxtG"/>
        <w:spacing w:before="120"/>
        <w:rPr>
          <w:rFonts w:asciiTheme="majorBidi" w:hAnsiTheme="majorBidi" w:cstheme="majorBidi"/>
        </w:rPr>
      </w:pPr>
      <w:r>
        <w:rPr>
          <w:rFonts w:asciiTheme="majorBidi" w:hAnsiTheme="majorBidi" w:cstheme="majorBidi"/>
        </w:rPr>
        <w:tab/>
      </w:r>
      <w:r>
        <w:rPr>
          <w:rFonts w:asciiTheme="majorBidi" w:hAnsiTheme="majorBidi" w:cstheme="majorBidi"/>
        </w:rPr>
        <w:tab/>
        <w:t>(</w:t>
      </w:r>
      <w:r w:rsidR="008B00E5">
        <w:rPr>
          <w:rFonts w:asciiTheme="majorBidi" w:hAnsiTheme="majorBidi" w:cstheme="majorBidi"/>
        </w:rPr>
        <w:t>h</w:t>
      </w:r>
      <w:r>
        <w:rPr>
          <w:rFonts w:asciiTheme="majorBidi" w:hAnsiTheme="majorBidi" w:cstheme="majorBidi"/>
        </w:rPr>
        <w:t>)</w:t>
      </w:r>
      <w:r>
        <w:rPr>
          <w:rFonts w:asciiTheme="majorBidi" w:hAnsiTheme="majorBidi" w:cstheme="majorBidi"/>
        </w:rPr>
        <w:tab/>
        <w:t>The reading of the report (</w:t>
      </w:r>
      <w:r>
        <w:t>item</w:t>
      </w:r>
      <w:r>
        <w:rPr>
          <w:rFonts w:asciiTheme="majorBidi" w:hAnsiTheme="majorBidi" w:cstheme="majorBidi"/>
        </w:rPr>
        <w:t xml:space="preserve"> 1</w:t>
      </w:r>
      <w:r w:rsidR="007F3AF9">
        <w:rPr>
          <w:rFonts w:asciiTheme="majorBidi" w:hAnsiTheme="majorBidi" w:cstheme="majorBidi"/>
        </w:rPr>
        <w:t>0</w:t>
      </w:r>
      <w:r>
        <w:rPr>
          <w:rFonts w:asciiTheme="majorBidi" w:hAnsiTheme="majorBidi" w:cstheme="majorBidi"/>
        </w:rPr>
        <w:t>) is scheduled for Friday morning (</w:t>
      </w:r>
      <w:r w:rsidR="008179EC">
        <w:rPr>
          <w:rFonts w:asciiTheme="majorBidi" w:hAnsiTheme="majorBidi" w:cstheme="majorBidi"/>
        </w:rPr>
        <w:t xml:space="preserve">24 </w:t>
      </w:r>
      <w:r w:rsidR="00403A83">
        <w:rPr>
          <w:rFonts w:asciiTheme="majorBidi" w:hAnsiTheme="majorBidi" w:cstheme="majorBidi"/>
        </w:rPr>
        <w:t>M</w:t>
      </w:r>
      <w:r w:rsidR="008179EC">
        <w:rPr>
          <w:rFonts w:asciiTheme="majorBidi" w:hAnsiTheme="majorBidi" w:cstheme="majorBidi"/>
        </w:rPr>
        <w:t>arch 2023</w:t>
      </w:r>
      <w:r>
        <w:rPr>
          <w:rFonts w:asciiTheme="majorBidi" w:hAnsiTheme="majorBidi" w:cstheme="majorBidi"/>
        </w:rPr>
        <w:t xml:space="preserve">) </w:t>
      </w:r>
      <w:r w:rsidRPr="00C0510A">
        <w:rPr>
          <w:rFonts w:asciiTheme="majorBidi" w:hAnsiTheme="majorBidi" w:cstheme="majorBidi"/>
        </w:rPr>
        <w:t xml:space="preserve">without </w:t>
      </w:r>
      <w:r w:rsidRPr="00C0510A">
        <w:t>interpretation</w:t>
      </w:r>
      <w:r>
        <w:t>.</w:t>
      </w:r>
    </w:p>
    <w:p w14:paraId="5755B4E2" w14:textId="77777777" w:rsidR="008F22ED" w:rsidRPr="000D0B23" w:rsidRDefault="008F22ED" w:rsidP="008F22ED">
      <w:pPr>
        <w:pStyle w:val="HChG"/>
        <w:rPr>
          <w:sz w:val="24"/>
          <w:szCs w:val="24"/>
        </w:rPr>
      </w:pPr>
      <w:r w:rsidRPr="000D0B23">
        <w:rPr>
          <w:sz w:val="24"/>
          <w:szCs w:val="24"/>
        </w:rPr>
        <w:tab/>
        <w:t>2.</w:t>
      </w:r>
      <w:r w:rsidRPr="000D0B23">
        <w:rPr>
          <w:sz w:val="24"/>
          <w:szCs w:val="24"/>
        </w:rPr>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62A20" w:rsidRPr="005A7575" w14:paraId="2DEB6D4D" w14:textId="77777777" w:rsidTr="001461BB">
        <w:tc>
          <w:tcPr>
            <w:tcW w:w="3654" w:type="dxa"/>
          </w:tcPr>
          <w:p w14:paraId="4554FC1D" w14:textId="6178CF0E" w:rsidR="00862A20" w:rsidRPr="00FB47C1" w:rsidRDefault="00862A20" w:rsidP="00862A20">
            <w:pPr>
              <w:spacing w:after="60"/>
              <w:ind w:right="175"/>
            </w:pPr>
            <w:r>
              <w:t>ECE/TRANS/WP.15/AC.1/2023/3 (OTIF</w:t>
            </w:r>
            <w:r w:rsidR="00AE5FAA">
              <w:t> secretariat</w:t>
            </w:r>
            <w:r>
              <w:t>)</w:t>
            </w:r>
          </w:p>
        </w:tc>
        <w:tc>
          <w:tcPr>
            <w:tcW w:w="4851" w:type="dxa"/>
            <w:shd w:val="clear" w:color="auto" w:fill="auto"/>
          </w:tcPr>
          <w:p w14:paraId="6858B382" w14:textId="42970C77" w:rsidR="00862A20" w:rsidRPr="00FB47C1" w:rsidRDefault="00862A20" w:rsidP="00862A20">
            <w:r>
              <w:t>Rationalized approach for assignment of tank codes to groups of substances in 4.3.4.1.2</w:t>
            </w:r>
          </w:p>
        </w:tc>
      </w:tr>
      <w:tr w:rsidR="00862A20" w:rsidRPr="005A7575" w14:paraId="045F3BA0" w14:textId="77777777" w:rsidTr="001461BB">
        <w:tc>
          <w:tcPr>
            <w:tcW w:w="3654" w:type="dxa"/>
          </w:tcPr>
          <w:p w14:paraId="4E6E10AE" w14:textId="6FD6F3A6" w:rsidR="00862A20" w:rsidRPr="00FB47C1" w:rsidRDefault="00862A20" w:rsidP="00862A20">
            <w:pPr>
              <w:spacing w:after="60"/>
              <w:ind w:right="175"/>
            </w:pPr>
            <w:r w:rsidRPr="00FB47C1">
              <w:t>ECE/TRANS/WP.15/AC.1/2023/16 (Poland)</w:t>
            </w:r>
          </w:p>
        </w:tc>
        <w:tc>
          <w:tcPr>
            <w:tcW w:w="4851" w:type="dxa"/>
            <w:shd w:val="clear" w:color="auto" w:fill="auto"/>
          </w:tcPr>
          <w:p w14:paraId="6F82B4CE" w14:textId="244E2051" w:rsidR="00862A20" w:rsidRPr="00FB47C1" w:rsidRDefault="00862A20" w:rsidP="00862A20">
            <w:r w:rsidRPr="00FB47C1">
              <w:t>Modification of the definitions of "FRP tank" and "FRP shell" in chapter 6.9 of RID/ADR 2023</w:t>
            </w:r>
          </w:p>
        </w:tc>
      </w:tr>
    </w:tbl>
    <w:p w14:paraId="07DDD17A" w14:textId="77777777" w:rsidR="008F22ED" w:rsidRPr="000D0B23" w:rsidRDefault="008F22ED" w:rsidP="008F22ED">
      <w:pPr>
        <w:pStyle w:val="HChG"/>
        <w:rPr>
          <w:sz w:val="24"/>
          <w:szCs w:val="24"/>
        </w:rPr>
      </w:pPr>
      <w:r w:rsidRPr="000D0B23">
        <w:rPr>
          <w:sz w:val="24"/>
          <w:szCs w:val="24"/>
        </w:rPr>
        <w:tab/>
        <w:t>3.</w:t>
      </w:r>
      <w:r w:rsidRPr="000D0B23">
        <w:rPr>
          <w:sz w:val="24"/>
          <w:szCs w:val="24"/>
        </w:rPr>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86"/>
        <w:gridCol w:w="4819"/>
      </w:tblGrid>
      <w:tr w:rsidR="00C22975" w:rsidRPr="005A7575" w14:paraId="2024E4F5" w14:textId="77777777" w:rsidTr="00884B50">
        <w:tc>
          <w:tcPr>
            <w:tcW w:w="3686" w:type="dxa"/>
          </w:tcPr>
          <w:p w14:paraId="1EB36660" w14:textId="491B98C7" w:rsidR="00C22975" w:rsidRPr="005A7575" w:rsidRDefault="00732A06" w:rsidP="00C22975">
            <w:pPr>
              <w:pStyle w:val="SingleTxtG"/>
              <w:spacing w:after="60"/>
              <w:ind w:left="0" w:right="175"/>
              <w:jc w:val="left"/>
            </w:pPr>
            <w:r>
              <w:t>ECE/TRANS/WP.15/AC.1/202</w:t>
            </w:r>
            <w:r w:rsidR="00C400BB">
              <w:t>3</w:t>
            </w:r>
            <w:r>
              <w:t>/12 (CEN)</w:t>
            </w:r>
          </w:p>
        </w:tc>
        <w:tc>
          <w:tcPr>
            <w:tcW w:w="4819" w:type="dxa"/>
          </w:tcPr>
          <w:p w14:paraId="636B22DA" w14:textId="17EDE8D3" w:rsidR="00C22975" w:rsidRPr="005A7575" w:rsidRDefault="00732A06" w:rsidP="00C22975">
            <w:pPr>
              <w:pStyle w:val="SingleTxtG"/>
              <w:spacing w:after="60"/>
              <w:ind w:left="0" w:right="175"/>
            </w:pPr>
            <w:r w:rsidRPr="00104A1E">
              <w:t xml:space="preserve">Information on </w:t>
            </w:r>
            <w:r>
              <w:t xml:space="preserve">the </w:t>
            </w:r>
            <w:r w:rsidRPr="00104A1E">
              <w:t>work of the Working Group on Standards</w:t>
            </w:r>
          </w:p>
        </w:tc>
      </w:tr>
    </w:tbl>
    <w:p w14:paraId="7D25359C" w14:textId="12E08E41" w:rsidR="008F22ED" w:rsidRPr="000D0B23" w:rsidRDefault="008F22ED" w:rsidP="008F22ED">
      <w:pPr>
        <w:pStyle w:val="HChG"/>
        <w:rPr>
          <w:sz w:val="24"/>
          <w:szCs w:val="24"/>
        </w:rPr>
      </w:pPr>
      <w:r w:rsidRPr="000D0B23">
        <w:rPr>
          <w:sz w:val="24"/>
          <w:szCs w:val="24"/>
        </w:rPr>
        <w:tab/>
        <w:t>4.</w:t>
      </w:r>
      <w:r w:rsidRPr="000D0B23">
        <w:rPr>
          <w:sz w:val="24"/>
          <w:szCs w:val="24"/>
        </w:rPr>
        <w:tab/>
      </w:r>
      <w:r w:rsidR="0014703C" w:rsidRPr="000D0B23">
        <w:rPr>
          <w:sz w:val="24"/>
          <w:szCs w:val="24"/>
        </w:rPr>
        <w:t>Interpretation of RID/ADR/ADN</w:t>
      </w:r>
    </w:p>
    <w:p w14:paraId="274875D2" w14:textId="77777777" w:rsidR="002E7827" w:rsidRPr="004A74EC" w:rsidRDefault="002E7827" w:rsidP="002E7827">
      <w:pPr>
        <w:ind w:left="1134" w:right="1134"/>
      </w:pPr>
      <w:r w:rsidRPr="004A74EC">
        <w:t>No document has been submitted under this agenda item.</w:t>
      </w:r>
    </w:p>
    <w:p w14:paraId="1D307401" w14:textId="77777777" w:rsidR="008F22ED" w:rsidRPr="000D0B23" w:rsidRDefault="008F22ED" w:rsidP="008F22ED">
      <w:pPr>
        <w:pStyle w:val="HChG"/>
        <w:rPr>
          <w:sz w:val="24"/>
          <w:szCs w:val="24"/>
        </w:rPr>
      </w:pPr>
      <w:r w:rsidRPr="000D0B23">
        <w:rPr>
          <w:sz w:val="24"/>
          <w:szCs w:val="24"/>
        </w:rPr>
        <w:tab/>
        <w:t>5.</w:t>
      </w:r>
      <w:r w:rsidRPr="000D0B23">
        <w:rPr>
          <w:sz w:val="24"/>
          <w:szCs w:val="24"/>
        </w:rPr>
        <w:tab/>
        <w:t>Proposals for amendments to RID/ADR/ADN</w:t>
      </w:r>
    </w:p>
    <w:p w14:paraId="66DF1477" w14:textId="77777777" w:rsidR="008F22ED" w:rsidRDefault="008F22ED" w:rsidP="008F22ED">
      <w:pPr>
        <w:pStyle w:val="H1G"/>
      </w:pPr>
      <w:r>
        <w:tab/>
        <w:t>(a)</w:t>
      </w:r>
      <w:r>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4A4834" w:rsidRPr="005A7575" w14:paraId="2D7C44F9" w14:textId="77777777" w:rsidTr="00884B50">
        <w:tc>
          <w:tcPr>
            <w:tcW w:w="3654" w:type="dxa"/>
          </w:tcPr>
          <w:p w14:paraId="28CDA8B8" w14:textId="767C8C35" w:rsidR="004A4834" w:rsidRPr="005A7575" w:rsidRDefault="002A1665" w:rsidP="00884B50">
            <w:pPr>
              <w:pStyle w:val="SingleTxtG"/>
              <w:spacing w:after="60"/>
              <w:ind w:left="0" w:right="175"/>
              <w:jc w:val="left"/>
            </w:pPr>
            <w:r>
              <w:t>ECE/TRANS/WP.15/AC.1/2023/</w:t>
            </w:r>
            <w:r w:rsidR="00760080">
              <w:t>1</w:t>
            </w:r>
            <w:r>
              <w:t xml:space="preserve"> (</w:t>
            </w:r>
            <w:r w:rsidR="00760080">
              <w:t>Secretariat</w:t>
            </w:r>
            <w:r>
              <w:t>)</w:t>
            </w:r>
          </w:p>
        </w:tc>
        <w:tc>
          <w:tcPr>
            <w:tcW w:w="4851" w:type="dxa"/>
          </w:tcPr>
          <w:p w14:paraId="74CE6818" w14:textId="46440463" w:rsidR="004A4834" w:rsidRPr="005A7575" w:rsidRDefault="009D13FA" w:rsidP="00884B50">
            <w:pPr>
              <w:pStyle w:val="SingleTxtG"/>
              <w:spacing w:after="60"/>
              <w:ind w:left="0" w:right="1132"/>
            </w:pPr>
            <w:r w:rsidRPr="00033D2B">
              <w:t>Special provisions 532 and 543 in RID/ADR/ADN</w:t>
            </w:r>
          </w:p>
        </w:tc>
      </w:tr>
      <w:tr w:rsidR="003603E4" w:rsidRPr="005A7575" w14:paraId="335D8307" w14:textId="77777777" w:rsidTr="00884B50">
        <w:tc>
          <w:tcPr>
            <w:tcW w:w="3654" w:type="dxa"/>
          </w:tcPr>
          <w:p w14:paraId="35C98B5F" w14:textId="4EAC21D1" w:rsidR="003603E4" w:rsidRDefault="003603E4" w:rsidP="003603E4">
            <w:pPr>
              <w:pStyle w:val="SingleTxtG"/>
              <w:spacing w:after="60"/>
              <w:ind w:left="0" w:right="175"/>
              <w:jc w:val="left"/>
            </w:pPr>
            <w:r>
              <w:t>ECE/TRANS/WP.15/AC.1/2023/4 (IASA)</w:t>
            </w:r>
          </w:p>
        </w:tc>
        <w:tc>
          <w:tcPr>
            <w:tcW w:w="4851" w:type="dxa"/>
          </w:tcPr>
          <w:p w14:paraId="0FF489F7" w14:textId="3C9A2F22" w:rsidR="003603E4" w:rsidRPr="00033D2B" w:rsidRDefault="003603E4" w:rsidP="003603E4">
            <w:pPr>
              <w:pStyle w:val="SingleTxtG"/>
              <w:spacing w:after="60"/>
              <w:ind w:left="0" w:right="1132"/>
            </w:pPr>
            <w:r w:rsidRPr="00A65C0D">
              <w:t>Amendment to existing special provision 668</w:t>
            </w:r>
          </w:p>
        </w:tc>
      </w:tr>
      <w:tr w:rsidR="003603E4" w:rsidRPr="005A7575" w14:paraId="11E772C4" w14:textId="77777777" w:rsidTr="00884B50">
        <w:tc>
          <w:tcPr>
            <w:tcW w:w="3654" w:type="dxa"/>
          </w:tcPr>
          <w:p w14:paraId="79306F58" w14:textId="41C7A0E8" w:rsidR="003603E4" w:rsidRDefault="003603E4" w:rsidP="003603E4">
            <w:pPr>
              <w:pStyle w:val="SingleTxtG"/>
              <w:spacing w:after="60"/>
              <w:ind w:left="0" w:right="175"/>
              <w:jc w:val="left"/>
            </w:pPr>
            <w:r>
              <w:t>ECE/TRANS/WP.15/AC.1/2023/22 (COSTHA)</w:t>
            </w:r>
          </w:p>
        </w:tc>
        <w:tc>
          <w:tcPr>
            <w:tcW w:w="4851" w:type="dxa"/>
          </w:tcPr>
          <w:p w14:paraId="522C8B43" w14:textId="60B4ADE7" w:rsidR="003603E4" w:rsidRPr="003E468A" w:rsidRDefault="003603E4" w:rsidP="003603E4">
            <w:pPr>
              <w:pStyle w:val="SingleTxtG"/>
              <w:spacing w:after="60"/>
              <w:ind w:left="0" w:right="1132"/>
              <w:rPr>
                <w:lang w:val="en-CA"/>
              </w:rPr>
            </w:pPr>
            <w:r w:rsidRPr="003E468A">
              <w:rPr>
                <w:lang w:val="en-CA"/>
              </w:rPr>
              <w:t>Online grocery delivery services</w:t>
            </w:r>
          </w:p>
        </w:tc>
      </w:tr>
    </w:tbl>
    <w:p w14:paraId="018E57D3" w14:textId="77777777" w:rsidR="008F22ED" w:rsidRDefault="008F22ED" w:rsidP="008F22ED">
      <w:pPr>
        <w:pStyle w:val="H1G"/>
      </w:pPr>
      <w:r>
        <w:tab/>
        <w:t>(b)</w:t>
      </w:r>
      <w:r>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D25EEB" w:rsidRPr="005A7575" w14:paraId="4844C134" w14:textId="77777777" w:rsidTr="00884B50">
        <w:tc>
          <w:tcPr>
            <w:tcW w:w="3654" w:type="dxa"/>
          </w:tcPr>
          <w:p w14:paraId="23CE2BB4" w14:textId="5A68C263" w:rsidR="00D25EEB" w:rsidRPr="005A7575" w:rsidRDefault="009E1B24" w:rsidP="00884B50">
            <w:pPr>
              <w:pStyle w:val="SingleTxtG"/>
              <w:spacing w:after="60"/>
              <w:ind w:left="0" w:right="175"/>
              <w:jc w:val="left"/>
            </w:pPr>
            <w:r>
              <w:t>ECE/TRANS/WP.15/AC.1/202</w:t>
            </w:r>
            <w:r w:rsidR="005114AE">
              <w:t>3</w:t>
            </w:r>
            <w:r>
              <w:t>/2 (Germany)</w:t>
            </w:r>
          </w:p>
        </w:tc>
        <w:tc>
          <w:tcPr>
            <w:tcW w:w="4851" w:type="dxa"/>
          </w:tcPr>
          <w:p w14:paraId="376F6A10" w14:textId="4BBE16C0" w:rsidR="00D25EEB" w:rsidRPr="00B437C2" w:rsidRDefault="00C267E6" w:rsidP="00884B50">
            <w:pPr>
              <w:pStyle w:val="SingleTxtG"/>
              <w:spacing w:after="60"/>
              <w:ind w:left="0" w:right="175"/>
            </w:pPr>
            <w:r>
              <w:t>RID/ADR Table A: UN 3550, missing code for mixed packing in column (9b)</w:t>
            </w:r>
          </w:p>
        </w:tc>
      </w:tr>
      <w:tr w:rsidR="00A3239E" w:rsidRPr="005A7575" w14:paraId="7B4EB9ED" w14:textId="77777777" w:rsidTr="00884B50">
        <w:tc>
          <w:tcPr>
            <w:tcW w:w="3654" w:type="dxa"/>
          </w:tcPr>
          <w:p w14:paraId="6CA70E2E" w14:textId="7BC1F832" w:rsidR="00A3239E" w:rsidRDefault="00A3239E" w:rsidP="00884B50">
            <w:pPr>
              <w:pStyle w:val="SingleTxtG"/>
              <w:spacing w:after="60"/>
              <w:ind w:left="0" w:right="175"/>
            </w:pPr>
            <w:r>
              <w:t>ECE/TRANS/WP.15/AC.1/2023/5 (IASA)</w:t>
            </w:r>
          </w:p>
        </w:tc>
        <w:tc>
          <w:tcPr>
            <w:tcW w:w="4851" w:type="dxa"/>
          </w:tcPr>
          <w:p w14:paraId="5FD7F7EA" w14:textId="163FA4D9" w:rsidR="00A3239E" w:rsidRPr="00A65C0D" w:rsidRDefault="00A3239E" w:rsidP="00884B50">
            <w:pPr>
              <w:pStyle w:val="SingleTxtG"/>
              <w:spacing w:after="60"/>
              <w:ind w:left="0" w:right="175"/>
            </w:pPr>
            <w:r>
              <w:t>Indication of year stated on instructions in writing</w:t>
            </w:r>
          </w:p>
        </w:tc>
      </w:tr>
      <w:tr w:rsidR="003E5A79" w:rsidRPr="005A7575" w14:paraId="4F70CDB0" w14:textId="77777777" w:rsidTr="00884B50">
        <w:tc>
          <w:tcPr>
            <w:tcW w:w="3654" w:type="dxa"/>
          </w:tcPr>
          <w:p w14:paraId="6672658F" w14:textId="4DE73745" w:rsidR="003E5A79" w:rsidRDefault="003E5A79" w:rsidP="00884B50">
            <w:pPr>
              <w:pStyle w:val="SingleTxtG"/>
              <w:spacing w:after="60"/>
              <w:ind w:left="0" w:right="175"/>
            </w:pPr>
            <w:r>
              <w:t>ECE/TRANS/WP.15/AC.1/2023/6 (IASA)</w:t>
            </w:r>
          </w:p>
        </w:tc>
        <w:tc>
          <w:tcPr>
            <w:tcW w:w="4851" w:type="dxa"/>
          </w:tcPr>
          <w:p w14:paraId="4DAF0C1F" w14:textId="358FBD44" w:rsidR="003E5A79" w:rsidRDefault="003E5A79" w:rsidP="00884B50">
            <w:pPr>
              <w:pStyle w:val="SingleTxtG"/>
              <w:spacing w:after="60"/>
              <w:ind w:left="0" w:right="175"/>
            </w:pPr>
            <w:r w:rsidRPr="00453DC1">
              <w:rPr>
                <w:lang w:val="en-US"/>
              </w:rPr>
              <w:t xml:space="preserve">Language requirements </w:t>
            </w:r>
            <w:r>
              <w:rPr>
                <w:lang w:val="en-US"/>
              </w:rPr>
              <w:t>for the</w:t>
            </w:r>
            <w:r w:rsidRPr="00453DC1">
              <w:rPr>
                <w:lang w:val="en-US"/>
              </w:rPr>
              <w:t xml:space="preserve"> transport document according to ADR/ADN</w:t>
            </w:r>
          </w:p>
        </w:tc>
      </w:tr>
      <w:tr w:rsidR="00BC212A" w:rsidRPr="005A7575" w14:paraId="186DF9EC" w14:textId="77777777" w:rsidTr="00884B50">
        <w:tc>
          <w:tcPr>
            <w:tcW w:w="3654" w:type="dxa"/>
          </w:tcPr>
          <w:p w14:paraId="13E09614" w14:textId="664F0592" w:rsidR="00BC212A" w:rsidRDefault="00BC212A" w:rsidP="00884B50">
            <w:pPr>
              <w:pStyle w:val="SingleTxtG"/>
              <w:spacing w:after="60"/>
              <w:ind w:left="0" w:right="175"/>
            </w:pPr>
            <w:r>
              <w:t>ECE/TRANS/WP.15/AC.1/2023/7 (IASA)</w:t>
            </w:r>
          </w:p>
        </w:tc>
        <w:tc>
          <w:tcPr>
            <w:tcW w:w="4851" w:type="dxa"/>
          </w:tcPr>
          <w:p w14:paraId="29EA3131" w14:textId="4E199366" w:rsidR="00BC212A" w:rsidRPr="00453DC1" w:rsidRDefault="00BC212A" w:rsidP="00884B50">
            <w:pPr>
              <w:pStyle w:val="SingleTxtG"/>
              <w:spacing w:after="60"/>
              <w:ind w:left="0" w:right="175"/>
              <w:rPr>
                <w:lang w:val="en-US"/>
              </w:rPr>
            </w:pPr>
            <w:r w:rsidRPr="00E60A95">
              <w:t xml:space="preserve">Harmonising the definitions of </w:t>
            </w:r>
            <w:r>
              <w:t>“</w:t>
            </w:r>
            <w:r w:rsidRPr="00E60A95">
              <w:t xml:space="preserve">closed wagon”, </w:t>
            </w:r>
            <w:r>
              <w:t>“</w:t>
            </w:r>
            <w:r w:rsidRPr="00E60A95">
              <w:t xml:space="preserve">closed vehicle” and </w:t>
            </w:r>
            <w:r>
              <w:t>“</w:t>
            </w:r>
            <w:r w:rsidRPr="00E60A95">
              <w:t>closed container”</w:t>
            </w:r>
          </w:p>
        </w:tc>
      </w:tr>
      <w:tr w:rsidR="00EE4E9F" w:rsidRPr="005A7575" w14:paraId="1D61896C" w14:textId="77777777" w:rsidTr="00884B50">
        <w:tc>
          <w:tcPr>
            <w:tcW w:w="3654" w:type="dxa"/>
          </w:tcPr>
          <w:p w14:paraId="611EF7EF" w14:textId="3BB96962" w:rsidR="00EE4E9F" w:rsidRDefault="00EE4E9F" w:rsidP="00884B50">
            <w:pPr>
              <w:pStyle w:val="SingleTxtG"/>
              <w:spacing w:after="60"/>
              <w:ind w:left="0" w:right="175"/>
            </w:pPr>
            <w:r>
              <w:t>ECE/TRANS/WP.15/AC.1/2023/8 (IASA)</w:t>
            </w:r>
          </w:p>
        </w:tc>
        <w:tc>
          <w:tcPr>
            <w:tcW w:w="4851" w:type="dxa"/>
          </w:tcPr>
          <w:p w14:paraId="7C1A70AD" w14:textId="41E1AF5A" w:rsidR="00EE4E9F" w:rsidRPr="00E60A95" w:rsidRDefault="00EE4E9F" w:rsidP="00884B50">
            <w:pPr>
              <w:pStyle w:val="SingleTxtG"/>
              <w:spacing w:after="60"/>
              <w:ind w:left="0" w:right="175"/>
            </w:pPr>
            <w:r>
              <w:t>Dangerous goods safety adviser for the carriage of certain types of dangerous goods – RID/ADR 1.8.3.13</w:t>
            </w:r>
          </w:p>
        </w:tc>
      </w:tr>
      <w:tr w:rsidR="00F265AA" w:rsidRPr="005A7575" w14:paraId="39492EEB" w14:textId="77777777" w:rsidTr="00884B50">
        <w:tc>
          <w:tcPr>
            <w:tcW w:w="3654" w:type="dxa"/>
          </w:tcPr>
          <w:p w14:paraId="59043AF9" w14:textId="21EB7360" w:rsidR="00F265AA" w:rsidRDefault="00F265AA" w:rsidP="00884B50">
            <w:pPr>
              <w:pStyle w:val="SingleTxtG"/>
              <w:spacing w:after="60"/>
              <w:ind w:left="0" w:right="175"/>
            </w:pPr>
            <w:r>
              <w:t>ECE/TRANS/WP.15/AC.1/2023/9 (OTIF</w:t>
            </w:r>
            <w:r w:rsidR="00B40AD4">
              <w:t xml:space="preserve"> and</w:t>
            </w:r>
            <w:r>
              <w:t xml:space="preserve"> CCNR</w:t>
            </w:r>
            <w:r w:rsidR="00B40AD4">
              <w:t xml:space="preserve"> secretariats</w:t>
            </w:r>
            <w:r>
              <w:t>)</w:t>
            </w:r>
          </w:p>
        </w:tc>
        <w:tc>
          <w:tcPr>
            <w:tcW w:w="4851" w:type="dxa"/>
          </w:tcPr>
          <w:p w14:paraId="125746F0" w14:textId="4799BD05" w:rsidR="00F265AA" w:rsidRDefault="00F265AA" w:rsidP="00884B50">
            <w:pPr>
              <w:pStyle w:val="SingleTxtG"/>
              <w:spacing w:after="60"/>
              <w:ind w:left="0" w:right="175"/>
            </w:pPr>
            <w:r>
              <w:t>Alignment of 1.4.2.1.1 (e) in the various language versions of RID, ADR and ADN</w:t>
            </w:r>
          </w:p>
        </w:tc>
      </w:tr>
      <w:tr w:rsidR="005B4BCB" w:rsidRPr="005A7575" w14:paraId="03B8C9D6" w14:textId="77777777" w:rsidTr="00884B50">
        <w:tc>
          <w:tcPr>
            <w:tcW w:w="3654" w:type="dxa"/>
          </w:tcPr>
          <w:p w14:paraId="3381DD9B" w14:textId="0D3E5158" w:rsidR="005B4BCB" w:rsidRDefault="005B4BCB" w:rsidP="00884B50">
            <w:pPr>
              <w:pStyle w:val="SingleTxtG"/>
              <w:spacing w:after="60"/>
              <w:ind w:left="0" w:right="175"/>
            </w:pPr>
            <w:r>
              <w:t>ECE/TRANS/WP.15/AC.1/2023/10 (Germany)</w:t>
            </w:r>
          </w:p>
        </w:tc>
        <w:tc>
          <w:tcPr>
            <w:tcW w:w="4851" w:type="dxa"/>
          </w:tcPr>
          <w:p w14:paraId="181F4C24" w14:textId="6323D887" w:rsidR="005B4BCB" w:rsidRDefault="005B4BCB" w:rsidP="00884B50">
            <w:pPr>
              <w:pStyle w:val="SingleTxtG"/>
              <w:spacing w:after="60"/>
              <w:ind w:left="0" w:right="175"/>
            </w:pPr>
            <w:r w:rsidRPr="008D0719">
              <w:t>RID/ADR 6.2.3 – Requirements to be met by pressure-activated pressure relief devices for non-UN pressure receptacles</w:t>
            </w:r>
          </w:p>
        </w:tc>
      </w:tr>
      <w:tr w:rsidR="001066A0" w:rsidRPr="005A7575" w14:paraId="3D43B93F" w14:textId="77777777" w:rsidTr="00884B50">
        <w:tc>
          <w:tcPr>
            <w:tcW w:w="3654" w:type="dxa"/>
          </w:tcPr>
          <w:p w14:paraId="4E6E7DDE" w14:textId="242A315B" w:rsidR="001066A0" w:rsidRDefault="001066A0" w:rsidP="00884B50">
            <w:pPr>
              <w:pStyle w:val="SingleTxtG"/>
              <w:spacing w:after="60"/>
              <w:ind w:left="0" w:right="175"/>
            </w:pPr>
            <w:r>
              <w:t>ECE/TRANS/WP.15/AC.1/2023/11 (Germany)</w:t>
            </w:r>
          </w:p>
        </w:tc>
        <w:tc>
          <w:tcPr>
            <w:tcW w:w="4851" w:type="dxa"/>
          </w:tcPr>
          <w:p w14:paraId="7FDF86CF" w14:textId="6A267E13" w:rsidR="001066A0" w:rsidRPr="008D0719" w:rsidRDefault="001066A0" w:rsidP="00884B50">
            <w:pPr>
              <w:pStyle w:val="SingleTxtG"/>
              <w:spacing w:after="60"/>
              <w:ind w:left="0" w:right="175"/>
            </w:pPr>
            <w:r>
              <w:t>Amendment of packing instruction P 200 in 4.1.4.1: Prohibition of pressure relief devices for non-UN acetylene cylinders</w:t>
            </w:r>
          </w:p>
        </w:tc>
      </w:tr>
      <w:tr w:rsidR="008417A2" w:rsidRPr="005A7575" w14:paraId="038F7C12" w14:textId="77777777" w:rsidTr="00884B50">
        <w:tc>
          <w:tcPr>
            <w:tcW w:w="3654" w:type="dxa"/>
          </w:tcPr>
          <w:p w14:paraId="2AF2019E" w14:textId="78302230" w:rsidR="008417A2" w:rsidRDefault="008417A2" w:rsidP="00884B50">
            <w:pPr>
              <w:pStyle w:val="SingleTxtG"/>
              <w:spacing w:after="60"/>
              <w:ind w:left="0" w:right="175"/>
            </w:pPr>
            <w:r>
              <w:t>ECE/TRANS/WP.15/AC.1/2023/13 (Spain)</w:t>
            </w:r>
          </w:p>
        </w:tc>
        <w:tc>
          <w:tcPr>
            <w:tcW w:w="4851" w:type="dxa"/>
          </w:tcPr>
          <w:p w14:paraId="2134D9AD" w14:textId="32977730" w:rsidR="008417A2" w:rsidRDefault="008417A2" w:rsidP="00884B50">
            <w:pPr>
              <w:pStyle w:val="SingleTxtG"/>
              <w:spacing w:after="60"/>
              <w:ind w:left="0" w:right="175"/>
            </w:pPr>
            <w:r>
              <w:t>Mention of “-” and “ ” in column (15) of Table A</w:t>
            </w:r>
          </w:p>
        </w:tc>
      </w:tr>
      <w:tr w:rsidR="009065E5" w:rsidRPr="005A7575" w14:paraId="257EB88F" w14:textId="77777777" w:rsidTr="00884B50">
        <w:tc>
          <w:tcPr>
            <w:tcW w:w="3654" w:type="dxa"/>
          </w:tcPr>
          <w:p w14:paraId="7F7A5984" w14:textId="57CC891C" w:rsidR="009065E5" w:rsidRDefault="009065E5" w:rsidP="00884B50">
            <w:pPr>
              <w:pStyle w:val="SingleTxtG"/>
              <w:spacing w:after="60"/>
              <w:ind w:left="0" w:right="175"/>
            </w:pPr>
            <w:r>
              <w:t>ECE/TRANS/WP.15/AC.1/2023/15 (France)</w:t>
            </w:r>
          </w:p>
        </w:tc>
        <w:tc>
          <w:tcPr>
            <w:tcW w:w="4851" w:type="dxa"/>
          </w:tcPr>
          <w:p w14:paraId="13C91D88" w14:textId="097B0ABD" w:rsidR="009065E5" w:rsidRDefault="009065E5" w:rsidP="00884B50">
            <w:pPr>
              <w:pStyle w:val="SingleTxtG"/>
              <w:spacing w:after="60"/>
              <w:ind w:left="0" w:right="175"/>
            </w:pPr>
            <w:r w:rsidRPr="00B167A6">
              <w:rPr>
                <w:rStyle w:val="y2iqfc"/>
                <w:szCs w:val="28"/>
                <w:lang w:val="en"/>
              </w:rPr>
              <w:t>Indication of the requirements, concerning documentation, defined by the special provisions of chapter 3.3 in chapter 5.4</w:t>
            </w:r>
          </w:p>
        </w:tc>
      </w:tr>
      <w:tr w:rsidR="000C396D" w:rsidRPr="005A7575" w14:paraId="566CC552" w14:textId="77777777" w:rsidTr="00884B50">
        <w:tc>
          <w:tcPr>
            <w:tcW w:w="3654" w:type="dxa"/>
          </w:tcPr>
          <w:p w14:paraId="66B925CA" w14:textId="61C1AD05" w:rsidR="000C396D" w:rsidRDefault="00017FCB" w:rsidP="00884B50">
            <w:pPr>
              <w:pStyle w:val="SingleTxtG"/>
              <w:spacing w:after="60"/>
              <w:ind w:left="0" w:right="175"/>
            </w:pPr>
            <w:r>
              <w:t>ECE/TRANS/WP.15/AC.1/2023/18 (United Kingdom)</w:t>
            </w:r>
          </w:p>
        </w:tc>
        <w:tc>
          <w:tcPr>
            <w:tcW w:w="4851" w:type="dxa"/>
          </w:tcPr>
          <w:p w14:paraId="67EBA6D9" w14:textId="2ABD13F5" w:rsidR="000C396D" w:rsidRPr="00B167A6" w:rsidRDefault="00017FCB" w:rsidP="00884B50">
            <w:pPr>
              <w:pStyle w:val="SingleTxtG"/>
              <w:spacing w:after="60"/>
              <w:ind w:left="0" w:right="175"/>
              <w:rPr>
                <w:rStyle w:val="y2iqfc"/>
                <w:szCs w:val="28"/>
                <w:lang w:val="en"/>
              </w:rPr>
            </w:pPr>
            <w:r>
              <w:t>Use of intermediate bulk containers for higher concentrations of UN 2672 ammonia solution</w:t>
            </w:r>
          </w:p>
        </w:tc>
      </w:tr>
      <w:tr w:rsidR="00701123" w:rsidRPr="005A7575" w14:paraId="3428BFF8" w14:textId="77777777" w:rsidTr="00884B50">
        <w:tc>
          <w:tcPr>
            <w:tcW w:w="3654" w:type="dxa"/>
          </w:tcPr>
          <w:p w14:paraId="710F9798" w14:textId="5D12EDF2" w:rsidR="00701123" w:rsidRDefault="00B911A4" w:rsidP="00884B50">
            <w:pPr>
              <w:pStyle w:val="SingleTxtG"/>
              <w:spacing w:after="60"/>
              <w:ind w:left="0" w:right="175"/>
            </w:pPr>
            <w:r>
              <w:t>ECE/TRANS/WP.15/AC.1/2023/19 (FEAD)</w:t>
            </w:r>
          </w:p>
        </w:tc>
        <w:tc>
          <w:tcPr>
            <w:tcW w:w="4851" w:type="dxa"/>
          </w:tcPr>
          <w:p w14:paraId="7E378CFD" w14:textId="37DE1136" w:rsidR="00701123" w:rsidRDefault="00701123" w:rsidP="00884B50">
            <w:pPr>
              <w:pStyle w:val="SingleTxtG"/>
              <w:spacing w:after="60"/>
              <w:ind w:left="0" w:right="175"/>
            </w:pPr>
            <w:r>
              <w:t>Chemical compatibility for plastics packaging containing liquid waste</w:t>
            </w:r>
          </w:p>
        </w:tc>
      </w:tr>
      <w:tr w:rsidR="006638C4" w:rsidRPr="005A7575" w14:paraId="4CE818C0" w14:textId="77777777" w:rsidTr="00884B50">
        <w:tc>
          <w:tcPr>
            <w:tcW w:w="3654" w:type="dxa"/>
          </w:tcPr>
          <w:p w14:paraId="0B8B4FCE" w14:textId="7675C8E4" w:rsidR="006638C4" w:rsidRDefault="006638C4" w:rsidP="00884B50">
            <w:pPr>
              <w:pStyle w:val="SingleTxtG"/>
              <w:spacing w:after="60"/>
              <w:ind w:left="0" w:right="175"/>
            </w:pPr>
            <w:r>
              <w:t>ECE/TRANS/WP.15/AC.1/2023/20 (FEAD)</w:t>
            </w:r>
          </w:p>
        </w:tc>
        <w:tc>
          <w:tcPr>
            <w:tcW w:w="4851" w:type="dxa"/>
          </w:tcPr>
          <w:p w14:paraId="7A81495B" w14:textId="7F0A5EC7" w:rsidR="006638C4" w:rsidRDefault="006638C4" w:rsidP="00884B50">
            <w:pPr>
              <w:pStyle w:val="SingleTxtG"/>
              <w:spacing w:after="60"/>
              <w:ind w:left="0" w:right="175"/>
            </w:pPr>
            <w:r>
              <w:t>Transport of packaged waste in combined packaging</w:t>
            </w:r>
          </w:p>
        </w:tc>
      </w:tr>
      <w:tr w:rsidR="0032249D" w:rsidRPr="005A7575" w14:paraId="56EEF019" w14:textId="77777777" w:rsidTr="00884B50">
        <w:tc>
          <w:tcPr>
            <w:tcW w:w="3654" w:type="dxa"/>
          </w:tcPr>
          <w:p w14:paraId="1501147D" w14:textId="1F45B12F" w:rsidR="0032249D" w:rsidRDefault="00310429" w:rsidP="00884B50">
            <w:pPr>
              <w:pStyle w:val="SingleTxtG"/>
              <w:spacing w:after="60"/>
              <w:ind w:left="0" w:right="175"/>
            </w:pPr>
            <w:r>
              <w:t>ECE/TRANS/WP.15/AC.1/2023/21 (FEAD)</w:t>
            </w:r>
          </w:p>
        </w:tc>
        <w:tc>
          <w:tcPr>
            <w:tcW w:w="4851" w:type="dxa"/>
          </w:tcPr>
          <w:p w14:paraId="657BBC2D" w14:textId="0161A992" w:rsidR="0032249D" w:rsidRDefault="0032249D" w:rsidP="00884B50">
            <w:pPr>
              <w:pStyle w:val="SingleTxtG"/>
              <w:spacing w:after="60"/>
              <w:ind w:left="0" w:right="175"/>
            </w:pPr>
            <w:r>
              <w:t>Transport of dangerous goods as waste by private individuals</w:t>
            </w:r>
          </w:p>
        </w:tc>
      </w:tr>
    </w:tbl>
    <w:p w14:paraId="5A487C62" w14:textId="60B5F806" w:rsidR="008F22ED" w:rsidRPr="000D0B23" w:rsidRDefault="008F22ED" w:rsidP="008F22ED">
      <w:pPr>
        <w:pStyle w:val="HChG"/>
        <w:spacing w:before="240" w:after="120"/>
        <w:rPr>
          <w:sz w:val="24"/>
          <w:szCs w:val="24"/>
        </w:rPr>
      </w:pPr>
      <w:r w:rsidRPr="000D0B23">
        <w:rPr>
          <w:sz w:val="24"/>
          <w:szCs w:val="24"/>
        </w:rPr>
        <w:tab/>
        <w:t>6.</w:t>
      </w:r>
      <w:r w:rsidRPr="000D0B23">
        <w:rPr>
          <w:sz w:val="24"/>
          <w:szCs w:val="24"/>
        </w:rPr>
        <w:tab/>
      </w:r>
      <w:r w:rsidR="007A1F2F" w:rsidRPr="000D0B23">
        <w:rPr>
          <w:sz w:val="24"/>
          <w:szCs w:val="24"/>
        </w:rPr>
        <w:t>Report</w:t>
      </w:r>
      <w:r w:rsidR="007E1FB9" w:rsidRPr="000D0B23">
        <w:rPr>
          <w:sz w:val="24"/>
          <w:szCs w:val="24"/>
        </w:rPr>
        <w:t>s</w:t>
      </w:r>
      <w:r w:rsidR="007A1F2F" w:rsidRPr="000D0B23">
        <w:rPr>
          <w:sz w:val="24"/>
          <w:szCs w:val="24"/>
        </w:rPr>
        <w:t xml:space="preserve"> of informal working group</w:t>
      </w:r>
      <w:r w:rsidR="0087546F" w:rsidRPr="000D0B23">
        <w:rPr>
          <w:sz w:val="24"/>
          <w:szCs w:val="24"/>
        </w:rPr>
        <w:t>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3712F2" w:rsidRPr="005A7575" w14:paraId="62112DA4" w14:textId="77777777" w:rsidTr="00162E8C">
        <w:tc>
          <w:tcPr>
            <w:tcW w:w="3654" w:type="dxa"/>
          </w:tcPr>
          <w:p w14:paraId="5BB490EC" w14:textId="4CC67D23" w:rsidR="003712F2" w:rsidRDefault="003712F2" w:rsidP="00162E8C">
            <w:pPr>
              <w:pStyle w:val="SingleTxtG"/>
              <w:spacing w:after="60"/>
              <w:ind w:left="0" w:right="175"/>
            </w:pPr>
            <w:r>
              <w:t>ECE/TRANS/WP.15/AC.1/2023/</w:t>
            </w:r>
            <w:r w:rsidR="00473433">
              <w:t>14</w:t>
            </w:r>
            <w:r>
              <w:t xml:space="preserve"> (</w:t>
            </w:r>
            <w:r w:rsidR="00473433">
              <w:t>Germany</w:t>
            </w:r>
            <w:r>
              <w:t>)</w:t>
            </w:r>
          </w:p>
        </w:tc>
        <w:tc>
          <w:tcPr>
            <w:tcW w:w="4851" w:type="dxa"/>
          </w:tcPr>
          <w:p w14:paraId="39288208" w14:textId="79A2E1BD" w:rsidR="003712F2" w:rsidRDefault="00473433" w:rsidP="00162E8C">
            <w:pPr>
              <w:pStyle w:val="SingleTxtG"/>
              <w:spacing w:after="60"/>
              <w:ind w:left="0" w:right="175"/>
            </w:pPr>
            <w:r w:rsidRPr="0053247F">
              <w:t>Inclusion of provisions for the carriage of molten aluminium of UN No. 3257</w:t>
            </w:r>
          </w:p>
        </w:tc>
      </w:tr>
    </w:tbl>
    <w:p w14:paraId="14AAD1CC" w14:textId="3FF8E954" w:rsidR="008F22ED" w:rsidRPr="000D0B23" w:rsidRDefault="008F22ED" w:rsidP="008F22ED">
      <w:pPr>
        <w:pStyle w:val="HChG"/>
        <w:keepNext w:val="0"/>
        <w:keepLines w:val="0"/>
        <w:rPr>
          <w:sz w:val="24"/>
          <w:szCs w:val="24"/>
        </w:rPr>
      </w:pPr>
      <w:r w:rsidRPr="000D0B23">
        <w:rPr>
          <w:sz w:val="24"/>
          <w:szCs w:val="24"/>
        </w:rPr>
        <w:tab/>
        <w:t>7.</w:t>
      </w:r>
      <w:r w:rsidRPr="000D0B23">
        <w:rPr>
          <w:sz w:val="24"/>
          <w:szCs w:val="24"/>
        </w:rPr>
        <w:tab/>
      </w:r>
      <w:r w:rsidR="00863DE3" w:rsidRPr="000D0B23">
        <w:rPr>
          <w:sz w:val="24"/>
          <w:szCs w:val="24"/>
        </w:rPr>
        <w:t>Accidents and</w:t>
      </w:r>
      <w:r w:rsidR="00961F6D" w:rsidRPr="000D0B23">
        <w:rPr>
          <w:sz w:val="24"/>
          <w:szCs w:val="24"/>
        </w:rPr>
        <w:t xml:space="preserve"> risk management</w:t>
      </w:r>
    </w:p>
    <w:p w14:paraId="23C0A627" w14:textId="61FD8F95" w:rsidR="002E7827" w:rsidRPr="004A74EC" w:rsidRDefault="002E7827" w:rsidP="002E7827">
      <w:pPr>
        <w:ind w:left="1134" w:right="1134"/>
      </w:pPr>
      <w:r w:rsidRPr="004A74EC">
        <w:tab/>
        <w:t>No document has been submitted under this agenda item.</w:t>
      </w:r>
    </w:p>
    <w:p w14:paraId="3C7A1E9D" w14:textId="4B1C0B9D" w:rsidR="008F22ED" w:rsidRPr="000D0B23" w:rsidRDefault="008F22ED" w:rsidP="008F22ED">
      <w:pPr>
        <w:pStyle w:val="HChG"/>
        <w:rPr>
          <w:sz w:val="24"/>
          <w:szCs w:val="24"/>
        </w:rPr>
      </w:pPr>
      <w:r w:rsidRPr="000D0B23">
        <w:rPr>
          <w:sz w:val="24"/>
          <w:szCs w:val="24"/>
        </w:rPr>
        <w:tab/>
        <w:t>8.</w:t>
      </w:r>
      <w:r w:rsidRPr="000D0B23">
        <w:rPr>
          <w:sz w:val="24"/>
          <w:szCs w:val="24"/>
        </w:rPr>
        <w:tab/>
      </w:r>
      <w:r w:rsidR="00DF26C6" w:rsidRPr="000D0B23">
        <w:rPr>
          <w:sz w:val="24"/>
          <w:szCs w:val="24"/>
        </w:rPr>
        <w:t>Future work</w:t>
      </w:r>
    </w:p>
    <w:p w14:paraId="497A14F7" w14:textId="77777777" w:rsidR="00354C81" w:rsidRDefault="00354C81" w:rsidP="00354C81">
      <w:pPr>
        <w:pStyle w:val="SingleTxtG"/>
        <w:spacing w:before="120"/>
      </w:pPr>
      <w:r>
        <w:t>The Joint Meeting may wish to arrange for the organization of the agenda for the autumn 2023 session (Geneva, 19-29 September 2023).</w:t>
      </w:r>
    </w:p>
    <w:p w14:paraId="3A903626" w14:textId="77777777" w:rsidR="00354C81" w:rsidRPr="00354C81" w:rsidRDefault="00354C81" w:rsidP="00C0510A"/>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8F6B6C" w:rsidRPr="00B35610" w14:paraId="1CDD00CD" w14:textId="77777777" w:rsidTr="00162E8C">
        <w:tc>
          <w:tcPr>
            <w:tcW w:w="3654" w:type="dxa"/>
          </w:tcPr>
          <w:p w14:paraId="011AD814" w14:textId="47D47759" w:rsidR="008F6B6C" w:rsidRPr="00C0510A" w:rsidRDefault="008F6B6C" w:rsidP="008B2F63">
            <w:pPr>
              <w:pStyle w:val="SingleTxtG"/>
              <w:spacing w:after="60"/>
              <w:ind w:left="0" w:right="175"/>
              <w:jc w:val="left"/>
            </w:pPr>
            <w:r w:rsidRPr="00B35610">
              <w:t xml:space="preserve">ECE/TRANS/WP.15/AC.1/2023/17 </w:t>
            </w:r>
            <w:r w:rsidR="008B2F63">
              <w:t xml:space="preserve">and informal document INF.3 </w:t>
            </w:r>
            <w:r w:rsidRPr="00B35610">
              <w:t>(</w:t>
            </w:r>
            <w:r w:rsidR="00B679E4" w:rsidRPr="00CE6031">
              <w:t>S</w:t>
            </w:r>
            <w:r w:rsidR="00DC4C8A" w:rsidRPr="00354C81">
              <w:t>witzerland</w:t>
            </w:r>
            <w:r w:rsidRPr="00C0510A">
              <w:t>)</w:t>
            </w:r>
          </w:p>
        </w:tc>
        <w:tc>
          <w:tcPr>
            <w:tcW w:w="4851" w:type="dxa"/>
          </w:tcPr>
          <w:p w14:paraId="7DE031A2" w14:textId="7DFBB96E" w:rsidR="008F6B6C" w:rsidRPr="00B35610" w:rsidRDefault="00575A23" w:rsidP="00162E8C">
            <w:pPr>
              <w:pStyle w:val="SingleTxtG"/>
              <w:spacing w:after="60"/>
              <w:ind w:left="0" w:right="175"/>
            </w:pPr>
            <w:r w:rsidRPr="00B35610">
              <w:t>Refer</w:t>
            </w:r>
            <w:r w:rsidR="004649CF" w:rsidRPr="00B35610">
              <w:t>en</w:t>
            </w:r>
            <w:r w:rsidRPr="00B35610">
              <w:t>ce</w:t>
            </w:r>
            <w:r w:rsidR="004649CF" w:rsidRPr="00B35610">
              <w:t>s</w:t>
            </w:r>
            <w:r w:rsidRPr="00B35610">
              <w:t xml:space="preserve"> in RID/ADR/ADN </w:t>
            </w:r>
            <w:r w:rsidR="004649CF" w:rsidRPr="00B35610">
              <w:t>to</w:t>
            </w:r>
            <w:r w:rsidRPr="00B35610">
              <w:t xml:space="preserve"> "competent authority"</w:t>
            </w:r>
            <w:r w:rsidR="004649CF" w:rsidRPr="00B35610">
              <w:t xml:space="preserve"> : </w:t>
            </w:r>
            <w:r w:rsidR="00C05E84" w:rsidRPr="00B35610">
              <w:t>Propos</w:t>
            </w:r>
            <w:r w:rsidR="00DC4C8A" w:rsidRPr="00B35610">
              <w:t>ed</w:t>
            </w:r>
            <w:r w:rsidR="00C05E84" w:rsidRPr="00B35610">
              <w:t xml:space="preserve"> </w:t>
            </w:r>
            <w:r w:rsidR="00B35610" w:rsidRPr="00B35610">
              <w:t>mandate</w:t>
            </w:r>
            <w:r w:rsidR="00C05E84" w:rsidRPr="00B35610">
              <w:t xml:space="preserve"> </w:t>
            </w:r>
            <w:r w:rsidR="009320B4" w:rsidRPr="00B35610">
              <w:t xml:space="preserve">of an </w:t>
            </w:r>
            <w:r w:rsidR="00B35610" w:rsidRPr="00B35610">
              <w:t>informal</w:t>
            </w:r>
            <w:r w:rsidR="009320B4" w:rsidRPr="00B35610">
              <w:t xml:space="preserve"> working group</w:t>
            </w:r>
          </w:p>
        </w:tc>
      </w:tr>
    </w:tbl>
    <w:p w14:paraId="629E9D34" w14:textId="6FA90404" w:rsidR="008F22ED" w:rsidRPr="000D0B23" w:rsidRDefault="008F22ED" w:rsidP="008F22ED">
      <w:pPr>
        <w:pStyle w:val="HChG"/>
        <w:rPr>
          <w:sz w:val="24"/>
          <w:szCs w:val="24"/>
        </w:rPr>
      </w:pPr>
      <w:r w:rsidRPr="000D0B23">
        <w:rPr>
          <w:sz w:val="24"/>
          <w:szCs w:val="24"/>
        </w:rPr>
        <w:tab/>
        <w:t>9.</w:t>
      </w:r>
      <w:r w:rsidRPr="000D0B23">
        <w:rPr>
          <w:sz w:val="24"/>
          <w:szCs w:val="24"/>
        </w:rPr>
        <w:tab/>
      </w:r>
      <w:r w:rsidR="000D5AAA" w:rsidRPr="000D0B23">
        <w:rPr>
          <w:sz w:val="24"/>
          <w:szCs w:val="24"/>
        </w:rPr>
        <w:t>Any other business</w:t>
      </w:r>
    </w:p>
    <w:p w14:paraId="19B396A2" w14:textId="12668D0E" w:rsidR="002850BA" w:rsidRPr="002E329E" w:rsidRDefault="002850BA" w:rsidP="002D25AB">
      <w:pPr>
        <w:pStyle w:val="H1G"/>
        <w:rPr>
          <w:szCs w:val="24"/>
        </w:rPr>
      </w:pPr>
      <w:r w:rsidRPr="002E329E">
        <w:rPr>
          <w:szCs w:val="24"/>
        </w:rPr>
        <w:tab/>
        <w:t>(a)</w:t>
      </w:r>
      <w:r w:rsidRPr="002E329E">
        <w:rPr>
          <w:szCs w:val="24"/>
        </w:rPr>
        <w:tab/>
      </w:r>
      <w:r w:rsidR="00CD7574" w:rsidRPr="002E329E">
        <w:rPr>
          <w:szCs w:val="24"/>
        </w:rPr>
        <w:t>Guidelines for the use of 5.4.0.2 in RID/ADR/</w:t>
      </w:r>
      <w:r w:rsidR="00F55B84" w:rsidRPr="002E329E">
        <w:rPr>
          <w:szCs w:val="24"/>
        </w:rPr>
        <w:t>A</w:t>
      </w:r>
      <w:r w:rsidR="00541913" w:rsidRPr="002E329E">
        <w:rPr>
          <w:szCs w:val="24"/>
        </w:rPr>
        <w:t>D</w:t>
      </w:r>
      <w:r w:rsidR="00F55B84" w:rsidRPr="002E329E">
        <w:rPr>
          <w:szCs w:val="24"/>
        </w:rPr>
        <w:t>N</w:t>
      </w:r>
    </w:p>
    <w:p w14:paraId="76713D9A" w14:textId="77777777" w:rsidR="00F55B84" w:rsidRPr="004A74EC" w:rsidRDefault="00F55B84" w:rsidP="00F55B84">
      <w:pPr>
        <w:ind w:left="1134" w:right="1134"/>
      </w:pPr>
      <w:r w:rsidRPr="004A74EC">
        <w:tab/>
        <w:t>No document has been submitted under this agenda item.</w:t>
      </w:r>
    </w:p>
    <w:p w14:paraId="721D31EB" w14:textId="033DFF0C" w:rsidR="009721A3" w:rsidRPr="002E329E" w:rsidRDefault="009721A3">
      <w:pPr>
        <w:pStyle w:val="H1G"/>
        <w:rPr>
          <w:szCs w:val="24"/>
        </w:rPr>
      </w:pPr>
      <w:r w:rsidRPr="002E329E">
        <w:rPr>
          <w:szCs w:val="24"/>
        </w:rPr>
        <w:tab/>
        <w:t>(b)</w:t>
      </w:r>
      <w:r w:rsidRPr="002E329E">
        <w:rPr>
          <w:szCs w:val="24"/>
        </w:rPr>
        <w:tab/>
        <w:t>Circular economy and sustainable development goals</w:t>
      </w:r>
    </w:p>
    <w:p w14:paraId="7F6884D5" w14:textId="77777777" w:rsidR="00F55B84" w:rsidRPr="004A74EC" w:rsidRDefault="00F55B84" w:rsidP="00F55B84">
      <w:pPr>
        <w:ind w:left="1134" w:right="1134"/>
      </w:pPr>
      <w:r w:rsidRPr="004A74EC">
        <w:tab/>
        <w:t>No document has been submitted under this agenda item.</w:t>
      </w:r>
    </w:p>
    <w:p w14:paraId="6E1EA50A" w14:textId="60F6947D" w:rsidR="008F22ED" w:rsidRPr="00E56E57" w:rsidRDefault="008F22ED" w:rsidP="008F22ED">
      <w:pPr>
        <w:pStyle w:val="HChG"/>
        <w:rPr>
          <w:sz w:val="24"/>
          <w:szCs w:val="24"/>
        </w:rPr>
      </w:pPr>
      <w:r w:rsidRPr="00E56E57">
        <w:rPr>
          <w:sz w:val="24"/>
          <w:szCs w:val="24"/>
        </w:rPr>
        <w:tab/>
        <w:t>1</w:t>
      </w:r>
      <w:r w:rsidR="001D76F6" w:rsidRPr="00E56E57">
        <w:rPr>
          <w:sz w:val="24"/>
          <w:szCs w:val="24"/>
        </w:rPr>
        <w:t>0</w:t>
      </w:r>
      <w:r w:rsidRPr="00E56E57">
        <w:rPr>
          <w:sz w:val="24"/>
          <w:szCs w:val="24"/>
        </w:rPr>
        <w:t>.</w:t>
      </w:r>
      <w:r w:rsidRPr="00E56E57">
        <w:rPr>
          <w:sz w:val="24"/>
          <w:szCs w:val="24"/>
        </w:rPr>
        <w:tab/>
        <w:t>Adoption of the report</w:t>
      </w:r>
    </w:p>
    <w:p w14:paraId="28AE612D" w14:textId="77777777" w:rsidR="008F22ED" w:rsidRDefault="008F22ED" w:rsidP="008F22ED">
      <w:pPr>
        <w:pStyle w:val="SingleTxtG"/>
        <w:ind w:firstLine="561"/>
      </w:pPr>
      <w:r>
        <w:t xml:space="preserve">In accordance with established practice, the Joint Meeting will adopt the report of the session </w:t>
      </w:r>
      <w:proofErr w:type="gramStart"/>
      <w:r>
        <w:t>on the basis of</w:t>
      </w:r>
      <w:proofErr w:type="gramEnd"/>
      <w:r>
        <w:t xml:space="preserve"> a draft established by the secretariat.</w:t>
      </w:r>
    </w:p>
    <w:p w14:paraId="61DB9B57" w14:textId="191D4BF1" w:rsidR="001C6663" w:rsidRPr="005630A2" w:rsidRDefault="00237246" w:rsidP="00C0510A">
      <w:pPr>
        <w:pStyle w:val="SingleTxtG"/>
        <w:spacing w:after="0"/>
        <w:jc w:val="center"/>
      </w:pPr>
      <w:r>
        <w:rPr>
          <w:u w:val="single"/>
        </w:rPr>
        <w:tab/>
      </w:r>
      <w:r>
        <w:rPr>
          <w:u w:val="single"/>
        </w:rPr>
        <w:tab/>
      </w:r>
      <w:r>
        <w:rPr>
          <w:u w:val="single"/>
        </w:rPr>
        <w:tab/>
      </w:r>
    </w:p>
    <w:sectPr w:rsidR="001C6663" w:rsidRPr="005630A2" w:rsidSect="005630A2">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4C1B" w14:textId="77777777" w:rsidR="00443976" w:rsidRDefault="00443976"/>
  </w:endnote>
  <w:endnote w:type="continuationSeparator" w:id="0">
    <w:p w14:paraId="6C052624" w14:textId="77777777" w:rsidR="00443976" w:rsidRDefault="00443976"/>
  </w:endnote>
  <w:endnote w:type="continuationNotice" w:id="1">
    <w:p w14:paraId="1F5C4B41" w14:textId="77777777" w:rsidR="00443976" w:rsidRDefault="00443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2BAF" w14:textId="05933729" w:rsidR="005630A2" w:rsidRPr="005630A2" w:rsidRDefault="005630A2" w:rsidP="005630A2">
    <w:pPr>
      <w:pStyle w:val="Footer"/>
      <w:tabs>
        <w:tab w:val="right" w:pos="9638"/>
      </w:tabs>
      <w:rPr>
        <w:sz w:val="18"/>
      </w:rPr>
    </w:pPr>
    <w:r w:rsidRPr="005630A2">
      <w:rPr>
        <w:b/>
        <w:sz w:val="18"/>
      </w:rPr>
      <w:fldChar w:fldCharType="begin"/>
    </w:r>
    <w:r w:rsidRPr="005630A2">
      <w:rPr>
        <w:b/>
        <w:sz w:val="18"/>
      </w:rPr>
      <w:instrText xml:space="preserve"> PAGE  \* MERGEFORMAT </w:instrText>
    </w:r>
    <w:r w:rsidRPr="005630A2">
      <w:rPr>
        <w:b/>
        <w:sz w:val="18"/>
      </w:rPr>
      <w:fldChar w:fldCharType="separate"/>
    </w:r>
    <w:r w:rsidR="00EE75A8">
      <w:rPr>
        <w:b/>
        <w:noProof/>
        <w:sz w:val="18"/>
      </w:rPr>
      <w:t>2</w:t>
    </w:r>
    <w:r w:rsidRPr="005630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84E5" w14:textId="24373A28" w:rsidR="005630A2" w:rsidRPr="005630A2" w:rsidRDefault="005630A2" w:rsidP="005630A2">
    <w:pPr>
      <w:pStyle w:val="Footer"/>
      <w:tabs>
        <w:tab w:val="right" w:pos="9638"/>
      </w:tabs>
      <w:rPr>
        <w:b/>
        <w:sz w:val="18"/>
      </w:rPr>
    </w:pPr>
    <w:r>
      <w:tab/>
    </w:r>
    <w:r w:rsidRPr="005630A2">
      <w:rPr>
        <w:b/>
        <w:sz w:val="18"/>
      </w:rPr>
      <w:fldChar w:fldCharType="begin"/>
    </w:r>
    <w:r w:rsidRPr="005630A2">
      <w:rPr>
        <w:b/>
        <w:sz w:val="18"/>
      </w:rPr>
      <w:instrText xml:space="preserve"> PAGE  \* MERGEFORMAT </w:instrText>
    </w:r>
    <w:r w:rsidRPr="005630A2">
      <w:rPr>
        <w:b/>
        <w:sz w:val="18"/>
      </w:rPr>
      <w:fldChar w:fldCharType="separate"/>
    </w:r>
    <w:r w:rsidR="001B3A31">
      <w:rPr>
        <w:b/>
        <w:noProof/>
        <w:sz w:val="18"/>
      </w:rPr>
      <w:t>3</w:t>
    </w:r>
    <w:r w:rsidRPr="005630A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B5B4" w14:textId="77777777" w:rsidR="00443976" w:rsidRPr="000B175B" w:rsidRDefault="00443976" w:rsidP="000B175B">
      <w:pPr>
        <w:tabs>
          <w:tab w:val="right" w:pos="2155"/>
        </w:tabs>
        <w:spacing w:after="80"/>
        <w:ind w:left="680"/>
        <w:rPr>
          <w:u w:val="single"/>
        </w:rPr>
      </w:pPr>
      <w:r>
        <w:rPr>
          <w:u w:val="single"/>
        </w:rPr>
        <w:tab/>
      </w:r>
    </w:p>
  </w:footnote>
  <w:footnote w:type="continuationSeparator" w:id="0">
    <w:p w14:paraId="5591BDDC" w14:textId="77777777" w:rsidR="00443976" w:rsidRPr="00FC68B7" w:rsidRDefault="00443976" w:rsidP="00FC68B7">
      <w:pPr>
        <w:tabs>
          <w:tab w:val="left" w:pos="2155"/>
        </w:tabs>
        <w:spacing w:after="80"/>
        <w:ind w:left="680"/>
        <w:rPr>
          <w:u w:val="single"/>
        </w:rPr>
      </w:pPr>
      <w:r>
        <w:rPr>
          <w:u w:val="single"/>
        </w:rPr>
        <w:tab/>
      </w:r>
    </w:p>
  </w:footnote>
  <w:footnote w:type="continuationNotice" w:id="1">
    <w:p w14:paraId="1599FC2F" w14:textId="77777777" w:rsidR="00443976" w:rsidRDefault="00443976"/>
  </w:footnote>
  <w:footnote w:id="2">
    <w:p w14:paraId="43F24A3F" w14:textId="2109327C" w:rsidR="00CF6735" w:rsidRPr="00C0510A" w:rsidRDefault="00BE3360">
      <w:pPr>
        <w:pStyle w:val="FootnoteText"/>
        <w:rPr>
          <w:lang w:val="fr-CH"/>
        </w:rPr>
      </w:pPr>
      <w:r>
        <w:tab/>
      </w:r>
      <w:r w:rsidR="00CF6735">
        <w:rPr>
          <w:rStyle w:val="FootnoteReference"/>
        </w:rPr>
        <w:footnoteRef/>
      </w:r>
      <w:r>
        <w:tab/>
        <w:t xml:space="preserve">Available at: </w:t>
      </w:r>
      <w:r w:rsidRPr="00BE3360">
        <w:t>http://otif.org/de/?page_id=214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C0C" w14:textId="04940780" w:rsidR="005630A2" w:rsidRPr="005630A2" w:rsidRDefault="00A13120">
    <w:pPr>
      <w:pStyle w:val="Header"/>
    </w:pPr>
    <w:fldSimple w:instr=" TITLE  \* MERGEFORMAT ">
      <w:r w:rsidR="001D3E5B">
        <w:t>ECE/TRANS/WP.15/AC.1/165/Add.1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535" w14:textId="4BC82209" w:rsidR="005630A2" w:rsidRPr="005630A2" w:rsidRDefault="00A13120" w:rsidP="005630A2">
    <w:pPr>
      <w:pStyle w:val="Header"/>
      <w:jc w:val="right"/>
    </w:pPr>
    <w:fldSimple w:instr=" TITLE  \* MERGEFORMAT ">
      <w:r w:rsidR="001D3E5B">
        <w:t>ECE/TRANS/WP.15/AC.1/165/Add.1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n-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A2"/>
    <w:rsid w:val="00002A7D"/>
    <w:rsid w:val="000038A8"/>
    <w:rsid w:val="00006790"/>
    <w:rsid w:val="00017FCB"/>
    <w:rsid w:val="00027624"/>
    <w:rsid w:val="00050F6B"/>
    <w:rsid w:val="00065BDA"/>
    <w:rsid w:val="000678CD"/>
    <w:rsid w:val="00067B93"/>
    <w:rsid w:val="00072A0C"/>
    <w:rsid w:val="00072C8C"/>
    <w:rsid w:val="00074572"/>
    <w:rsid w:val="00081CE0"/>
    <w:rsid w:val="00084D30"/>
    <w:rsid w:val="000852F4"/>
    <w:rsid w:val="00090320"/>
    <w:rsid w:val="00092ED6"/>
    <w:rsid w:val="000931C0"/>
    <w:rsid w:val="0009598E"/>
    <w:rsid w:val="0009732C"/>
    <w:rsid w:val="000A01F9"/>
    <w:rsid w:val="000A2E09"/>
    <w:rsid w:val="000B175B"/>
    <w:rsid w:val="000B3A0F"/>
    <w:rsid w:val="000C396D"/>
    <w:rsid w:val="000C3FE3"/>
    <w:rsid w:val="000D0B23"/>
    <w:rsid w:val="000D5AAA"/>
    <w:rsid w:val="000E0415"/>
    <w:rsid w:val="000E5BE4"/>
    <w:rsid w:val="000F5206"/>
    <w:rsid w:val="000F7715"/>
    <w:rsid w:val="00101443"/>
    <w:rsid w:val="001066A0"/>
    <w:rsid w:val="001242A0"/>
    <w:rsid w:val="001461BB"/>
    <w:rsid w:val="00146521"/>
    <w:rsid w:val="0014703C"/>
    <w:rsid w:val="00156B99"/>
    <w:rsid w:val="00166124"/>
    <w:rsid w:val="00184DDA"/>
    <w:rsid w:val="001900CD"/>
    <w:rsid w:val="001959F9"/>
    <w:rsid w:val="001A0452"/>
    <w:rsid w:val="001A13B8"/>
    <w:rsid w:val="001B1B4E"/>
    <w:rsid w:val="001B3A31"/>
    <w:rsid w:val="001B42B1"/>
    <w:rsid w:val="001B4B04"/>
    <w:rsid w:val="001B5875"/>
    <w:rsid w:val="001C4B9C"/>
    <w:rsid w:val="001C6663"/>
    <w:rsid w:val="001C7895"/>
    <w:rsid w:val="001D26DF"/>
    <w:rsid w:val="001D3E5B"/>
    <w:rsid w:val="001D659A"/>
    <w:rsid w:val="001D68B6"/>
    <w:rsid w:val="001D76F6"/>
    <w:rsid w:val="001E2A60"/>
    <w:rsid w:val="001F1034"/>
    <w:rsid w:val="001F1599"/>
    <w:rsid w:val="001F19C4"/>
    <w:rsid w:val="002043F0"/>
    <w:rsid w:val="00211E0B"/>
    <w:rsid w:val="00214670"/>
    <w:rsid w:val="00222DF3"/>
    <w:rsid w:val="00232575"/>
    <w:rsid w:val="00237246"/>
    <w:rsid w:val="00247258"/>
    <w:rsid w:val="00257CAC"/>
    <w:rsid w:val="00264441"/>
    <w:rsid w:val="0027237A"/>
    <w:rsid w:val="002839CE"/>
    <w:rsid w:val="002850BA"/>
    <w:rsid w:val="002943F6"/>
    <w:rsid w:val="002974E9"/>
    <w:rsid w:val="002A09FB"/>
    <w:rsid w:val="002A1665"/>
    <w:rsid w:val="002A7F94"/>
    <w:rsid w:val="002B109A"/>
    <w:rsid w:val="002B2501"/>
    <w:rsid w:val="002C6D45"/>
    <w:rsid w:val="002D25AB"/>
    <w:rsid w:val="002D6E53"/>
    <w:rsid w:val="002E24D0"/>
    <w:rsid w:val="002E329E"/>
    <w:rsid w:val="002E7827"/>
    <w:rsid w:val="002F046D"/>
    <w:rsid w:val="002F3023"/>
    <w:rsid w:val="00301764"/>
    <w:rsid w:val="00310429"/>
    <w:rsid w:val="003122A5"/>
    <w:rsid w:val="0032249D"/>
    <w:rsid w:val="003229D8"/>
    <w:rsid w:val="00336C97"/>
    <w:rsid w:val="00337F88"/>
    <w:rsid w:val="00342432"/>
    <w:rsid w:val="0035223F"/>
    <w:rsid w:val="00352D4B"/>
    <w:rsid w:val="00354C81"/>
    <w:rsid w:val="0035638C"/>
    <w:rsid w:val="003603E4"/>
    <w:rsid w:val="00364632"/>
    <w:rsid w:val="003712F2"/>
    <w:rsid w:val="00371D6E"/>
    <w:rsid w:val="003A46BB"/>
    <w:rsid w:val="003A4EC7"/>
    <w:rsid w:val="003A7295"/>
    <w:rsid w:val="003B1D56"/>
    <w:rsid w:val="003B1F60"/>
    <w:rsid w:val="003B4973"/>
    <w:rsid w:val="003C2CC4"/>
    <w:rsid w:val="003D4B23"/>
    <w:rsid w:val="003E278A"/>
    <w:rsid w:val="003E5A79"/>
    <w:rsid w:val="003F4049"/>
    <w:rsid w:val="00403A83"/>
    <w:rsid w:val="00410D70"/>
    <w:rsid w:val="00413520"/>
    <w:rsid w:val="004325CB"/>
    <w:rsid w:val="00440A07"/>
    <w:rsid w:val="00443976"/>
    <w:rsid w:val="00447739"/>
    <w:rsid w:val="00462880"/>
    <w:rsid w:val="004649CF"/>
    <w:rsid w:val="00473433"/>
    <w:rsid w:val="00476F24"/>
    <w:rsid w:val="004A0428"/>
    <w:rsid w:val="004A4834"/>
    <w:rsid w:val="004C55B0"/>
    <w:rsid w:val="004D1073"/>
    <w:rsid w:val="004F62E3"/>
    <w:rsid w:val="004F6BA0"/>
    <w:rsid w:val="00503BEA"/>
    <w:rsid w:val="00510E7B"/>
    <w:rsid w:val="005114AE"/>
    <w:rsid w:val="00524005"/>
    <w:rsid w:val="00533616"/>
    <w:rsid w:val="00534A82"/>
    <w:rsid w:val="00535ABA"/>
    <w:rsid w:val="0053768B"/>
    <w:rsid w:val="00541913"/>
    <w:rsid w:val="005420F2"/>
    <w:rsid w:val="0054285C"/>
    <w:rsid w:val="00553213"/>
    <w:rsid w:val="005607C8"/>
    <w:rsid w:val="005630A2"/>
    <w:rsid w:val="00574360"/>
    <w:rsid w:val="00574738"/>
    <w:rsid w:val="00575A23"/>
    <w:rsid w:val="00582E57"/>
    <w:rsid w:val="00584173"/>
    <w:rsid w:val="00592CF6"/>
    <w:rsid w:val="00595520"/>
    <w:rsid w:val="005A06E9"/>
    <w:rsid w:val="005A44B9"/>
    <w:rsid w:val="005B184E"/>
    <w:rsid w:val="005B1BA0"/>
    <w:rsid w:val="005B3DB3"/>
    <w:rsid w:val="005B4BCB"/>
    <w:rsid w:val="005C3C07"/>
    <w:rsid w:val="005D15CA"/>
    <w:rsid w:val="005D7969"/>
    <w:rsid w:val="005E4B77"/>
    <w:rsid w:val="005F08DF"/>
    <w:rsid w:val="005F3066"/>
    <w:rsid w:val="005F3E61"/>
    <w:rsid w:val="00603C1A"/>
    <w:rsid w:val="00604DDD"/>
    <w:rsid w:val="006115CC"/>
    <w:rsid w:val="00611FC4"/>
    <w:rsid w:val="006176FB"/>
    <w:rsid w:val="00630FCB"/>
    <w:rsid w:val="00640B26"/>
    <w:rsid w:val="0065766B"/>
    <w:rsid w:val="006638C4"/>
    <w:rsid w:val="006770B2"/>
    <w:rsid w:val="00677EFE"/>
    <w:rsid w:val="006863D8"/>
    <w:rsid w:val="006869D5"/>
    <w:rsid w:val="00686A48"/>
    <w:rsid w:val="00691496"/>
    <w:rsid w:val="006940E1"/>
    <w:rsid w:val="006A3C72"/>
    <w:rsid w:val="006A3F7E"/>
    <w:rsid w:val="006A7392"/>
    <w:rsid w:val="006B03A1"/>
    <w:rsid w:val="006B67D9"/>
    <w:rsid w:val="006C0E69"/>
    <w:rsid w:val="006C5535"/>
    <w:rsid w:val="006D0589"/>
    <w:rsid w:val="006D4BFF"/>
    <w:rsid w:val="006E564B"/>
    <w:rsid w:val="006E7154"/>
    <w:rsid w:val="007003CD"/>
    <w:rsid w:val="00701123"/>
    <w:rsid w:val="0070701E"/>
    <w:rsid w:val="0072632A"/>
    <w:rsid w:val="00732A06"/>
    <w:rsid w:val="007358E8"/>
    <w:rsid w:val="00736ECE"/>
    <w:rsid w:val="0074533B"/>
    <w:rsid w:val="00760080"/>
    <w:rsid w:val="007643BC"/>
    <w:rsid w:val="00780C68"/>
    <w:rsid w:val="00787096"/>
    <w:rsid w:val="007910B0"/>
    <w:rsid w:val="007959FE"/>
    <w:rsid w:val="007A0CF1"/>
    <w:rsid w:val="007A1F2F"/>
    <w:rsid w:val="007A478E"/>
    <w:rsid w:val="007B6BA5"/>
    <w:rsid w:val="007C3390"/>
    <w:rsid w:val="007C40E6"/>
    <w:rsid w:val="007C42D8"/>
    <w:rsid w:val="007C4F4B"/>
    <w:rsid w:val="007D1D3C"/>
    <w:rsid w:val="007D7362"/>
    <w:rsid w:val="007E1FB9"/>
    <w:rsid w:val="007F1323"/>
    <w:rsid w:val="007F3AF9"/>
    <w:rsid w:val="007F5CE2"/>
    <w:rsid w:val="007F6611"/>
    <w:rsid w:val="00800522"/>
    <w:rsid w:val="00810B34"/>
    <w:rsid w:val="00810BAC"/>
    <w:rsid w:val="00811042"/>
    <w:rsid w:val="008175E9"/>
    <w:rsid w:val="008179EC"/>
    <w:rsid w:val="008242D7"/>
    <w:rsid w:val="0082577B"/>
    <w:rsid w:val="008272DD"/>
    <w:rsid w:val="008417A2"/>
    <w:rsid w:val="00862A20"/>
    <w:rsid w:val="00863DE3"/>
    <w:rsid w:val="00866893"/>
    <w:rsid w:val="00866F02"/>
    <w:rsid w:val="00867D18"/>
    <w:rsid w:val="008701D5"/>
    <w:rsid w:val="00871F9A"/>
    <w:rsid w:val="00871FD5"/>
    <w:rsid w:val="0087546F"/>
    <w:rsid w:val="0088172E"/>
    <w:rsid w:val="00881EFA"/>
    <w:rsid w:val="008879CB"/>
    <w:rsid w:val="008979B1"/>
    <w:rsid w:val="008A6B25"/>
    <w:rsid w:val="008A6C4F"/>
    <w:rsid w:val="008A77AE"/>
    <w:rsid w:val="008B00E5"/>
    <w:rsid w:val="008B2F63"/>
    <w:rsid w:val="008B389E"/>
    <w:rsid w:val="008C0C91"/>
    <w:rsid w:val="008D045E"/>
    <w:rsid w:val="008D0D87"/>
    <w:rsid w:val="008D3F25"/>
    <w:rsid w:val="008D4D82"/>
    <w:rsid w:val="008E0E46"/>
    <w:rsid w:val="008E4EEF"/>
    <w:rsid w:val="008E7116"/>
    <w:rsid w:val="008F143B"/>
    <w:rsid w:val="008F22ED"/>
    <w:rsid w:val="008F3882"/>
    <w:rsid w:val="008F4B7C"/>
    <w:rsid w:val="008F585C"/>
    <w:rsid w:val="008F6B6C"/>
    <w:rsid w:val="00901254"/>
    <w:rsid w:val="009065E5"/>
    <w:rsid w:val="0091609F"/>
    <w:rsid w:val="00926E47"/>
    <w:rsid w:val="009320B4"/>
    <w:rsid w:val="00947162"/>
    <w:rsid w:val="009610D0"/>
    <w:rsid w:val="00961F6D"/>
    <w:rsid w:val="0096375C"/>
    <w:rsid w:val="00965565"/>
    <w:rsid w:val="009662E6"/>
    <w:rsid w:val="0097095E"/>
    <w:rsid w:val="009721A3"/>
    <w:rsid w:val="0098592B"/>
    <w:rsid w:val="00985FC4"/>
    <w:rsid w:val="00990766"/>
    <w:rsid w:val="00991261"/>
    <w:rsid w:val="009964C4"/>
    <w:rsid w:val="009A6280"/>
    <w:rsid w:val="009A7B81"/>
    <w:rsid w:val="009C2988"/>
    <w:rsid w:val="009D01C0"/>
    <w:rsid w:val="009D13FA"/>
    <w:rsid w:val="009D6A08"/>
    <w:rsid w:val="009E0A16"/>
    <w:rsid w:val="009E1B24"/>
    <w:rsid w:val="009E6CB7"/>
    <w:rsid w:val="009E7970"/>
    <w:rsid w:val="009F2EAC"/>
    <w:rsid w:val="009F57E3"/>
    <w:rsid w:val="00A03CE5"/>
    <w:rsid w:val="00A03EAC"/>
    <w:rsid w:val="00A10F4F"/>
    <w:rsid w:val="00A11067"/>
    <w:rsid w:val="00A13120"/>
    <w:rsid w:val="00A1704A"/>
    <w:rsid w:val="00A3239E"/>
    <w:rsid w:val="00A425EB"/>
    <w:rsid w:val="00A5500D"/>
    <w:rsid w:val="00A66151"/>
    <w:rsid w:val="00A72F22"/>
    <w:rsid w:val="00A733BC"/>
    <w:rsid w:val="00A748A6"/>
    <w:rsid w:val="00A76A69"/>
    <w:rsid w:val="00A879A4"/>
    <w:rsid w:val="00A92F2C"/>
    <w:rsid w:val="00A95B9C"/>
    <w:rsid w:val="00AA0FF8"/>
    <w:rsid w:val="00AB0CC8"/>
    <w:rsid w:val="00AC0F2C"/>
    <w:rsid w:val="00AC502A"/>
    <w:rsid w:val="00AC5941"/>
    <w:rsid w:val="00AC7D39"/>
    <w:rsid w:val="00AE5FAA"/>
    <w:rsid w:val="00AE77D5"/>
    <w:rsid w:val="00AF58C1"/>
    <w:rsid w:val="00B00488"/>
    <w:rsid w:val="00B02318"/>
    <w:rsid w:val="00B04A3F"/>
    <w:rsid w:val="00B06643"/>
    <w:rsid w:val="00B15055"/>
    <w:rsid w:val="00B20551"/>
    <w:rsid w:val="00B30179"/>
    <w:rsid w:val="00B33FC7"/>
    <w:rsid w:val="00B345A8"/>
    <w:rsid w:val="00B35610"/>
    <w:rsid w:val="00B37B15"/>
    <w:rsid w:val="00B40AD4"/>
    <w:rsid w:val="00B438A7"/>
    <w:rsid w:val="00B45C02"/>
    <w:rsid w:val="00B679E4"/>
    <w:rsid w:val="00B70B63"/>
    <w:rsid w:val="00B72A1E"/>
    <w:rsid w:val="00B81E12"/>
    <w:rsid w:val="00B911A4"/>
    <w:rsid w:val="00B95503"/>
    <w:rsid w:val="00BA1414"/>
    <w:rsid w:val="00BA339B"/>
    <w:rsid w:val="00BA77BE"/>
    <w:rsid w:val="00BB1768"/>
    <w:rsid w:val="00BB23CC"/>
    <w:rsid w:val="00BC1E7E"/>
    <w:rsid w:val="00BC212A"/>
    <w:rsid w:val="00BC3921"/>
    <w:rsid w:val="00BC74E9"/>
    <w:rsid w:val="00BE3360"/>
    <w:rsid w:val="00BE36A9"/>
    <w:rsid w:val="00BE618E"/>
    <w:rsid w:val="00BE7BEC"/>
    <w:rsid w:val="00BF0A5A"/>
    <w:rsid w:val="00BF0E63"/>
    <w:rsid w:val="00BF12A3"/>
    <w:rsid w:val="00BF16D7"/>
    <w:rsid w:val="00BF2373"/>
    <w:rsid w:val="00C0294F"/>
    <w:rsid w:val="00C044E2"/>
    <w:rsid w:val="00C048CB"/>
    <w:rsid w:val="00C0510A"/>
    <w:rsid w:val="00C05E84"/>
    <w:rsid w:val="00C066F3"/>
    <w:rsid w:val="00C22975"/>
    <w:rsid w:val="00C267E6"/>
    <w:rsid w:val="00C400BB"/>
    <w:rsid w:val="00C408B7"/>
    <w:rsid w:val="00C411EB"/>
    <w:rsid w:val="00C463DD"/>
    <w:rsid w:val="00C742D6"/>
    <w:rsid w:val="00C745C3"/>
    <w:rsid w:val="00C978F5"/>
    <w:rsid w:val="00CA24A4"/>
    <w:rsid w:val="00CA4306"/>
    <w:rsid w:val="00CB348D"/>
    <w:rsid w:val="00CB3959"/>
    <w:rsid w:val="00CD19C4"/>
    <w:rsid w:val="00CD46F5"/>
    <w:rsid w:val="00CD7574"/>
    <w:rsid w:val="00CE4A8F"/>
    <w:rsid w:val="00CE6031"/>
    <w:rsid w:val="00CE78F6"/>
    <w:rsid w:val="00CF071D"/>
    <w:rsid w:val="00CF1BA5"/>
    <w:rsid w:val="00CF6735"/>
    <w:rsid w:val="00D0123D"/>
    <w:rsid w:val="00D05DB3"/>
    <w:rsid w:val="00D15B04"/>
    <w:rsid w:val="00D2031B"/>
    <w:rsid w:val="00D25EEB"/>
    <w:rsid w:val="00D25FE2"/>
    <w:rsid w:val="00D354BE"/>
    <w:rsid w:val="00D368BE"/>
    <w:rsid w:val="00D37DA9"/>
    <w:rsid w:val="00D406A7"/>
    <w:rsid w:val="00D40765"/>
    <w:rsid w:val="00D43252"/>
    <w:rsid w:val="00D44D86"/>
    <w:rsid w:val="00D50B7D"/>
    <w:rsid w:val="00D52012"/>
    <w:rsid w:val="00D704E5"/>
    <w:rsid w:val="00D72727"/>
    <w:rsid w:val="00D748DD"/>
    <w:rsid w:val="00D952C5"/>
    <w:rsid w:val="00D978C6"/>
    <w:rsid w:val="00DA0956"/>
    <w:rsid w:val="00DA357F"/>
    <w:rsid w:val="00DA3E12"/>
    <w:rsid w:val="00DC18AD"/>
    <w:rsid w:val="00DC4C8A"/>
    <w:rsid w:val="00DD29BD"/>
    <w:rsid w:val="00DF26C6"/>
    <w:rsid w:val="00DF7CAE"/>
    <w:rsid w:val="00E2564D"/>
    <w:rsid w:val="00E26522"/>
    <w:rsid w:val="00E423C0"/>
    <w:rsid w:val="00E549B8"/>
    <w:rsid w:val="00E55DC1"/>
    <w:rsid w:val="00E56E57"/>
    <w:rsid w:val="00E6414C"/>
    <w:rsid w:val="00E7260F"/>
    <w:rsid w:val="00E86E4F"/>
    <w:rsid w:val="00E8702D"/>
    <w:rsid w:val="00E905F4"/>
    <w:rsid w:val="00E916A9"/>
    <w:rsid w:val="00E916DE"/>
    <w:rsid w:val="00E925AD"/>
    <w:rsid w:val="00E92DBD"/>
    <w:rsid w:val="00E96630"/>
    <w:rsid w:val="00EB0C85"/>
    <w:rsid w:val="00ED18DC"/>
    <w:rsid w:val="00ED4EE2"/>
    <w:rsid w:val="00ED6201"/>
    <w:rsid w:val="00ED7A2A"/>
    <w:rsid w:val="00EE4E9F"/>
    <w:rsid w:val="00EE75A8"/>
    <w:rsid w:val="00EF1007"/>
    <w:rsid w:val="00EF1D7F"/>
    <w:rsid w:val="00F0137E"/>
    <w:rsid w:val="00F16C29"/>
    <w:rsid w:val="00F21786"/>
    <w:rsid w:val="00F24405"/>
    <w:rsid w:val="00F265AA"/>
    <w:rsid w:val="00F33A4F"/>
    <w:rsid w:val="00F3742B"/>
    <w:rsid w:val="00F41FDB"/>
    <w:rsid w:val="00F50596"/>
    <w:rsid w:val="00F5583F"/>
    <w:rsid w:val="00F55B84"/>
    <w:rsid w:val="00F56D63"/>
    <w:rsid w:val="00F609A9"/>
    <w:rsid w:val="00F776AF"/>
    <w:rsid w:val="00F80C99"/>
    <w:rsid w:val="00F867EC"/>
    <w:rsid w:val="00F91B2B"/>
    <w:rsid w:val="00FA1764"/>
    <w:rsid w:val="00FA1B45"/>
    <w:rsid w:val="00FA2FE7"/>
    <w:rsid w:val="00FB47C1"/>
    <w:rsid w:val="00FB72CC"/>
    <w:rsid w:val="00FC03CD"/>
    <w:rsid w:val="00FC0646"/>
    <w:rsid w:val="00FC68B7"/>
    <w:rsid w:val="00FD2CF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61D7B5F"/>
  <w15:docId w15:val="{818B39DD-8EA9-40C8-8AA7-A2115D3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827"/>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AC5941"/>
    <w:rPr>
      <w:sz w:val="18"/>
      <w:lang w:val="en-GB"/>
    </w:rPr>
  </w:style>
  <w:style w:type="character" w:customStyle="1" w:styleId="HChGChar">
    <w:name w:val="_ H _Ch_G Char"/>
    <w:link w:val="HChG"/>
    <w:locked/>
    <w:rsid w:val="00AC5941"/>
    <w:rPr>
      <w:b/>
      <w:sz w:val="28"/>
      <w:lang w:val="en-GB"/>
    </w:rPr>
  </w:style>
  <w:style w:type="character" w:customStyle="1" w:styleId="H1GChar">
    <w:name w:val="_ H_1_G Char"/>
    <w:link w:val="H1G"/>
    <w:locked/>
    <w:rsid w:val="00AC5941"/>
    <w:rPr>
      <w:b/>
      <w:sz w:val="24"/>
      <w:lang w:val="en-GB"/>
    </w:rPr>
  </w:style>
  <w:style w:type="character" w:customStyle="1" w:styleId="UnresolvedMention1">
    <w:name w:val="Unresolved Mention1"/>
    <w:basedOn w:val="DefaultParagraphFont"/>
    <w:uiPriority w:val="99"/>
    <w:semiHidden/>
    <w:unhideWhenUsed/>
    <w:rsid w:val="00691496"/>
    <w:rPr>
      <w:color w:val="605E5C"/>
      <w:shd w:val="clear" w:color="auto" w:fill="E1DFDD"/>
    </w:rPr>
  </w:style>
  <w:style w:type="character" w:customStyle="1" w:styleId="SingleTxtGCar">
    <w:name w:val="_ Single Txt_G Car"/>
    <w:rsid w:val="00237246"/>
    <w:rPr>
      <w:lang w:eastAsia="en-US"/>
    </w:rPr>
  </w:style>
  <w:style w:type="character" w:styleId="CommentReference">
    <w:name w:val="annotation reference"/>
    <w:basedOn w:val="DefaultParagraphFont"/>
    <w:semiHidden/>
    <w:unhideWhenUsed/>
    <w:rsid w:val="00EE75A8"/>
    <w:rPr>
      <w:sz w:val="16"/>
      <w:szCs w:val="16"/>
    </w:rPr>
  </w:style>
  <w:style w:type="paragraph" w:styleId="CommentText">
    <w:name w:val="annotation text"/>
    <w:basedOn w:val="Normal"/>
    <w:link w:val="CommentTextChar"/>
    <w:semiHidden/>
    <w:unhideWhenUsed/>
    <w:rsid w:val="00EE75A8"/>
    <w:pPr>
      <w:spacing w:line="240" w:lineRule="auto"/>
    </w:pPr>
  </w:style>
  <w:style w:type="character" w:customStyle="1" w:styleId="CommentTextChar">
    <w:name w:val="Comment Text Char"/>
    <w:basedOn w:val="DefaultParagraphFont"/>
    <w:link w:val="CommentText"/>
    <w:semiHidden/>
    <w:rsid w:val="00EE75A8"/>
    <w:rPr>
      <w:lang w:val="en-GB"/>
    </w:rPr>
  </w:style>
  <w:style w:type="paragraph" w:styleId="CommentSubject">
    <w:name w:val="annotation subject"/>
    <w:basedOn w:val="CommentText"/>
    <w:next w:val="CommentText"/>
    <w:link w:val="CommentSubjectChar"/>
    <w:semiHidden/>
    <w:unhideWhenUsed/>
    <w:rsid w:val="00EE75A8"/>
    <w:rPr>
      <w:b/>
      <w:bCs/>
    </w:rPr>
  </w:style>
  <w:style w:type="character" w:customStyle="1" w:styleId="CommentSubjectChar">
    <w:name w:val="Comment Subject Char"/>
    <w:basedOn w:val="CommentTextChar"/>
    <w:link w:val="CommentSubject"/>
    <w:semiHidden/>
    <w:rsid w:val="00EE75A8"/>
    <w:rPr>
      <w:b/>
      <w:bCs/>
      <w:lang w:val="en-GB"/>
    </w:rPr>
  </w:style>
  <w:style w:type="character" w:customStyle="1" w:styleId="y2iqfc">
    <w:name w:val="y2iqfc"/>
    <w:basedOn w:val="DefaultParagraphFont"/>
    <w:rsid w:val="0090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6891">
      <w:bodyDiv w:val="1"/>
      <w:marLeft w:val="0"/>
      <w:marRight w:val="0"/>
      <w:marTop w:val="0"/>
      <w:marBottom w:val="0"/>
      <w:divBdr>
        <w:top w:val="none" w:sz="0" w:space="0" w:color="auto"/>
        <w:left w:val="none" w:sz="0" w:space="0" w:color="auto"/>
        <w:bottom w:val="none" w:sz="0" w:space="0" w:color="auto"/>
        <w:right w:val="none" w:sz="0" w:space="0" w:color="auto"/>
      </w:divBdr>
    </w:div>
    <w:div w:id="296763518">
      <w:bodyDiv w:val="1"/>
      <w:marLeft w:val="0"/>
      <w:marRight w:val="0"/>
      <w:marTop w:val="0"/>
      <w:marBottom w:val="0"/>
      <w:divBdr>
        <w:top w:val="none" w:sz="0" w:space="0" w:color="auto"/>
        <w:left w:val="none" w:sz="0" w:space="0" w:color="auto"/>
        <w:bottom w:val="none" w:sz="0" w:space="0" w:color="auto"/>
        <w:right w:val="none" w:sz="0" w:space="0" w:color="auto"/>
      </w:divBdr>
    </w:div>
    <w:div w:id="439109448">
      <w:bodyDiv w:val="1"/>
      <w:marLeft w:val="0"/>
      <w:marRight w:val="0"/>
      <w:marTop w:val="0"/>
      <w:marBottom w:val="0"/>
      <w:divBdr>
        <w:top w:val="none" w:sz="0" w:space="0" w:color="auto"/>
        <w:left w:val="none" w:sz="0" w:space="0" w:color="auto"/>
        <w:bottom w:val="none" w:sz="0" w:space="0" w:color="auto"/>
        <w:right w:val="none" w:sz="0" w:space="0" w:color="auto"/>
      </w:divBdr>
    </w:div>
    <w:div w:id="787941251">
      <w:bodyDiv w:val="1"/>
      <w:marLeft w:val="0"/>
      <w:marRight w:val="0"/>
      <w:marTop w:val="0"/>
      <w:marBottom w:val="0"/>
      <w:divBdr>
        <w:top w:val="none" w:sz="0" w:space="0" w:color="auto"/>
        <w:left w:val="none" w:sz="0" w:space="0" w:color="auto"/>
        <w:bottom w:val="none" w:sz="0" w:space="0" w:color="auto"/>
        <w:right w:val="none" w:sz="0" w:space="0" w:color="auto"/>
      </w:divBdr>
    </w:div>
    <w:div w:id="1021391532">
      <w:bodyDiv w:val="1"/>
      <w:marLeft w:val="0"/>
      <w:marRight w:val="0"/>
      <w:marTop w:val="0"/>
      <w:marBottom w:val="0"/>
      <w:divBdr>
        <w:top w:val="none" w:sz="0" w:space="0" w:color="auto"/>
        <w:left w:val="none" w:sz="0" w:space="0" w:color="auto"/>
        <w:bottom w:val="none" w:sz="0" w:space="0" w:color="auto"/>
        <w:right w:val="none" w:sz="0" w:space="0" w:color="auto"/>
      </w:divBdr>
    </w:div>
    <w:div w:id="1254240319">
      <w:bodyDiv w:val="1"/>
      <w:marLeft w:val="0"/>
      <w:marRight w:val="0"/>
      <w:marTop w:val="0"/>
      <w:marBottom w:val="0"/>
      <w:divBdr>
        <w:top w:val="none" w:sz="0" w:space="0" w:color="auto"/>
        <w:left w:val="none" w:sz="0" w:space="0" w:color="auto"/>
        <w:bottom w:val="none" w:sz="0" w:space="0" w:color="auto"/>
        <w:right w:val="none" w:sz="0" w:space="0" w:color="auto"/>
      </w:divBdr>
    </w:div>
    <w:div w:id="1795169852">
      <w:bodyDiv w:val="1"/>
      <w:marLeft w:val="0"/>
      <w:marRight w:val="0"/>
      <w:marTop w:val="0"/>
      <w:marBottom w:val="0"/>
      <w:divBdr>
        <w:top w:val="none" w:sz="0" w:space="0" w:color="auto"/>
        <w:left w:val="none" w:sz="0" w:space="0" w:color="auto"/>
        <w:bottom w:val="none" w:sz="0" w:space="0" w:color="auto"/>
        <w:right w:val="none" w:sz="0" w:space="0" w:color="auto"/>
      </w:divBdr>
    </w:div>
    <w:div w:id="1827671984">
      <w:bodyDiv w:val="1"/>
      <w:marLeft w:val="0"/>
      <w:marRight w:val="0"/>
      <w:marTop w:val="0"/>
      <w:marBottom w:val="0"/>
      <w:divBdr>
        <w:top w:val="none" w:sz="0" w:space="0" w:color="auto"/>
        <w:left w:val="none" w:sz="0" w:space="0" w:color="auto"/>
        <w:bottom w:val="none" w:sz="0" w:space="0" w:color="auto"/>
        <w:right w:val="none" w:sz="0" w:space="0" w:color="auto"/>
      </w:divBdr>
    </w:div>
    <w:div w:id="1872301287">
      <w:bodyDiv w:val="1"/>
      <w:marLeft w:val="0"/>
      <w:marRight w:val="0"/>
      <w:marTop w:val="0"/>
      <w:marBottom w:val="0"/>
      <w:divBdr>
        <w:top w:val="none" w:sz="0" w:space="0" w:color="auto"/>
        <w:left w:val="none" w:sz="0" w:space="0" w:color="auto"/>
        <w:bottom w:val="none" w:sz="0" w:space="0" w:color="auto"/>
        <w:right w:val="none" w:sz="0" w:space="0" w:color="auto"/>
      </w:divBdr>
    </w:div>
    <w:div w:id="2064211936">
      <w:bodyDiv w:val="1"/>
      <w:marLeft w:val="0"/>
      <w:marRight w:val="0"/>
      <w:marTop w:val="0"/>
      <w:marBottom w:val="0"/>
      <w:divBdr>
        <w:top w:val="none" w:sz="0" w:space="0" w:color="auto"/>
        <w:left w:val="none" w:sz="0" w:space="0" w:color="auto"/>
        <w:bottom w:val="none" w:sz="0" w:space="0" w:color="auto"/>
        <w:right w:val="none" w:sz="0" w:space="0" w:color="auto"/>
      </w:divBdr>
    </w:div>
    <w:div w:id="20796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if.org/de/?page_id=2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70D0D-7A12-4E23-B7B5-C391882DB7C1}">
  <ds:schemaRefs>
    <ds:schemaRef ds:uri="http://schemas.openxmlformats.org/officeDocument/2006/bibliography"/>
  </ds:schemaRefs>
</ds:datastoreItem>
</file>

<file path=customXml/itemProps2.xml><?xml version="1.0" encoding="utf-8"?>
<ds:datastoreItem xmlns:ds="http://schemas.openxmlformats.org/officeDocument/2006/customXml" ds:itemID="{A8975E69-03CD-46B8-9CEA-37F828644F6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B9CC470-E0D2-4FC8-988A-67BEB7DA3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1EA25-FD59-4E8A-8609-CAFE3F855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944</Words>
  <Characters>5381</Characters>
  <Application>Microsoft Office Word</Application>
  <DocSecurity>0</DocSecurity>
  <Lines>44</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ECE/TRANS/WP.15/AC.1/165/Add.1</vt:lpstr>
      <vt:lpstr/>
      <vt:lpstr>United Nations</vt:lpstr>
    </vt:vector>
  </TitlesOfParts>
  <Company>CSD</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ECE/TRANS/WP.15/AC.1/165/Add.1</dc:title>
  <dc:creator>Christine Barrio-Champeau</dc:creator>
  <cp:lastModifiedBy>Laurence Berthet</cp:lastModifiedBy>
  <cp:revision>12</cp:revision>
  <cp:lastPrinted>2023-01-05T07:44:00Z</cp:lastPrinted>
  <dcterms:created xsi:type="dcterms:W3CDTF">2023-01-04T13:31:00Z</dcterms:created>
  <dcterms:modified xsi:type="dcterms:W3CDTF">2023-01-05T07:45:00Z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