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C6282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7DFED5" w14:textId="77777777" w:rsidR="002D5AAC" w:rsidRDefault="002D5AAC" w:rsidP="00AD4B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A618B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0E9DBD" w14:textId="5BCD31A8" w:rsidR="002D5AAC" w:rsidRDefault="00AD4BAD" w:rsidP="00AD4BAD">
            <w:pPr>
              <w:jc w:val="right"/>
            </w:pPr>
            <w:r w:rsidRPr="00AD4BAD">
              <w:rPr>
                <w:sz w:val="40"/>
              </w:rPr>
              <w:t>ECE</w:t>
            </w:r>
            <w:r>
              <w:t>/TRANS/WP.15/AC.1/2023/17</w:t>
            </w:r>
          </w:p>
        </w:tc>
      </w:tr>
      <w:tr w:rsidR="002D5AAC" w:rsidRPr="004D7FAC" w14:paraId="7FD99C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FF98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728BD4" wp14:editId="516B4EB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7E6DD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0BB9D1" w14:textId="77777777" w:rsidR="002D5AAC" w:rsidRDefault="00AD4B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77B764" w14:textId="77777777" w:rsidR="00AD4BAD" w:rsidRDefault="00AD4BAD" w:rsidP="00AD4B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2022</w:t>
            </w:r>
          </w:p>
          <w:p w14:paraId="291E78C7" w14:textId="77777777" w:rsidR="00AD4BAD" w:rsidRDefault="00AD4BAD" w:rsidP="00AD4B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488315" w14:textId="0A09B804" w:rsidR="00AD4BAD" w:rsidRPr="008D53B6" w:rsidRDefault="00AD4BAD" w:rsidP="00AD4B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A51610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F02238" w14:textId="77777777" w:rsidR="00AD4BAD" w:rsidRPr="00A43714" w:rsidRDefault="00AD4BAD" w:rsidP="00AD4BAD">
      <w:pPr>
        <w:spacing w:before="120"/>
        <w:rPr>
          <w:sz w:val="28"/>
          <w:szCs w:val="28"/>
        </w:rPr>
      </w:pPr>
      <w:r w:rsidRPr="00A43714">
        <w:rPr>
          <w:sz w:val="28"/>
          <w:szCs w:val="28"/>
        </w:rPr>
        <w:t>Комитет по внутреннему транспорту</w:t>
      </w:r>
    </w:p>
    <w:p w14:paraId="3D5DA8BE" w14:textId="77777777" w:rsidR="00AD4BAD" w:rsidRPr="00A43714" w:rsidRDefault="00AD4BAD" w:rsidP="00AD4BAD">
      <w:pPr>
        <w:spacing w:before="120" w:after="120"/>
        <w:rPr>
          <w:b/>
          <w:sz w:val="24"/>
          <w:szCs w:val="24"/>
        </w:rPr>
      </w:pPr>
      <w:r w:rsidRPr="00A43714">
        <w:rPr>
          <w:b/>
          <w:bCs/>
          <w:sz w:val="24"/>
          <w:szCs w:val="24"/>
        </w:rPr>
        <w:t>Рабочая группа по перевозкам опасных грузов</w:t>
      </w:r>
    </w:p>
    <w:p w14:paraId="4D1F582A" w14:textId="66053D6B" w:rsidR="00AD4BAD" w:rsidRPr="00A43714" w:rsidRDefault="00AD4BAD" w:rsidP="00AD4BAD">
      <w:pPr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Pr="00AD4BAD">
        <w:rPr>
          <w:b/>
          <w:bCs/>
        </w:rPr>
        <w:br/>
      </w:r>
      <w:r w:rsidR="006E738E">
        <w:rPr>
          <w:b/>
          <w:bCs/>
        </w:rPr>
        <w:t xml:space="preserve">и </w:t>
      </w:r>
      <w:r>
        <w:rPr>
          <w:b/>
          <w:bCs/>
        </w:rPr>
        <w:t>Рабочей группы по перевозкам опасных грузов</w:t>
      </w:r>
    </w:p>
    <w:p w14:paraId="4686269D" w14:textId="77777777" w:rsidR="00AD4BAD" w:rsidRPr="00A43714" w:rsidRDefault="00AD4BAD" w:rsidP="00AD4BAD">
      <w:r>
        <w:t>Берн, 20</w:t>
      </w:r>
      <w:r w:rsidRPr="00AD4BAD">
        <w:t>–</w:t>
      </w:r>
      <w:r>
        <w:t>24 марта 2023 года</w:t>
      </w:r>
    </w:p>
    <w:p w14:paraId="23842955" w14:textId="77777777" w:rsidR="00AD4BAD" w:rsidRPr="00A43714" w:rsidRDefault="00AD4BAD" w:rsidP="00AD4BAD">
      <w:r>
        <w:t>Пункт 8 предварительной повестки дня</w:t>
      </w:r>
    </w:p>
    <w:p w14:paraId="2032629F" w14:textId="77777777" w:rsidR="00AD4BAD" w:rsidRPr="00A43714" w:rsidRDefault="00AD4BAD" w:rsidP="00AD4BAD">
      <w:pPr>
        <w:rPr>
          <w:b/>
          <w:bCs/>
        </w:rPr>
      </w:pPr>
      <w:r>
        <w:rPr>
          <w:b/>
          <w:bCs/>
        </w:rPr>
        <w:t>Будущая работа</w:t>
      </w:r>
    </w:p>
    <w:p w14:paraId="4BD3769D" w14:textId="10005122" w:rsidR="00AD4BAD" w:rsidRPr="00A43714" w:rsidRDefault="00AD4BAD" w:rsidP="00AD4BAD">
      <w:pPr>
        <w:pStyle w:val="HChG"/>
      </w:pPr>
      <w:r>
        <w:tab/>
      </w:r>
      <w:r>
        <w:tab/>
      </w:r>
      <w:r>
        <w:rPr>
          <w:bCs/>
        </w:rPr>
        <w:t>Ссылки на компетентный орган в МПОГ/ДОПОГ/</w:t>
      </w:r>
      <w:r>
        <w:rPr>
          <w:bCs/>
        </w:rPr>
        <w:br/>
        <w:t>ВОПОГ: предложение по кругу ведения неофициальной рабочей группы</w:t>
      </w:r>
      <w:bookmarkStart w:id="0" w:name="_Hlk122511914"/>
      <w:bookmarkEnd w:id="0"/>
    </w:p>
    <w:p w14:paraId="50B55CD0" w14:textId="403C974A" w:rsidR="00E12C5F" w:rsidRDefault="00AD4BAD" w:rsidP="00AD4BAD">
      <w:pPr>
        <w:pStyle w:val="H1G"/>
      </w:pPr>
      <w:r>
        <w:tab/>
      </w:r>
      <w:r>
        <w:tab/>
        <w:t>Передано правительством Швейцарии</w:t>
      </w:r>
      <w:r w:rsidRPr="00AD4BA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AD4BAD">
        <w:rPr>
          <w:rStyle w:val="FootnoteReference"/>
          <w:b w:val="0"/>
          <w:bCs/>
          <w:sz w:val="20"/>
          <w:vertAlign w:val="baseline"/>
          <w:lang w:val="en-US"/>
        </w:rPr>
        <w:t xml:space="preserve"> </w:t>
      </w:r>
      <w:r w:rsidRPr="00AD4BAD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AD4BAD" w14:paraId="52ACD861" w14:textId="77777777" w:rsidTr="00BB161E">
        <w:trPr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F14C6" w14:textId="77777777" w:rsidR="00AD4BAD" w:rsidRPr="00770A97" w:rsidRDefault="00AD4BAD" w:rsidP="00BB161E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770A97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AD4BAD" w:rsidRPr="00A43714" w14:paraId="3313123B" w14:textId="77777777" w:rsidTr="00BB161E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5E305" w14:textId="77777777" w:rsidR="00AD4BAD" w:rsidRPr="00A43714" w:rsidRDefault="00AD4BAD" w:rsidP="00D074F4">
            <w:pPr>
              <w:spacing w:after="120"/>
              <w:ind w:left="3534" w:right="858" w:hanging="2693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 xml:space="preserve"> </w:t>
            </w:r>
            <w:r>
              <w:tab/>
              <w:t>Совместное совещание неоднократно признавало необходимость уточнения того, на какие органы и страны распространяется термин «компетентный орган», используемый в МПОГ/ДОПОГ/ВОПОГ.</w:t>
            </w:r>
          </w:p>
        </w:tc>
      </w:tr>
      <w:tr w:rsidR="00AD4BAD" w:rsidRPr="00A43714" w14:paraId="4437587C" w14:textId="77777777" w:rsidTr="00BB161E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F2BFC" w14:textId="77777777" w:rsidR="00AD4BAD" w:rsidRPr="00A43714" w:rsidRDefault="00AD4BAD" w:rsidP="00D074F4">
            <w:pPr>
              <w:spacing w:after="120"/>
              <w:ind w:left="3534" w:right="858" w:hanging="2693"/>
              <w:jc w:val="both"/>
              <w:rPr>
                <w:bCs/>
              </w:rPr>
            </w:pPr>
            <w:r>
              <w:rPr>
                <w:b/>
                <w:bCs/>
              </w:rPr>
              <w:t>Предлагаемое решение:</w:t>
            </w:r>
            <w:r>
              <w:tab/>
              <w:t>Совместному совещанию предлагается создать неофициальную рабочую группу по ссылкам на компетентный орган и определить ее круг ведения на основе предлагаемого проекта.</w:t>
            </w:r>
          </w:p>
        </w:tc>
      </w:tr>
      <w:tr w:rsidR="00AD4BAD" w:rsidRPr="00A43714" w14:paraId="32CFEA58" w14:textId="77777777" w:rsidTr="00BB161E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4A634B" w14:textId="77777777" w:rsidR="00AD4BAD" w:rsidRPr="00A43714" w:rsidRDefault="00AD4BAD" w:rsidP="00D074F4">
            <w:pPr>
              <w:ind w:left="3534" w:right="1134" w:hanging="2693"/>
              <w:rPr>
                <w:bCs/>
              </w:rPr>
            </w:pPr>
            <w:r>
              <w:rPr>
                <w:b/>
                <w:bCs/>
              </w:rPr>
              <w:t>Справочные документы:</w:t>
            </w:r>
            <w:r>
              <w:tab/>
              <w:t xml:space="preserve">ECE/TRANS/WP.15/AC.1/120, пункты 20 и 21; неофициальный документ INF.48 осенней сессии 2011 года; </w:t>
            </w:r>
            <w:r w:rsidRPr="00E12EFF">
              <w:rPr>
                <w:b/>
                <w:bCs/>
              </w:rPr>
              <w:br/>
            </w:r>
            <w:r>
              <w:t xml:space="preserve">ECE/TRANS/WP.15/AC.1/124, пункты 124 и 125; неофициальный документ INF.21 осенней сессии 2018 года; </w:t>
            </w:r>
            <w:r w:rsidRPr="00E12EFF">
              <w:rPr>
                <w:b/>
                <w:bCs/>
              </w:rPr>
              <w:br/>
            </w:r>
            <w:r>
              <w:t xml:space="preserve">ECE/TRANS/WP.15/AC.1/152, пункты 57–59; ECE/TRANS/WP.15/2021/5; </w:t>
            </w:r>
            <w:r w:rsidRPr="00E12EFF">
              <w:rPr>
                <w:b/>
                <w:bCs/>
              </w:rPr>
              <w:br/>
            </w:r>
            <w:r>
              <w:t>ECE/TRANS/WP.15/253, пункты 36–39</w:t>
            </w:r>
          </w:p>
        </w:tc>
      </w:tr>
      <w:tr w:rsidR="00AD4BAD" w:rsidRPr="00A43714" w14:paraId="4CCC8C4D" w14:textId="77777777" w:rsidTr="00BB161E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15A" w14:textId="77777777" w:rsidR="00AD4BAD" w:rsidRPr="00A43714" w:rsidRDefault="00AD4BAD" w:rsidP="00BB161E"/>
        </w:tc>
      </w:tr>
    </w:tbl>
    <w:p w14:paraId="195402B3" w14:textId="77777777" w:rsidR="00AD4BAD" w:rsidRDefault="00AD4BA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8540ABA" w14:textId="77777777" w:rsidR="00AD4BAD" w:rsidRPr="00AD4BAD" w:rsidRDefault="00AD4BAD" w:rsidP="00AD4BAD">
      <w:pPr>
        <w:pStyle w:val="HChG"/>
      </w:pPr>
      <w:r w:rsidRPr="00AD4BAD">
        <w:lastRenderedPageBreak/>
        <w:tab/>
      </w:r>
      <w:r w:rsidRPr="00AD4BAD">
        <w:tab/>
        <w:t>Введение</w:t>
      </w:r>
    </w:p>
    <w:p w14:paraId="0B2C4156" w14:textId="3D7C9BC9" w:rsidR="00AD4BAD" w:rsidRPr="00AD4BAD" w:rsidRDefault="00AD4BAD" w:rsidP="00AD4BAD">
      <w:pPr>
        <w:pStyle w:val="SingleTxtG"/>
      </w:pPr>
      <w:r w:rsidRPr="00AD4BAD">
        <w:t>1.</w:t>
      </w:r>
      <w:r w:rsidRPr="00AD4BAD">
        <w:tab/>
        <w:t>Швейцария хотела бы предложить Совместному совещанию МПОГ/ДОПОГ/</w:t>
      </w:r>
      <w:r>
        <w:br/>
      </w:r>
      <w:r w:rsidRPr="00AD4BAD">
        <w:t>ВОПОГ возобновить обсуждение вопроса о толковании и уточнении термина «компетентный орган» и создать неофициальную рабочую группу по этому вопросу, как это было решено на осенней сессии 2018 года.</w:t>
      </w:r>
    </w:p>
    <w:p w14:paraId="3BD349D3" w14:textId="77777777" w:rsidR="00AD4BAD" w:rsidRPr="00AD4BAD" w:rsidRDefault="00AD4BAD" w:rsidP="00AD4BAD">
      <w:pPr>
        <w:pStyle w:val="SingleTxtG"/>
        <w:rPr>
          <w:b/>
        </w:rPr>
      </w:pPr>
      <w:r w:rsidRPr="00AD4BAD">
        <w:t>2.</w:t>
      </w:r>
      <w:r w:rsidRPr="00AD4BAD">
        <w:tab/>
        <w:t>В настоящем документе дается краткое описание работы, проделанной Совместным совещанием и Рабочей группой по перевозкам опасных грузов (WP.15). В нем предлагается проект круга ведения неофициальной рабочей группы и вносятся предложения по функционированию этой группы.</w:t>
      </w:r>
    </w:p>
    <w:p w14:paraId="33C3E55E" w14:textId="77777777" w:rsidR="00AD4BAD" w:rsidRPr="00AD4BAD" w:rsidRDefault="00AD4BAD" w:rsidP="00541192">
      <w:pPr>
        <w:pStyle w:val="HChG"/>
      </w:pPr>
      <w:r w:rsidRPr="00AD4BAD">
        <w:tab/>
      </w:r>
      <w:r w:rsidRPr="00AD4BAD">
        <w:tab/>
        <w:t>Работа Совместного совещания</w:t>
      </w:r>
    </w:p>
    <w:p w14:paraId="7D430616" w14:textId="4B68AD6B" w:rsidR="00AD4BAD" w:rsidRPr="00AD4BAD" w:rsidRDefault="00AD4BAD" w:rsidP="00AD4BAD">
      <w:pPr>
        <w:pStyle w:val="SingleTxtG"/>
      </w:pPr>
      <w:r w:rsidRPr="00AD4BAD">
        <w:t>3.</w:t>
      </w:r>
      <w:r w:rsidRPr="00AD4BAD">
        <w:tab/>
        <w:t xml:space="preserve">В 2010 году Совместное совещание столкнулось с вопросом, касающимся компетенции органов стран, не являющихся сторонами МПОГ/ДОПОГ/ВОПОГ, </w:t>
      </w:r>
      <w:r w:rsidR="00DD4FF9">
        <w:br/>
      </w:r>
      <w:r w:rsidRPr="00AD4BAD">
        <w:t>в области утверждения транспортного оборудования. В качестве последующих мер оно поручило секретариату Европейской экономической комиссии составить перечень всех ссылок на «компетентный орган», содержащихся в ДОПОГ. Этот перечень был призван помочь ему однозначно пояснить, какие компетентные органы имеются в виду в различных случаях, которые могут допускать толкование (ECE/TRANS/WP.15/</w:t>
      </w:r>
      <w:r w:rsidR="00541192">
        <w:br/>
      </w:r>
      <w:r w:rsidRPr="00AD4BAD">
        <w:t>AC.1/120, пункты 20 и 21).</w:t>
      </w:r>
    </w:p>
    <w:p w14:paraId="0F4D6A03" w14:textId="77755EFD" w:rsidR="00AD4BAD" w:rsidRPr="00AD4BAD" w:rsidRDefault="00AD4BAD" w:rsidP="00AD4BAD">
      <w:pPr>
        <w:pStyle w:val="SingleTxtG"/>
      </w:pPr>
      <w:r w:rsidRPr="00AD4BAD">
        <w:t>4.</w:t>
      </w:r>
      <w:r w:rsidRPr="00AD4BAD">
        <w:tab/>
        <w:t xml:space="preserve">Секретариат опубликовал перечень ссылок, содержащихся в частях 1–3 ДОПОГ, в неофициальном документе INF.48 осенней сессии 2011 года и перечень ссылок, содержащихся в частях 1–7 ДОПОГ, </w:t>
      </w:r>
      <w:r w:rsidR="00541192">
        <w:t>—</w:t>
      </w:r>
      <w:r w:rsidRPr="00AD4BAD">
        <w:t xml:space="preserve"> в неофициальном документе INF.21 осенней сессии 2018 года. </w:t>
      </w:r>
    </w:p>
    <w:p w14:paraId="27E8BDD9" w14:textId="1E746A46" w:rsidR="00AD4BAD" w:rsidRPr="00AD4BAD" w:rsidRDefault="00AD4BAD" w:rsidP="00AD4BAD">
      <w:pPr>
        <w:pStyle w:val="SingleTxtG"/>
      </w:pPr>
      <w:r w:rsidRPr="00AD4BAD">
        <w:t>5.</w:t>
      </w:r>
      <w:r w:rsidRPr="00AD4BAD">
        <w:tab/>
        <w:t>В соответствии с просьбой Совместного совещания в неофициальном документе INF.21 также содержится ряд соображений относительно концепции компетентного органа. Кроме того, в перечне ссылок предлагается уточнение термина в каждом случае, когда это необходимо (ECE/TRANS/WP.15/AC.1/124, пункты 124 и</w:t>
      </w:r>
      <w:r w:rsidR="00541192">
        <w:rPr>
          <w:lang w:val="en-US"/>
        </w:rPr>
        <w:t> </w:t>
      </w:r>
      <w:r w:rsidRPr="00AD4BAD">
        <w:t>125).</w:t>
      </w:r>
    </w:p>
    <w:p w14:paraId="26C7EF9F" w14:textId="54FFBCA1" w:rsidR="00AD4BAD" w:rsidRPr="00AD4BAD" w:rsidRDefault="00AD4BAD" w:rsidP="00AD4BAD">
      <w:pPr>
        <w:pStyle w:val="SingleTxtG"/>
      </w:pPr>
      <w:r w:rsidRPr="00AD4BAD">
        <w:t>6.</w:t>
      </w:r>
      <w:r w:rsidRPr="00AD4BAD">
        <w:tab/>
        <w:t xml:space="preserve">Признавая, что обсудить все поднятые вопросы на пленарном заседании будет сложно, Совместное совещание в сентябре 2018 года решило поручить их рассмотрение неофициальной рабочей группе и предложило заинтересованным делегациям представить предложение по кругу ведения такой группы. Было предложено также учесть результаты соответствующих обсуждений в рамках неофициальной рабочей группы по проверке и утверждению цистерн, </w:t>
      </w:r>
      <w:r w:rsidR="00DD4FF9">
        <w:br/>
      </w:r>
      <w:r w:rsidRPr="00AD4BAD">
        <w:t>которые касались ссылок на компетентный орган (ECE/TRANS/WP.15/AC.1/152, пункты 57–59).</w:t>
      </w:r>
    </w:p>
    <w:p w14:paraId="5F406CAB" w14:textId="77777777" w:rsidR="00AD4BAD" w:rsidRPr="00AD4BAD" w:rsidRDefault="00AD4BAD" w:rsidP="00DD4FF9">
      <w:pPr>
        <w:pStyle w:val="HChG"/>
      </w:pPr>
      <w:r w:rsidRPr="00AD4BAD">
        <w:tab/>
      </w:r>
      <w:r w:rsidRPr="00AD4BAD">
        <w:tab/>
        <w:t>Работа Рабочей группы по перевозкам опасных грузов</w:t>
      </w:r>
    </w:p>
    <w:p w14:paraId="4595C805" w14:textId="77777777" w:rsidR="00AD4BAD" w:rsidRPr="00AD4BAD" w:rsidRDefault="00AD4BAD" w:rsidP="00AD4BAD">
      <w:pPr>
        <w:pStyle w:val="SingleTxtG"/>
      </w:pPr>
      <w:r w:rsidRPr="00AD4BAD">
        <w:t>7.</w:t>
      </w:r>
      <w:r w:rsidRPr="00AD4BAD">
        <w:tab/>
        <w:t>Рабочая группа по перевозкам опасных грузов (WP.15) продолжила обсуждение и рассмотрела ссылки, сделанные в частях 8 и 9 ДОПОГ.</w:t>
      </w:r>
    </w:p>
    <w:p w14:paraId="1E2730E0" w14:textId="77777777" w:rsidR="00AD4BAD" w:rsidRPr="00AD4BAD" w:rsidRDefault="00AD4BAD" w:rsidP="00AD4BAD">
      <w:pPr>
        <w:pStyle w:val="SingleTxtG"/>
      </w:pPr>
      <w:r w:rsidRPr="00AD4BAD">
        <w:t xml:space="preserve">8. </w:t>
      </w:r>
      <w:r w:rsidRPr="00AD4BAD">
        <w:tab/>
        <w:t>На своей сессии в мае 2021 года она установила, что некоторые ссылки на компетентный орган являются ясными и не вызывают проблем с толкованием. В этом случае текст ДОПОГ не нужно изменять. Напротив, другие ссылки могут привести к различным толкованиям и нуждаются в уточнении, не требуя, однако, внесения поправок в текст ДОПОГ (ECE/TRANS/WP.15/253, пункты 36–39).</w:t>
      </w:r>
    </w:p>
    <w:p w14:paraId="608AB8AC" w14:textId="6688172A" w:rsidR="00AD4BAD" w:rsidRPr="00AD4BAD" w:rsidRDefault="00AD4BAD" w:rsidP="00AD4BAD">
      <w:pPr>
        <w:pStyle w:val="SingleTxtG"/>
      </w:pPr>
      <w:r w:rsidRPr="00AD4BAD">
        <w:t>9.</w:t>
      </w:r>
      <w:r w:rsidRPr="00AD4BAD">
        <w:tab/>
        <w:t>WP.15 дала толкования этим ссылкам, и секретариат опубликовал их на веб-странице Европейской экономической комиссии, посвященной толкованиям ДОПОГ (</w:t>
      </w:r>
      <w:hyperlink r:id="rId8" w:history="1">
        <w:r w:rsidRPr="00AD4BAD">
          <w:rPr>
            <w:rStyle w:val="Hyperlink"/>
          </w:rPr>
          <w:t>https://unece.org/transport/dangerous-goods/adr-interpretation-list?accordion=0#accordion_5</w:t>
        </w:r>
      </w:hyperlink>
      <w:r w:rsidRPr="00AD4BAD">
        <w:t>).</w:t>
      </w:r>
    </w:p>
    <w:p w14:paraId="44DB7A46" w14:textId="77777777" w:rsidR="00AD4BAD" w:rsidRPr="00AD4BAD" w:rsidRDefault="00AD4BAD" w:rsidP="00DD4FF9">
      <w:pPr>
        <w:pStyle w:val="HChG"/>
      </w:pPr>
      <w:r w:rsidRPr="00AD4BAD">
        <w:lastRenderedPageBreak/>
        <w:tab/>
      </w:r>
      <w:r w:rsidRPr="00AD4BAD">
        <w:tab/>
        <w:t>Проект круга ведения неофициальной рабочей группы по ссылкам на компетентный орган</w:t>
      </w:r>
    </w:p>
    <w:p w14:paraId="32EE9676" w14:textId="77777777" w:rsidR="00AD4BAD" w:rsidRPr="00AD4BAD" w:rsidRDefault="00AD4BAD" w:rsidP="00AD4BAD">
      <w:pPr>
        <w:pStyle w:val="SingleTxtG"/>
      </w:pPr>
      <w:r w:rsidRPr="00AD4BAD">
        <w:t>10.</w:t>
      </w:r>
      <w:r w:rsidRPr="00AD4BAD">
        <w:tab/>
        <w:t>Работа неофициальной рабочей группы должна привести к четкому и однозначному пониманию термина «компетентный орган» в частях 1–7 МПОГ/ДОПОГ/ВОПОГ. Она должна дать возможность понять в каждом конкретном случае, какой орган и в какой стране имеется в виду. Работа неофициальной рабочей группы будет осуществляться в два этапа:</w:t>
      </w:r>
    </w:p>
    <w:p w14:paraId="060F0E34" w14:textId="77777777" w:rsidR="00AD4BAD" w:rsidRPr="00AD4BAD" w:rsidRDefault="00AD4BAD" w:rsidP="00DD4FF9">
      <w:pPr>
        <w:pStyle w:val="SingleTxtG"/>
        <w:numPr>
          <w:ilvl w:val="0"/>
          <w:numId w:val="22"/>
        </w:numPr>
        <w:tabs>
          <w:tab w:val="clear" w:pos="1701"/>
        </w:tabs>
        <w:ind w:left="1701" w:hanging="567"/>
      </w:pPr>
      <w:r w:rsidRPr="00AD4BAD">
        <w:t>Разработка руководящих принципов; в ходе этой работы необходимо:</w:t>
      </w:r>
    </w:p>
    <w:p w14:paraId="0AA0927F" w14:textId="77777777" w:rsidR="00AD4BAD" w:rsidRPr="00AD4BAD" w:rsidRDefault="00AD4BAD" w:rsidP="00DD4FF9">
      <w:pPr>
        <w:pStyle w:val="Bullet1G"/>
      </w:pPr>
      <w:r w:rsidRPr="00AD4BAD">
        <w:t xml:space="preserve">сформулировать комплекс принципов для определения типа соответствующего компетентного органа; </w:t>
      </w:r>
    </w:p>
    <w:p w14:paraId="4D20CF0E" w14:textId="77777777" w:rsidR="00AD4BAD" w:rsidRPr="00AD4BAD" w:rsidRDefault="00AD4BAD" w:rsidP="00DD4FF9">
      <w:pPr>
        <w:pStyle w:val="Bullet1G"/>
      </w:pPr>
      <w:r w:rsidRPr="00AD4BAD">
        <w:t>определить, каким образом следует ссылаться на «компетентный орган»;</w:t>
      </w:r>
    </w:p>
    <w:p w14:paraId="7EB41969" w14:textId="78084C6B" w:rsidR="00AD4BAD" w:rsidRPr="00AD4BAD" w:rsidRDefault="00AD4BAD" w:rsidP="00DD4FF9">
      <w:pPr>
        <w:pStyle w:val="Bullet1G"/>
      </w:pPr>
      <w:r w:rsidRPr="00AD4BAD">
        <w:t>определить процедуру, которой необходимо следовать, если соответствующий орган является органом страны, не являющейся стороной МПОГ/ДОПОГ/</w:t>
      </w:r>
      <w:r w:rsidR="00DD4FF9">
        <w:br/>
      </w:r>
      <w:r w:rsidRPr="00AD4BAD">
        <w:t>ВОПОГ (третья страна);</w:t>
      </w:r>
    </w:p>
    <w:p w14:paraId="5E3FBC5E" w14:textId="77777777" w:rsidR="00AD4BAD" w:rsidRPr="00AD4BAD" w:rsidRDefault="00AD4BAD" w:rsidP="00DD4FF9">
      <w:pPr>
        <w:pStyle w:val="Bullet1G"/>
      </w:pPr>
      <w:r w:rsidRPr="00AD4BAD">
        <w:t>предложить меры по уточнению терминов, такие, например, как публикация перечня толкований на веб-сайтах ОТИФ и Европейской экономической комиссии и внесение изменений в тексты МПОГ/ДОПОГ/ВОПОГ;</w:t>
      </w:r>
    </w:p>
    <w:p w14:paraId="4E2A394A" w14:textId="77777777" w:rsidR="00AD4BAD" w:rsidRPr="00AD4BAD" w:rsidRDefault="00AD4BAD" w:rsidP="00DD4FF9">
      <w:pPr>
        <w:pStyle w:val="Bullet1G"/>
      </w:pPr>
      <w:r w:rsidRPr="00AD4BAD">
        <w:t>определить критерии, в соответствии с которыми ссылки требуют реализации той или иной меры. Для этого необходимо взвесить преимущества и недостатки обоих видов мер и принять во внимание, что некоторые ссылки взяты из Типовых правил ООН;</w:t>
      </w:r>
    </w:p>
    <w:p w14:paraId="44E4AF3D" w14:textId="77777777" w:rsidR="00AD4BAD" w:rsidRPr="00AD4BAD" w:rsidRDefault="00AD4BAD" w:rsidP="00DD4FF9">
      <w:pPr>
        <w:pStyle w:val="Bullet1G"/>
      </w:pPr>
      <w:r w:rsidRPr="00AD4BAD">
        <w:t>обеспечить утверждение этих принципов Совместным совещанием.</w:t>
      </w:r>
    </w:p>
    <w:p w14:paraId="14238B75" w14:textId="77777777" w:rsidR="00AD4BAD" w:rsidRPr="00AD4BAD" w:rsidRDefault="00AD4BAD" w:rsidP="00DD4FF9">
      <w:pPr>
        <w:pStyle w:val="SingleTxtG"/>
        <w:numPr>
          <w:ilvl w:val="0"/>
          <w:numId w:val="22"/>
        </w:numPr>
        <w:tabs>
          <w:tab w:val="clear" w:pos="1701"/>
        </w:tabs>
        <w:ind w:left="1701" w:hanging="567"/>
      </w:pPr>
      <w:r w:rsidRPr="00AD4BAD">
        <w:t>Пересмотр и уточнение ссылок; в ходе этой работы необходимо:</w:t>
      </w:r>
    </w:p>
    <w:p w14:paraId="32A9C83E" w14:textId="77777777" w:rsidR="00AD4BAD" w:rsidRPr="00AD4BAD" w:rsidRDefault="00AD4BAD" w:rsidP="00DD4FF9">
      <w:pPr>
        <w:pStyle w:val="Bullet1G"/>
      </w:pPr>
      <w:r w:rsidRPr="00AD4BAD">
        <w:t>пересмотреть ссылки в соответствии со сформулированными принципами;</w:t>
      </w:r>
    </w:p>
    <w:p w14:paraId="3673C9F7" w14:textId="74AE65FB" w:rsidR="00AD4BAD" w:rsidRPr="00AD4BAD" w:rsidRDefault="00AD4BAD" w:rsidP="00DD4FF9">
      <w:pPr>
        <w:pStyle w:val="Bullet1G"/>
      </w:pPr>
      <w:r w:rsidRPr="00AD4BAD">
        <w:t>составить перечень толкований для принятия Совместным совещанием и публикации на веб-сайтах ОТИФ и Европейской экономической комиссии</w:t>
      </w:r>
      <w:r w:rsidR="00F9089C" w:rsidRPr="00F9089C">
        <w:t>;</w:t>
      </w:r>
    </w:p>
    <w:p w14:paraId="1317E199" w14:textId="77777777" w:rsidR="00AD4BAD" w:rsidRPr="00AD4BAD" w:rsidRDefault="00AD4BAD" w:rsidP="00DD4FF9">
      <w:pPr>
        <w:pStyle w:val="Bullet1G"/>
      </w:pPr>
      <w:r w:rsidRPr="00AD4BAD">
        <w:t>подготовить предложения о внесении поправок в МПОГ/ДОПОГ/ВОПОГ;</w:t>
      </w:r>
    </w:p>
    <w:p w14:paraId="16366E65" w14:textId="77777777" w:rsidR="00AD4BAD" w:rsidRPr="00AD4BAD" w:rsidRDefault="00AD4BAD" w:rsidP="00DD4FF9">
      <w:pPr>
        <w:pStyle w:val="Bullet1G"/>
      </w:pPr>
      <w:r w:rsidRPr="00AD4BAD">
        <w:t>в соответствующих случаях передать в Подкомитет экспертов ООН предложения о внесении поправок в Рекомендации по перевозке опасных грузов.</w:t>
      </w:r>
    </w:p>
    <w:p w14:paraId="4135DAEE" w14:textId="77777777" w:rsidR="00AD4BAD" w:rsidRPr="00AD4BAD" w:rsidRDefault="00AD4BAD" w:rsidP="00DD4FF9">
      <w:pPr>
        <w:pStyle w:val="HChG"/>
      </w:pPr>
      <w:r w:rsidRPr="00AD4BAD">
        <w:tab/>
      </w:r>
      <w:r w:rsidRPr="00AD4BAD">
        <w:tab/>
      </w:r>
      <w:r w:rsidRPr="00AD4BAD">
        <w:tab/>
        <w:t xml:space="preserve">Функционирование неофициальной рабочей группы </w:t>
      </w:r>
    </w:p>
    <w:p w14:paraId="4A1CA5D1" w14:textId="5749F5D4" w:rsidR="00AD4BAD" w:rsidRPr="00AD4BAD" w:rsidRDefault="00AD4BAD" w:rsidP="00AD4BAD">
      <w:pPr>
        <w:pStyle w:val="SingleTxtG"/>
      </w:pPr>
      <w:r w:rsidRPr="00AD4BAD">
        <w:t>11.</w:t>
      </w:r>
      <w:r w:rsidRPr="00AD4BAD">
        <w:tab/>
        <w:t xml:space="preserve">Швейцария считает, что неофициальная рабочая группа могла бы провести первое совещание в режиме онлайн весной 2023 года, а второе </w:t>
      </w:r>
      <w:r w:rsidR="00DD4FF9">
        <w:t>—</w:t>
      </w:r>
      <w:r w:rsidRPr="00AD4BAD">
        <w:t xml:space="preserve"> в ходе сессии Совместного совещания осенью 2023 года в Женеве. На этих первых двух совещаниях должны быть определены руководящие принципы. В дальнейшем было бы предпочтительнее проводить очные совещания, чтобы обеспечить более широкий обмен мнениями и повысить эффективность работы. </w:t>
      </w:r>
    </w:p>
    <w:p w14:paraId="48121619" w14:textId="77777777" w:rsidR="00AD4BAD" w:rsidRPr="00AD4BAD" w:rsidRDefault="00AD4BAD" w:rsidP="00AD4BAD">
      <w:pPr>
        <w:pStyle w:val="SingleTxtG"/>
      </w:pPr>
      <w:r w:rsidRPr="00AD4BAD">
        <w:t>12.</w:t>
      </w:r>
      <w:r w:rsidRPr="00AD4BAD">
        <w:tab/>
        <w:t>Группе потребуется один человек для руководства работой и один человек для оказания секретариатских услуг. В частности, необходимо будет вести перечень ссылок, толкований и предлагаемых поправок. Кроме того, такой перечень необходимо будет дополнить ссылками из МПОГ и ВОПОГ, которые отличаются от уже перечисленных ссылок из ДОПОГ.</w:t>
      </w:r>
    </w:p>
    <w:p w14:paraId="78E68862" w14:textId="77777777" w:rsidR="00AD4BAD" w:rsidRPr="00AD4BAD" w:rsidRDefault="00AD4BAD" w:rsidP="00AD4BAD">
      <w:pPr>
        <w:pStyle w:val="SingleTxtG"/>
      </w:pPr>
      <w:r w:rsidRPr="00AD4BAD">
        <w:t>13.</w:t>
      </w:r>
      <w:r w:rsidRPr="00AD4BAD">
        <w:tab/>
        <w:t>На своей осенней сессии 2018 года Совместное совещание сочло, что участие секретариата в совещаниях неофициальной рабочей группы в той мере, в какой это позволят время и ресурсы, является желательным. Секретариатам ОТИФ и Европейской экономической комиссии предлагается проинформировать Совместное совещание об имеющихся ресурсах.</w:t>
      </w:r>
    </w:p>
    <w:p w14:paraId="3F0B067F" w14:textId="77777777" w:rsidR="00AD4BAD" w:rsidRPr="00AD4BAD" w:rsidRDefault="00AD4BAD" w:rsidP="00AD4BAD">
      <w:pPr>
        <w:pStyle w:val="SingleTxtG"/>
      </w:pPr>
      <w:r w:rsidRPr="00AD4BAD">
        <w:lastRenderedPageBreak/>
        <w:t>14.</w:t>
      </w:r>
      <w:r w:rsidRPr="00AD4BAD">
        <w:tab/>
        <w:t xml:space="preserve">Делегация Швейцарии может взять на себя организацию совещаний и, при необходимости, обеспечить секретариат группы. Чтобы иметь актуальный перечень ссылок, она обновила неофициальный документ INF.21 осенней сессии 2018 года, включив в него тексты из варианта ДОПОГ 2023 года. В частности, в него включены новые тексты по проверке и утверждению цистерн, где содержатся ссылки на компетентный орган (см. неофициальный документ INF.3). </w:t>
      </w:r>
    </w:p>
    <w:p w14:paraId="25050962" w14:textId="77777777" w:rsidR="00AD4BAD" w:rsidRPr="00AD4BAD" w:rsidRDefault="00AD4BAD" w:rsidP="00AD4BAD">
      <w:pPr>
        <w:pStyle w:val="SingleTxtG"/>
      </w:pPr>
      <w:r w:rsidRPr="00AD4BAD">
        <w:t>15.</w:t>
      </w:r>
      <w:r w:rsidRPr="00AD4BAD">
        <w:tab/>
        <w:t>Совместному совещанию предлагается принять решение по представленному проекту круга ведения и порядку работы неофициальной рабочей группы. Делегации, заинтересованные в участии в этой группе, уже могут сообщить о своей заинтересованности.</w:t>
      </w:r>
    </w:p>
    <w:p w14:paraId="23400A94" w14:textId="70D5CE1B" w:rsidR="00AD4BAD" w:rsidRPr="00AD4BAD" w:rsidRDefault="00AD4BAD" w:rsidP="00AD4BA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4BAD" w:rsidRPr="00AD4BAD" w:rsidSect="00AD4B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AB1F" w14:textId="77777777" w:rsidR="00B419DB" w:rsidRPr="00A312BC" w:rsidRDefault="00B419DB" w:rsidP="00A312BC"/>
  </w:endnote>
  <w:endnote w:type="continuationSeparator" w:id="0">
    <w:p w14:paraId="3D715F64" w14:textId="77777777" w:rsidR="00B419DB" w:rsidRPr="00A312BC" w:rsidRDefault="00B419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38E" w14:textId="3444DE41" w:rsidR="00AD4BAD" w:rsidRPr="00AD4BAD" w:rsidRDefault="00AD4BAD">
    <w:pPr>
      <w:pStyle w:val="Footer"/>
    </w:pPr>
    <w:r w:rsidRPr="00AD4BAD">
      <w:rPr>
        <w:b/>
        <w:sz w:val="18"/>
      </w:rPr>
      <w:fldChar w:fldCharType="begin"/>
    </w:r>
    <w:r w:rsidRPr="00AD4BAD">
      <w:rPr>
        <w:b/>
        <w:sz w:val="18"/>
      </w:rPr>
      <w:instrText xml:space="preserve"> PAGE  \* MERGEFORMAT </w:instrText>
    </w:r>
    <w:r w:rsidRPr="00AD4BAD">
      <w:rPr>
        <w:b/>
        <w:sz w:val="18"/>
      </w:rPr>
      <w:fldChar w:fldCharType="separate"/>
    </w:r>
    <w:r w:rsidRPr="00AD4BAD">
      <w:rPr>
        <w:b/>
        <w:noProof/>
        <w:sz w:val="18"/>
      </w:rPr>
      <w:t>2</w:t>
    </w:r>
    <w:r w:rsidRPr="00AD4BAD">
      <w:rPr>
        <w:b/>
        <w:sz w:val="18"/>
      </w:rPr>
      <w:fldChar w:fldCharType="end"/>
    </w:r>
    <w:r>
      <w:rPr>
        <w:b/>
        <w:sz w:val="18"/>
      </w:rPr>
      <w:tab/>
    </w:r>
    <w:r>
      <w:t>GE.22-29204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38FC" w14:textId="1EDB0409" w:rsidR="00AD4BAD" w:rsidRPr="00AD4BAD" w:rsidRDefault="00AD4BAD" w:rsidP="00AD4BAD">
    <w:pPr>
      <w:pStyle w:val="Footer"/>
      <w:tabs>
        <w:tab w:val="clear" w:pos="9639"/>
        <w:tab w:val="right" w:pos="9638"/>
      </w:tabs>
      <w:rPr>
        <w:b/>
        <w:sz w:val="18"/>
      </w:rPr>
    </w:pPr>
    <w:r>
      <w:t>GE.22-29204</w:t>
    </w:r>
    <w:r>
      <w:tab/>
    </w:r>
    <w:r w:rsidRPr="00AD4BAD">
      <w:rPr>
        <w:b/>
        <w:sz w:val="18"/>
      </w:rPr>
      <w:fldChar w:fldCharType="begin"/>
    </w:r>
    <w:r w:rsidRPr="00AD4BAD">
      <w:rPr>
        <w:b/>
        <w:sz w:val="18"/>
      </w:rPr>
      <w:instrText xml:space="preserve"> PAGE  \* MERGEFORMAT </w:instrText>
    </w:r>
    <w:r w:rsidRPr="00AD4BAD">
      <w:rPr>
        <w:b/>
        <w:sz w:val="18"/>
      </w:rPr>
      <w:fldChar w:fldCharType="separate"/>
    </w:r>
    <w:r w:rsidRPr="00AD4BAD">
      <w:rPr>
        <w:b/>
        <w:noProof/>
        <w:sz w:val="18"/>
      </w:rPr>
      <w:t>3</w:t>
    </w:r>
    <w:r w:rsidRPr="00AD4B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7C3E" w14:textId="04FCB68B" w:rsidR="00042B72" w:rsidRPr="004D7FAC" w:rsidRDefault="00AD4BAD" w:rsidP="00AD4BA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288739" wp14:editId="107802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B23BB4" wp14:editId="692256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FAC">
      <w:rPr>
        <w:lang w:val="en-US"/>
      </w:rPr>
      <w:t xml:space="preserve">  060123  120123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57FD" w14:textId="77777777" w:rsidR="00B419DB" w:rsidRPr="001075E9" w:rsidRDefault="00B419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BB96F9" w14:textId="77777777" w:rsidR="00B419DB" w:rsidRDefault="00B419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BC7FFE" w14:textId="53885A3F" w:rsidR="00AD4BAD" w:rsidRPr="004D7FAC" w:rsidRDefault="00AD4BAD">
      <w:pPr>
        <w:pStyle w:val="FootnoteText"/>
        <w:rPr>
          <w:sz w:val="20"/>
        </w:rPr>
      </w:pPr>
      <w:r>
        <w:tab/>
      </w:r>
      <w:r w:rsidRPr="00AD4BAD">
        <w:rPr>
          <w:rStyle w:val="FootnoteReference"/>
          <w:sz w:val="20"/>
          <w:vertAlign w:val="baseline"/>
        </w:rPr>
        <w:t>*</w:t>
      </w:r>
      <w:r w:rsidRPr="00AD4BAD">
        <w:rPr>
          <w:rStyle w:val="FootnoteReference"/>
          <w:vertAlign w:val="baseline"/>
        </w:rPr>
        <w:tab/>
      </w:r>
      <w:r>
        <w:t>A/77/6 (разд. 20), п. 20.76.</w:t>
      </w:r>
    </w:p>
  </w:footnote>
  <w:footnote w:id="2">
    <w:p w14:paraId="323C7A40" w14:textId="2AA96962" w:rsidR="00AD4BAD" w:rsidRPr="00AD4BAD" w:rsidRDefault="00AD4BAD">
      <w:pPr>
        <w:pStyle w:val="FootnoteText"/>
        <w:rPr>
          <w:sz w:val="20"/>
        </w:rPr>
      </w:pPr>
      <w:r>
        <w:tab/>
      </w:r>
      <w:r w:rsidRPr="00AD4BAD">
        <w:rPr>
          <w:rStyle w:val="FootnoteReference"/>
          <w:sz w:val="20"/>
          <w:vertAlign w:val="baseline"/>
        </w:rPr>
        <w:t>**</w:t>
      </w:r>
      <w:r w:rsidRPr="00AD4BAD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5731" w14:textId="4DD9F3A6" w:rsidR="00AD4BAD" w:rsidRPr="00AD4BAD" w:rsidRDefault="00AD4BAD">
    <w:pPr>
      <w:pStyle w:val="Header"/>
    </w:pPr>
    <w:fldSimple w:instr=" TITLE  \* MERGEFORMAT ">
      <w:r w:rsidR="009C0959">
        <w:t>ECE/TRANS/WP.15/AC.1/2023/17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0EDD" w14:textId="653A8D83" w:rsidR="00AD4BAD" w:rsidRPr="00AD4BAD" w:rsidRDefault="00AD4BAD" w:rsidP="00AD4BAD">
    <w:pPr>
      <w:pStyle w:val="Header"/>
      <w:jc w:val="right"/>
    </w:pPr>
    <w:fldSimple w:instr=" TITLE  \* MERGEFORMAT ">
      <w:r w:rsidR="009C0959">
        <w:t>ECE/TRANS/WP.15/AC.1/2023/17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15AF2"/>
    <w:multiLevelType w:val="hybridMultilevel"/>
    <w:tmpl w:val="1BA27958"/>
    <w:lvl w:ilvl="0" w:tplc="22962B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D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4ABD"/>
    <w:rsid w:val="00452493"/>
    <w:rsid w:val="00453318"/>
    <w:rsid w:val="00454AF2"/>
    <w:rsid w:val="00454E07"/>
    <w:rsid w:val="00472C5C"/>
    <w:rsid w:val="00485F8A"/>
    <w:rsid w:val="004D7FAC"/>
    <w:rsid w:val="004E05B7"/>
    <w:rsid w:val="0050108D"/>
    <w:rsid w:val="00513081"/>
    <w:rsid w:val="00517901"/>
    <w:rsid w:val="00526683"/>
    <w:rsid w:val="00526DB8"/>
    <w:rsid w:val="00537695"/>
    <w:rsid w:val="0054119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26CA"/>
    <w:rsid w:val="00680D03"/>
    <w:rsid w:val="00681A10"/>
    <w:rsid w:val="006A1ED8"/>
    <w:rsid w:val="006C2031"/>
    <w:rsid w:val="006D461A"/>
    <w:rsid w:val="006E738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69A7"/>
    <w:rsid w:val="00911BE4"/>
    <w:rsid w:val="00951972"/>
    <w:rsid w:val="009608F3"/>
    <w:rsid w:val="009A24AC"/>
    <w:rsid w:val="009C0959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4BAD"/>
    <w:rsid w:val="00B10CC7"/>
    <w:rsid w:val="00B36DF7"/>
    <w:rsid w:val="00B419DB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74F4"/>
    <w:rsid w:val="00D33D63"/>
    <w:rsid w:val="00D5253A"/>
    <w:rsid w:val="00D873A8"/>
    <w:rsid w:val="00D90028"/>
    <w:rsid w:val="00D90138"/>
    <w:rsid w:val="00D9145B"/>
    <w:rsid w:val="00DA491D"/>
    <w:rsid w:val="00DD4FF9"/>
    <w:rsid w:val="00DD78D1"/>
    <w:rsid w:val="00DE32CD"/>
    <w:rsid w:val="00DF5767"/>
    <w:rsid w:val="00DF71B9"/>
    <w:rsid w:val="00E12C5F"/>
    <w:rsid w:val="00E4473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089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EFA4F"/>
  <w15:docId w15:val="{70C14989-FF76-4D2F-AA08-8DD6F3C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locked/>
    <w:rsid w:val="00AD4BAD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D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angerous-goods/adr-interpretation-list?accordion=0%23accordion_5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53C0B37-278D-4165-BBDB-D3B21F46CCF8}"/>
</file>

<file path=customXml/itemProps2.xml><?xml version="1.0" encoding="utf-8"?>
<ds:datastoreItem xmlns:ds="http://schemas.openxmlformats.org/officeDocument/2006/customXml" ds:itemID="{763061E3-8204-43F1-A78A-AEC3255512FF}"/>
</file>

<file path=customXml/itemProps3.xml><?xml version="1.0" encoding="utf-8"?>
<ds:datastoreItem xmlns:ds="http://schemas.openxmlformats.org/officeDocument/2006/customXml" ds:itemID="{6FF270E9-CE5A-4709-8B44-E4D1C916A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7019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ECE/TRANS/WP.15/AC.1/2023/17</vt:lpstr>
      <vt:lpstr>A/</vt:lpstr>
      <vt:lpstr>A/</vt:lpstr>
    </vt:vector>
  </TitlesOfParts>
  <Company>DCM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ECE/TRANS/WP.15/AC.1/2023/17</dc:title>
  <dc:subject/>
  <dc:creator>Anna PETELINA</dc:creator>
  <cp:keywords/>
  <cp:lastModifiedBy>Laurence Berthet</cp:lastModifiedBy>
  <cp:revision>3</cp:revision>
  <cp:lastPrinted>2023-01-17T13:26:00Z</cp:lastPrinted>
  <dcterms:created xsi:type="dcterms:W3CDTF">2023-01-17T13:26:00Z</dcterms:created>
  <dcterms:modified xsi:type="dcterms:W3CDTF">2023-01-17T13:26:00Z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