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9639"/>
      </w:tblGrid>
      <w:tr w:rsidR="00EF0D81" w:rsidRPr="0099001C" w14:paraId="27324BBB" w14:textId="77777777" w:rsidTr="000D5782">
        <w:trPr>
          <w:cantSplit/>
          <w:trHeight w:hRule="exact" w:val="851"/>
        </w:trPr>
        <w:tc>
          <w:tcPr>
            <w:tcW w:w="9639" w:type="dxa"/>
            <w:tcBorders>
              <w:bottom w:val="single" w:sz="4" w:space="0" w:color="auto"/>
            </w:tcBorders>
            <w:vAlign w:val="bottom"/>
          </w:tcPr>
          <w:p w14:paraId="56EB97FB" w14:textId="55E6F1CC" w:rsidR="00EF0D81" w:rsidRPr="0099001C" w:rsidRDefault="00EF0D81" w:rsidP="00E76D3E">
            <w:pPr>
              <w:jc w:val="right"/>
              <w:rPr>
                <w:b/>
                <w:sz w:val="40"/>
                <w:szCs w:val="40"/>
              </w:rPr>
            </w:pPr>
            <w:r w:rsidRPr="0099001C">
              <w:rPr>
                <w:b/>
                <w:sz w:val="40"/>
                <w:szCs w:val="40"/>
              </w:rPr>
              <w:t>UN/SCEGHS/</w:t>
            </w:r>
            <w:r w:rsidR="00D73D34">
              <w:rPr>
                <w:b/>
                <w:sz w:val="40"/>
                <w:szCs w:val="40"/>
              </w:rPr>
              <w:t>43</w:t>
            </w:r>
            <w:r w:rsidRPr="0099001C">
              <w:rPr>
                <w:b/>
                <w:sz w:val="40"/>
                <w:szCs w:val="40"/>
              </w:rPr>
              <w:t>/INF.</w:t>
            </w:r>
            <w:r w:rsidR="003C50F7">
              <w:rPr>
                <w:b/>
                <w:sz w:val="40"/>
                <w:szCs w:val="40"/>
              </w:rPr>
              <w:t>3</w:t>
            </w:r>
            <w:r w:rsidR="00C13A0A">
              <w:rPr>
                <w:b/>
                <w:sz w:val="40"/>
                <w:szCs w:val="40"/>
              </w:rPr>
              <w:t>7</w:t>
            </w:r>
          </w:p>
        </w:tc>
      </w:tr>
      <w:tr w:rsidR="00EF0D81" w14:paraId="4980032E" w14:textId="77777777" w:rsidTr="00EE3073">
        <w:trPr>
          <w:cantSplit/>
          <w:trHeight w:hRule="exact" w:val="3263"/>
        </w:trPr>
        <w:tc>
          <w:tcPr>
            <w:tcW w:w="9639" w:type="dxa"/>
            <w:tcBorders>
              <w:top w:val="single" w:sz="4" w:space="0" w:color="auto"/>
            </w:tcBorders>
          </w:tcPr>
          <w:p w14:paraId="4F900CB7" w14:textId="77777777" w:rsidR="00EF0D81" w:rsidRPr="00691F20" w:rsidRDefault="00EF0D81" w:rsidP="000D5782">
            <w:pPr>
              <w:spacing w:before="120"/>
              <w:rPr>
                <w:b/>
                <w:sz w:val="24"/>
                <w:szCs w:val="24"/>
                <w:lang w:val="en-US"/>
              </w:rPr>
            </w:pPr>
            <w:r w:rsidRPr="00691F20">
              <w:rPr>
                <w:b/>
                <w:sz w:val="24"/>
                <w:szCs w:val="24"/>
                <w:lang w:val="en-US"/>
              </w:rPr>
              <w:t>Committee of Experts on the Transport of Dangerous Goods</w:t>
            </w:r>
            <w:r w:rsidRPr="00691F20">
              <w:rPr>
                <w:b/>
                <w:sz w:val="24"/>
                <w:szCs w:val="24"/>
                <w:lang w:val="en-US"/>
              </w:rPr>
              <w:br/>
              <w:t>and on the Globally Harmonized System of Classification</w:t>
            </w:r>
            <w:r w:rsidRPr="00691F20">
              <w:rPr>
                <w:b/>
                <w:sz w:val="24"/>
                <w:szCs w:val="24"/>
                <w:lang w:val="en-US"/>
              </w:rPr>
              <w:br/>
              <w:t>and Labelling of Chemicals</w:t>
            </w:r>
          </w:p>
          <w:p w14:paraId="6444A2C4" w14:textId="31214586" w:rsidR="00EF0D81" w:rsidRPr="009F0F06" w:rsidRDefault="00EF0D81" w:rsidP="000D5782">
            <w:pPr>
              <w:tabs>
                <w:tab w:val="right" w:pos="9300"/>
              </w:tabs>
              <w:spacing w:before="120"/>
              <w:rPr>
                <w:rFonts w:ascii="Helv" w:hAnsi="Helv" w:cs="Helv"/>
                <w:b/>
                <w:color w:val="000000"/>
                <w:lang w:val="en-US"/>
              </w:rPr>
            </w:pPr>
            <w:r w:rsidRPr="00691F20">
              <w:rPr>
                <w:b/>
                <w:lang w:val="en-US"/>
              </w:rPr>
              <w:t>Sub-Committee of Experts on the Globally Harmonized</w:t>
            </w:r>
            <w:r w:rsidRPr="00691F20">
              <w:rPr>
                <w:b/>
                <w:lang w:val="en-US"/>
              </w:rPr>
              <w:br/>
              <w:t>System of Classification and Labelling of Chemicals</w:t>
            </w:r>
            <w:r>
              <w:rPr>
                <w:b/>
                <w:lang w:val="en-US"/>
              </w:rPr>
              <w:tab/>
            </w:r>
            <w:r w:rsidR="00C13A0A">
              <w:rPr>
                <w:b/>
                <w:lang w:val="en-US"/>
              </w:rPr>
              <w:t>6</w:t>
            </w:r>
            <w:r w:rsidR="008D3C1D">
              <w:rPr>
                <w:b/>
                <w:lang w:val="en-US"/>
              </w:rPr>
              <w:t xml:space="preserve"> </w:t>
            </w:r>
            <w:r w:rsidR="00027D95">
              <w:rPr>
                <w:b/>
                <w:lang w:val="en-US"/>
              </w:rPr>
              <w:t>Decembe</w:t>
            </w:r>
            <w:r w:rsidR="001F3957">
              <w:rPr>
                <w:b/>
                <w:lang w:val="en-US"/>
              </w:rPr>
              <w:t>r 2022</w:t>
            </w:r>
          </w:p>
          <w:p w14:paraId="382534B0" w14:textId="3B951319" w:rsidR="00EF0D81" w:rsidRPr="006E39A4" w:rsidRDefault="00DF4430" w:rsidP="000D5782">
            <w:pPr>
              <w:spacing w:before="120"/>
              <w:rPr>
                <w:b/>
              </w:rPr>
            </w:pPr>
            <w:r>
              <w:rPr>
                <w:b/>
              </w:rPr>
              <w:t>Forty-third</w:t>
            </w:r>
            <w:r w:rsidR="00EF0D81" w:rsidRPr="006E39A4">
              <w:rPr>
                <w:b/>
              </w:rPr>
              <w:t xml:space="preserve"> session</w:t>
            </w:r>
          </w:p>
          <w:p w14:paraId="0663049B" w14:textId="721C74E9" w:rsidR="00EF0D81" w:rsidRPr="006E39A4" w:rsidRDefault="00EF0D81" w:rsidP="000D5782">
            <w:r w:rsidRPr="006E39A4">
              <w:t xml:space="preserve">Geneva, </w:t>
            </w:r>
            <w:r w:rsidR="001F3957">
              <w:t>7-9</w:t>
            </w:r>
            <w:r>
              <w:t xml:space="preserve"> December </w:t>
            </w:r>
            <w:r w:rsidR="001F3957">
              <w:t>2022</w:t>
            </w:r>
          </w:p>
          <w:p w14:paraId="1FB4586C" w14:textId="222747C8" w:rsidR="00EF0D81" w:rsidRDefault="00EF0D81" w:rsidP="000D5782">
            <w:r w:rsidRPr="006E39A4">
              <w:t xml:space="preserve">Item </w:t>
            </w:r>
            <w:r w:rsidR="00A625E2">
              <w:t>3 (</w:t>
            </w:r>
            <w:proofErr w:type="spellStart"/>
            <w:r w:rsidR="00E32F0F">
              <w:t>i</w:t>
            </w:r>
            <w:proofErr w:type="spellEnd"/>
            <w:r w:rsidR="00A625E2">
              <w:t>)</w:t>
            </w:r>
            <w:r w:rsidR="000D77A1">
              <w:t xml:space="preserve"> </w:t>
            </w:r>
            <w:r w:rsidRPr="006E39A4">
              <w:t>of the provisional agenda</w:t>
            </w:r>
          </w:p>
          <w:p w14:paraId="703C045B" w14:textId="32E83804" w:rsidR="00EF0D81" w:rsidRPr="0049185A" w:rsidRDefault="00495962" w:rsidP="000D5782">
            <w:pPr>
              <w:spacing w:line="240" w:lineRule="exact"/>
              <w:rPr>
                <w:b/>
                <w:bCs/>
              </w:rPr>
            </w:pPr>
            <w:r w:rsidRPr="0049185A">
              <w:rPr>
                <w:b/>
                <w:bCs/>
              </w:rPr>
              <w:t xml:space="preserve">Work on the Globally Harmonized System </w:t>
            </w:r>
            <w:r w:rsidR="00982F2A">
              <w:rPr>
                <w:b/>
                <w:bCs/>
              </w:rPr>
              <w:br/>
            </w:r>
            <w:r w:rsidRPr="0049185A">
              <w:rPr>
                <w:b/>
                <w:bCs/>
              </w:rPr>
              <w:t>of Classification and Labelling of Chemicals</w:t>
            </w:r>
            <w:r w:rsidR="008E00D6" w:rsidRPr="0049185A">
              <w:rPr>
                <w:b/>
                <w:bCs/>
              </w:rPr>
              <w:t>:</w:t>
            </w:r>
            <w:r w:rsidR="008E00D6" w:rsidRPr="0049185A">
              <w:rPr>
                <w:b/>
                <w:bCs/>
              </w:rPr>
              <w:br/>
            </w:r>
            <w:r w:rsidR="000C7E61" w:rsidRPr="000557E5">
              <w:rPr>
                <w:b/>
                <w:bCs/>
              </w:rPr>
              <w:t>other matters</w:t>
            </w:r>
          </w:p>
        </w:tc>
      </w:tr>
    </w:tbl>
    <w:p w14:paraId="37995946" w14:textId="77777777" w:rsidR="00C73DB2" w:rsidRPr="003B342C" w:rsidRDefault="00C73DB2" w:rsidP="00C73DB2">
      <w:pPr>
        <w:pStyle w:val="HChG"/>
        <w:spacing w:before="240"/>
        <w:rPr>
          <w:rFonts w:eastAsia="MS Mincho"/>
          <w:lang w:eastAsia="ja-JP"/>
        </w:rPr>
      </w:pPr>
      <w:r w:rsidRPr="009E7ABD">
        <w:rPr>
          <w:rFonts w:eastAsia="MS Mincho"/>
          <w:lang w:val="en-US" w:eastAsia="ja-JP"/>
        </w:rPr>
        <w:tab/>
      </w:r>
      <w:r>
        <w:rPr>
          <w:rFonts w:eastAsia="MS Mincho"/>
          <w:lang w:val="en-US" w:eastAsia="ja-JP"/>
        </w:rPr>
        <w:tab/>
      </w:r>
      <w:r w:rsidRPr="009719A6">
        <w:t>Classification and hazard communication of hydrofluorocarbons addressed in Annex F of the Montreal Protocol</w:t>
      </w:r>
    </w:p>
    <w:p w14:paraId="1102A36E" w14:textId="2CB17C2A" w:rsidR="00C73DB2" w:rsidRDefault="00C73DB2" w:rsidP="00C73DB2">
      <w:pPr>
        <w:pStyle w:val="H1G"/>
        <w:spacing w:before="240"/>
      </w:pPr>
      <w:r w:rsidRPr="003C265A">
        <w:rPr>
          <w:rFonts w:eastAsia="MS Mincho"/>
        </w:rPr>
        <w:tab/>
      </w:r>
      <w:r w:rsidRPr="003C265A">
        <w:rPr>
          <w:rFonts w:eastAsia="MS Mincho"/>
        </w:rPr>
        <w:tab/>
      </w:r>
      <w:r w:rsidRPr="003C265A">
        <w:t>Transmitted by</w:t>
      </w:r>
      <w:r>
        <w:t xml:space="preserve"> </w:t>
      </w:r>
      <w:r w:rsidR="00E35123">
        <w:t xml:space="preserve">the </w:t>
      </w:r>
      <w:r w:rsidR="00E35123" w:rsidRPr="00F36570">
        <w:t>European Union</w:t>
      </w:r>
      <w:r w:rsidR="00E35123">
        <w:t xml:space="preserve"> and the</w:t>
      </w:r>
      <w:r w:rsidR="00E35123" w:rsidRPr="00F36570">
        <w:t xml:space="preserve"> </w:t>
      </w:r>
      <w:r w:rsidRPr="00F36570">
        <w:t>experts from Austria, the United Kingdom and the United States of America</w:t>
      </w:r>
    </w:p>
    <w:p w14:paraId="3622F0F4" w14:textId="77777777" w:rsidR="00C73DB2" w:rsidRDefault="00C73DB2" w:rsidP="00C73DB2">
      <w:pPr>
        <w:pStyle w:val="HChG"/>
      </w:pPr>
      <w:r>
        <w:tab/>
      </w:r>
      <w:r>
        <w:tab/>
        <w:t>Introduction</w:t>
      </w:r>
    </w:p>
    <w:p w14:paraId="75828905" w14:textId="5189B7B2" w:rsidR="00C73DB2" w:rsidRPr="00C73DB2" w:rsidRDefault="00C73DB2" w:rsidP="00C73DB2">
      <w:pPr>
        <w:pStyle w:val="SingleTxtG"/>
        <w:tabs>
          <w:tab w:val="left" w:pos="1701"/>
        </w:tabs>
      </w:pPr>
      <w:r>
        <w:t>1.</w:t>
      </w:r>
      <w:r>
        <w:tab/>
      </w:r>
      <w:r w:rsidRPr="00C73DB2">
        <w:t xml:space="preserve">At </w:t>
      </w:r>
      <w:r>
        <w:t>forty-second</w:t>
      </w:r>
      <w:r w:rsidRPr="00C73DB2">
        <w:t xml:space="preserve"> session</w:t>
      </w:r>
      <w:r w:rsidRPr="00C73DB2">
        <w:rPr>
          <w:rStyle w:val="FootnoteReference"/>
        </w:rPr>
        <w:footnoteReference w:id="2"/>
      </w:r>
      <w:r w:rsidRPr="00C73DB2">
        <w:t xml:space="preserve">, the Sub-Committee acknowledged the need to clarify the scope of the GHS hazard class “hazardous to the ozone layer” following the adoption and entry into force of the Kigali amendment to the Montreal Protocol. </w:t>
      </w:r>
    </w:p>
    <w:p w14:paraId="2BCF707D" w14:textId="06FCED4D" w:rsidR="00C73DB2" w:rsidRPr="00C73DB2" w:rsidRDefault="00C73DB2" w:rsidP="00C73DB2">
      <w:pPr>
        <w:pStyle w:val="SingleTxtG"/>
        <w:tabs>
          <w:tab w:val="left" w:pos="1701"/>
        </w:tabs>
      </w:pPr>
      <w:r>
        <w:t>2.</w:t>
      </w:r>
      <w:r>
        <w:tab/>
      </w:r>
      <w:r w:rsidRPr="00C73DB2">
        <w:t>It was noted that the substances listed in Annex F to the Montreal Protocol had different properties than those hazardous to the ozone layer. Two alternative suggestions were put forward to address this issue, either through:</w:t>
      </w:r>
    </w:p>
    <w:p w14:paraId="501B45FF" w14:textId="44D4E6D0" w:rsidR="00C73DB2" w:rsidRDefault="00C73DB2" w:rsidP="005E1405">
      <w:pPr>
        <w:pStyle w:val="SingleTxtG"/>
        <w:ind w:left="2268" w:hanging="567"/>
      </w:pPr>
      <w:r>
        <w:t>(a)</w:t>
      </w:r>
      <w:r>
        <w:tab/>
        <w:t>Introducing</w:t>
      </w:r>
      <w:r w:rsidRPr="009C6400">
        <w:t xml:space="preserve"> a new Chapter 4.3 with specific criteria and hazard communication elements </w:t>
      </w:r>
      <w:r>
        <w:t xml:space="preserve">for greenhouse gases listed in Annex F </w:t>
      </w:r>
      <w:r w:rsidRPr="009C6400">
        <w:t xml:space="preserve">and </w:t>
      </w:r>
      <w:r>
        <w:t xml:space="preserve">to </w:t>
      </w:r>
      <w:r w:rsidRPr="009C6400">
        <w:t>limit the scope of the current hazard class in Chapter 4.2 to ozone depleting substances only, by excluding substances listed in Annex F of the Montreal Protocol</w:t>
      </w:r>
      <w:r>
        <w:t>; or</w:t>
      </w:r>
    </w:p>
    <w:p w14:paraId="415938A1" w14:textId="1DED1663" w:rsidR="00C73DB2" w:rsidRDefault="00C73DB2" w:rsidP="005E1405">
      <w:pPr>
        <w:pStyle w:val="SingleTxtG"/>
        <w:ind w:left="2268" w:hanging="567"/>
      </w:pPr>
      <w:r>
        <w:t>(b)</w:t>
      </w:r>
      <w:r>
        <w:tab/>
        <w:t>A</w:t>
      </w:r>
      <w:r w:rsidRPr="009C6400">
        <w:t xml:space="preserve">mending the current </w:t>
      </w:r>
      <w:r>
        <w:t>Chapter 4.2 t</w:t>
      </w:r>
      <w:r w:rsidRPr="009C6400">
        <w:t>o address “</w:t>
      </w:r>
      <w:r w:rsidRPr="00786FB8">
        <w:rPr>
          <w:i/>
          <w:iCs/>
        </w:rPr>
        <w:t>hazardous to the upper atmosphere</w:t>
      </w:r>
      <w:r w:rsidRPr="009C6400">
        <w:t>”</w:t>
      </w:r>
      <w:r>
        <w:t>, including introducing appropriate hazard criteria and communication elements for greenhouse gases</w:t>
      </w:r>
      <w:r w:rsidRPr="009C6400">
        <w:t xml:space="preserve"> listed in Annex F of the Montreal Protocol.</w:t>
      </w:r>
    </w:p>
    <w:p w14:paraId="16DE4F09" w14:textId="7C57718A" w:rsidR="00C73DB2" w:rsidRPr="00786FB8" w:rsidRDefault="00EA1802" w:rsidP="00EA1802">
      <w:pPr>
        <w:pStyle w:val="SingleTxtG"/>
        <w:tabs>
          <w:tab w:val="left" w:pos="1701"/>
        </w:tabs>
      </w:pPr>
      <w:r>
        <w:t>3.</w:t>
      </w:r>
      <w:r>
        <w:tab/>
      </w:r>
      <w:r w:rsidR="00C73DB2" w:rsidRPr="009719A6">
        <w:t>However, there was no consensus on the proposal to address the issue by amending the current hazard statement</w:t>
      </w:r>
      <w:r w:rsidR="00C73DB2">
        <w:rPr>
          <w:rStyle w:val="FootnoteReference"/>
        </w:rPr>
        <w:footnoteReference w:id="3"/>
      </w:r>
      <w:r w:rsidR="00C73DB2" w:rsidRPr="009719A6">
        <w:t>.</w:t>
      </w:r>
      <w:r w:rsidR="00C73DB2">
        <w:t xml:space="preserve"> It was therefore considered necessary to continue the discussion. This document provides some options for consideration and discussion of the Sub-Committee.</w:t>
      </w:r>
    </w:p>
    <w:p w14:paraId="698AB7E0" w14:textId="77777777" w:rsidR="00C73DB2" w:rsidRPr="007E2368" w:rsidRDefault="00C73DB2" w:rsidP="00952AF2">
      <w:pPr>
        <w:pStyle w:val="HChG"/>
        <w:rPr>
          <w:rFonts w:eastAsia="MS Mincho"/>
          <w:sz w:val="24"/>
          <w:szCs w:val="24"/>
        </w:rPr>
      </w:pPr>
      <w:r>
        <w:lastRenderedPageBreak/>
        <w:t xml:space="preserve"> </w:t>
      </w:r>
      <w:r>
        <w:tab/>
      </w:r>
      <w:r>
        <w:tab/>
      </w:r>
      <w:r>
        <w:rPr>
          <w:rFonts w:eastAsia="MS Mincho"/>
          <w:sz w:val="24"/>
          <w:szCs w:val="24"/>
        </w:rPr>
        <w:t>Option 1: Adding new hazard statements in Chapter 4.2</w:t>
      </w:r>
    </w:p>
    <w:p w14:paraId="09BD01A4" w14:textId="6F1B7D58" w:rsidR="00C73DB2" w:rsidRPr="00101A06" w:rsidRDefault="00EA1802" w:rsidP="00952AF2">
      <w:pPr>
        <w:pStyle w:val="SingleTxtG"/>
        <w:keepNext/>
        <w:keepLines/>
        <w:tabs>
          <w:tab w:val="left" w:pos="1701"/>
        </w:tabs>
        <w:rPr>
          <w:rFonts w:eastAsiaTheme="minorEastAsia"/>
          <w:lang w:val="en-US"/>
        </w:rPr>
      </w:pPr>
      <w:r>
        <w:t>4.</w:t>
      </w:r>
      <w:r>
        <w:tab/>
      </w:r>
      <w:r w:rsidR="00C73DB2">
        <w:t xml:space="preserve">This option involves amending the current hazard statement to one of the following, according to the </w:t>
      </w:r>
      <w:r w:rsidR="00C73DB2" w:rsidRPr="00EA1802">
        <w:t>substance</w:t>
      </w:r>
      <w:r w:rsidR="00C73DB2">
        <w:t>:</w:t>
      </w:r>
    </w:p>
    <w:p w14:paraId="32F4AE52" w14:textId="22A8D3DE" w:rsidR="00C73DB2" w:rsidRPr="00101A06" w:rsidRDefault="00982999" w:rsidP="00952AF2">
      <w:pPr>
        <w:pStyle w:val="SingleTxtG"/>
        <w:tabs>
          <w:tab w:val="left" w:pos="2268"/>
        </w:tabs>
        <w:ind w:left="2268" w:hanging="567"/>
        <w:rPr>
          <w:rFonts w:eastAsiaTheme="minorEastAsia"/>
          <w:lang w:val="en-US"/>
        </w:rPr>
      </w:pPr>
      <w:r>
        <w:rPr>
          <w:rFonts w:eastAsiaTheme="minorEastAsia"/>
          <w:lang w:val="en-US"/>
        </w:rPr>
        <w:t>(a)</w:t>
      </w:r>
      <w:r w:rsidR="00EA1802">
        <w:rPr>
          <w:rFonts w:eastAsiaTheme="minorEastAsia"/>
          <w:lang w:val="en-US"/>
        </w:rPr>
        <w:tab/>
      </w:r>
      <w:r w:rsidR="00C73DB2">
        <w:rPr>
          <w:rFonts w:eastAsiaTheme="minorEastAsia"/>
          <w:lang w:val="en-US"/>
        </w:rPr>
        <w:t>“</w:t>
      </w:r>
      <w:r w:rsidR="00C73DB2">
        <w:rPr>
          <w:rFonts w:eastAsiaTheme="minorEastAsia"/>
          <w:i/>
          <w:iCs/>
          <w:lang w:val="en-US"/>
        </w:rPr>
        <w:t>Harms public health and the environment by destroying ozone in the upper atmosphere”.</w:t>
      </w:r>
      <w:r w:rsidR="00C73DB2">
        <w:rPr>
          <w:rFonts w:eastAsiaTheme="minorEastAsia"/>
          <w:lang w:val="en-US"/>
        </w:rPr>
        <w:t xml:space="preserve"> This statement is applicable to those substances that fall in Chapter</w:t>
      </w:r>
      <w:r w:rsidR="00952AF2">
        <w:rPr>
          <w:rFonts w:eastAsiaTheme="minorEastAsia"/>
          <w:lang w:val="en-US"/>
        </w:rPr>
        <w:t> </w:t>
      </w:r>
      <w:r w:rsidR="00C73DB2">
        <w:rPr>
          <w:rFonts w:eastAsiaTheme="minorEastAsia"/>
          <w:lang w:val="en-US"/>
        </w:rPr>
        <w:t>4.2 and that are not impacted by the Kigali Amendment</w:t>
      </w:r>
      <w:r w:rsidR="00C73DB2">
        <w:rPr>
          <w:rStyle w:val="FootnoteReference"/>
          <w:rFonts w:eastAsiaTheme="minorEastAsia"/>
          <w:lang w:val="en-US"/>
        </w:rPr>
        <w:footnoteReference w:id="4"/>
      </w:r>
      <w:r w:rsidR="00C73DB2">
        <w:rPr>
          <w:rFonts w:eastAsiaTheme="minorEastAsia"/>
          <w:lang w:val="en-US"/>
        </w:rPr>
        <w:t>.</w:t>
      </w:r>
    </w:p>
    <w:p w14:paraId="6FD04D0A" w14:textId="7C4D17D9" w:rsidR="00C73DB2" w:rsidRPr="00101A06" w:rsidRDefault="00982999" w:rsidP="00952AF2">
      <w:pPr>
        <w:pStyle w:val="SingleTxtG"/>
        <w:tabs>
          <w:tab w:val="left" w:pos="2268"/>
        </w:tabs>
        <w:ind w:left="2268" w:hanging="567"/>
        <w:rPr>
          <w:rFonts w:eastAsiaTheme="minorEastAsia"/>
          <w:lang w:val="en-US"/>
        </w:rPr>
      </w:pPr>
      <w:r w:rsidRPr="00982999">
        <w:rPr>
          <w:rFonts w:eastAsiaTheme="minorEastAsia"/>
          <w:lang w:val="en-US"/>
        </w:rPr>
        <w:t>(b)</w:t>
      </w:r>
      <w:r w:rsidR="00EA1802">
        <w:rPr>
          <w:rFonts w:eastAsiaTheme="minorEastAsia"/>
          <w:i/>
          <w:iCs/>
          <w:lang w:val="en-US"/>
        </w:rPr>
        <w:tab/>
      </w:r>
      <w:r w:rsidR="00C73DB2">
        <w:rPr>
          <w:rFonts w:eastAsiaTheme="minorEastAsia"/>
          <w:i/>
          <w:iCs/>
          <w:lang w:val="en-US"/>
        </w:rPr>
        <w:t>“Harms public health and the environment due to its global warming potential”</w:t>
      </w:r>
      <w:r w:rsidR="00C73DB2">
        <w:rPr>
          <w:rFonts w:eastAsiaTheme="minorEastAsia"/>
          <w:lang w:val="en-US"/>
        </w:rPr>
        <w:t xml:space="preserve">. This statement would apply to those substances that are not detrimental to the ozone layer but that have been recognized as having a contribution to the global warming potential. </w:t>
      </w:r>
    </w:p>
    <w:p w14:paraId="25285CE4" w14:textId="0E79F8DE" w:rsidR="00C73DB2" w:rsidRPr="00B35F7D" w:rsidRDefault="00982999" w:rsidP="00952AF2">
      <w:pPr>
        <w:pStyle w:val="SingleTxtG"/>
        <w:tabs>
          <w:tab w:val="left" w:pos="2268"/>
        </w:tabs>
        <w:ind w:left="2268" w:hanging="567"/>
        <w:rPr>
          <w:rFonts w:eastAsiaTheme="minorEastAsia"/>
          <w:lang w:val="en-US"/>
        </w:rPr>
      </w:pPr>
      <w:r w:rsidRPr="00982999">
        <w:rPr>
          <w:rFonts w:eastAsiaTheme="minorEastAsia"/>
          <w:lang w:val="en-US"/>
        </w:rPr>
        <w:t>(c)</w:t>
      </w:r>
      <w:r w:rsidR="00EA1802">
        <w:rPr>
          <w:rFonts w:eastAsiaTheme="minorEastAsia"/>
          <w:i/>
          <w:iCs/>
          <w:lang w:val="en-US"/>
        </w:rPr>
        <w:tab/>
      </w:r>
      <w:r w:rsidR="00C73DB2">
        <w:rPr>
          <w:rFonts w:eastAsiaTheme="minorEastAsia"/>
          <w:i/>
          <w:iCs/>
          <w:lang w:val="en-US"/>
        </w:rPr>
        <w:t>“Harms public health and the environment due to its global warming potential and by destroying ozone in the upper atmosphere”</w:t>
      </w:r>
      <w:r w:rsidR="00C73DB2">
        <w:rPr>
          <w:rFonts w:eastAsiaTheme="minorEastAsia"/>
          <w:lang w:val="en-US"/>
        </w:rPr>
        <w:t xml:space="preserve">. This statement would apply to those substances that present </w:t>
      </w:r>
      <w:r w:rsidR="00C73DB2" w:rsidRPr="00101A06">
        <w:rPr>
          <w:rFonts w:eastAsiaTheme="minorEastAsia"/>
          <w:lang w:val="en-US"/>
        </w:rPr>
        <w:t xml:space="preserve">improve hazard communication for </w:t>
      </w:r>
      <w:r w:rsidR="00C73DB2">
        <w:rPr>
          <w:rFonts w:eastAsiaTheme="minorEastAsia"/>
          <w:lang w:val="en-US"/>
        </w:rPr>
        <w:t>hydrofluorocarbons (</w:t>
      </w:r>
      <w:r w:rsidR="00C73DB2" w:rsidRPr="00101A06">
        <w:rPr>
          <w:rFonts w:eastAsiaTheme="minorEastAsia"/>
          <w:lang w:val="en-US"/>
        </w:rPr>
        <w:t>HFCs</w:t>
      </w:r>
      <w:r w:rsidR="00C73DB2">
        <w:rPr>
          <w:rFonts w:eastAsiaTheme="minorEastAsia"/>
          <w:lang w:val="en-US"/>
        </w:rPr>
        <w:t>)</w:t>
      </w:r>
      <w:r w:rsidR="00C73DB2" w:rsidRPr="00101A06">
        <w:rPr>
          <w:rFonts w:eastAsiaTheme="minorEastAsia"/>
          <w:lang w:val="en-US"/>
        </w:rPr>
        <w:t xml:space="preserve"> falling within the scope of the GHS hazard class “hazardous to the ozone layer” in accordance with Annex F to the Montreal Protocol.</w:t>
      </w:r>
    </w:p>
    <w:p w14:paraId="18804BCE" w14:textId="37A280ED" w:rsidR="00C73DB2" w:rsidRPr="00B35F7D" w:rsidRDefault="004549AD" w:rsidP="004549AD">
      <w:pPr>
        <w:pStyle w:val="SingleTxtG"/>
        <w:tabs>
          <w:tab w:val="left" w:pos="1701"/>
        </w:tabs>
        <w:rPr>
          <w:rFonts w:eastAsiaTheme="minorEastAsia"/>
          <w:lang w:val="en-US"/>
        </w:rPr>
      </w:pPr>
      <w:r>
        <w:t>5.</w:t>
      </w:r>
      <w:r>
        <w:tab/>
      </w:r>
      <w:r w:rsidR="00C73DB2">
        <w:t>The benefit from amending the current hazard statement for substances that are classified under Chapter 4.2 “</w:t>
      </w:r>
      <w:r w:rsidR="00C73DB2" w:rsidRPr="004549AD">
        <w:t>Hazardous</w:t>
      </w:r>
      <w:r w:rsidR="00C73DB2">
        <w:t xml:space="preserve"> to the ozone layer” to one of the above is that no relevant</w:t>
      </w:r>
      <w:r w:rsidR="00C73DB2" w:rsidRPr="00101A06">
        <w:t xml:space="preserve"> changes are needed for the GHS classification criteria</w:t>
      </w:r>
      <w:r w:rsidR="00C73DB2">
        <w:t>.</w:t>
      </w:r>
      <w:r w:rsidR="00C73DB2" w:rsidRPr="00101A06">
        <w:t xml:space="preserve"> </w:t>
      </w:r>
      <w:r w:rsidR="00C73DB2">
        <w:t>It would remain</w:t>
      </w:r>
      <w:r w:rsidR="00C73DB2" w:rsidRPr="00101A06">
        <w:t xml:space="preserve"> aligned with the criteria in the Montreal Protocol and its annexes, as amended or adjusted.</w:t>
      </w:r>
    </w:p>
    <w:p w14:paraId="0CE8E16D" w14:textId="24559C74" w:rsidR="00C73DB2" w:rsidRDefault="00F61BCF" w:rsidP="00F61BCF">
      <w:pPr>
        <w:pStyle w:val="SingleTxtG"/>
        <w:tabs>
          <w:tab w:val="left" w:pos="1701"/>
        </w:tabs>
      </w:pPr>
      <w:r>
        <w:t>6.</w:t>
      </w:r>
      <w:r>
        <w:tab/>
      </w:r>
      <w:r w:rsidR="00C73DB2">
        <w:t>A potential downside in amending just the statements in paragraph 4 above is it may not allow for flexibility if there are further updates to the Montreal Protocol. This may eventually result in selecting risk management measures that might not be adequate.</w:t>
      </w:r>
    </w:p>
    <w:p w14:paraId="5D1CBFEE" w14:textId="77777777" w:rsidR="00C73DB2" w:rsidRPr="00481E3C" w:rsidRDefault="00C73DB2" w:rsidP="00C73DB2">
      <w:pPr>
        <w:pStyle w:val="HChG"/>
        <w:ind w:left="2268"/>
        <w:rPr>
          <w:rFonts w:eastAsia="MS Mincho"/>
          <w:sz w:val="24"/>
          <w:szCs w:val="24"/>
        </w:rPr>
      </w:pPr>
      <w:r w:rsidRPr="00481E3C">
        <w:rPr>
          <w:rFonts w:eastAsia="MS Mincho"/>
          <w:sz w:val="24"/>
          <w:szCs w:val="24"/>
        </w:rPr>
        <w:t>Option 2: Renaming Chapter 4.2 and adding a second hazard class</w:t>
      </w:r>
    </w:p>
    <w:p w14:paraId="32FBE32E" w14:textId="5575ED5B" w:rsidR="00C73DB2" w:rsidRPr="00C70051" w:rsidRDefault="00F61BCF" w:rsidP="00C70051">
      <w:pPr>
        <w:pStyle w:val="SingleTxtG"/>
        <w:tabs>
          <w:tab w:val="left" w:pos="1701"/>
        </w:tabs>
      </w:pPr>
      <w:r>
        <w:t>7</w:t>
      </w:r>
      <w:r w:rsidR="00CC43E6">
        <w:t>.</w:t>
      </w:r>
      <w:r w:rsidR="00C70051">
        <w:tab/>
      </w:r>
      <w:r w:rsidR="00C73DB2" w:rsidRPr="00C70051">
        <w:t xml:space="preserve">In this option, Chapter 4.2 would be renamed in a way that it would cover both, </w:t>
      </w:r>
      <w:r w:rsidR="006B0564" w:rsidRPr="00C70051">
        <w:t xml:space="preserve">ozone-depleting substances </w:t>
      </w:r>
      <w:r w:rsidR="006B0564">
        <w:t>(</w:t>
      </w:r>
      <w:r w:rsidR="00C73DB2" w:rsidRPr="00C70051">
        <w:t>ODSs</w:t>
      </w:r>
      <w:r w:rsidR="006B0564">
        <w:t>)</w:t>
      </w:r>
      <w:r w:rsidR="00C73DB2" w:rsidRPr="00C70051">
        <w:t xml:space="preserve"> and HFCs. For example, the new chapter title could be: “hazardous to the atmosphere system”. Within the updated chapter both substance groups would be addressed.</w:t>
      </w:r>
    </w:p>
    <w:p w14:paraId="04472DC3" w14:textId="6129C836" w:rsidR="00C73DB2" w:rsidRPr="00C70051" w:rsidRDefault="00F61BCF" w:rsidP="00C70051">
      <w:pPr>
        <w:pStyle w:val="SingleTxtG"/>
        <w:tabs>
          <w:tab w:val="left" w:pos="1701"/>
        </w:tabs>
      </w:pPr>
      <w:r>
        <w:t>8</w:t>
      </w:r>
      <w:r w:rsidR="00CC43E6">
        <w:t>.</w:t>
      </w:r>
      <w:r w:rsidR="00C70051">
        <w:tab/>
      </w:r>
      <w:r w:rsidR="00C73DB2" w:rsidRPr="00C70051">
        <w:t xml:space="preserve">To avoid any potential shortcomings of </w:t>
      </w:r>
      <w:r w:rsidR="00B76451">
        <w:t>o</w:t>
      </w:r>
      <w:r w:rsidR="00C73DB2" w:rsidRPr="00C70051">
        <w:t>ption 1, Chapter 4.2 would be updated to contain</w:t>
      </w:r>
      <w:r w:rsidR="00B76451">
        <w:t> </w:t>
      </w:r>
      <w:r w:rsidR="00C73DB2" w:rsidRPr="00C70051">
        <w:t>2 hazard classes, similar to what has already been achieved in Chapter 2.3 “Aerosols and chemicals under pressure”. One hazard class for ozone-depleting substances with the text excluding Annex F to the Montreal Protocol, and another hazard class for HFC covering Annex</w:t>
      </w:r>
      <w:r w:rsidR="009E638B">
        <w:t> </w:t>
      </w:r>
      <w:r w:rsidR="00C73DB2" w:rsidRPr="00C70051">
        <w:t xml:space="preserve">F to the Montreal Protocol. Separate sub-sections of the chapter are needed to articulate the definitions, criteria and hazard communication elements for the 2 hazard classes.  </w:t>
      </w:r>
    </w:p>
    <w:p w14:paraId="39B34158" w14:textId="63CA5EE8" w:rsidR="00C73DB2" w:rsidRPr="00C70051" w:rsidRDefault="00F61BCF" w:rsidP="00C70051">
      <w:pPr>
        <w:pStyle w:val="SingleTxtG"/>
        <w:tabs>
          <w:tab w:val="left" w:pos="1701"/>
        </w:tabs>
      </w:pPr>
      <w:r>
        <w:t>9</w:t>
      </w:r>
      <w:r w:rsidR="00CC43E6">
        <w:t>.</w:t>
      </w:r>
      <w:r w:rsidR="00C70051">
        <w:tab/>
      </w:r>
      <w:r w:rsidR="00C73DB2" w:rsidRPr="00C70051">
        <w:t xml:space="preserve">Furthermore, considering the potential that other air related hazard(s) may need to be incorporated into the chapter in the future, it may be desirable to have a new hazard class name that is broad in nature. For example, the Sub-Committee may want to consider </w:t>
      </w:r>
      <w:r w:rsidR="00A97BF5" w:rsidRPr="00A97BF5">
        <w:t>“</w:t>
      </w:r>
      <w:r w:rsidR="00A97BF5" w:rsidRPr="00A97BF5">
        <w:rPr>
          <w:i/>
          <w:iCs/>
        </w:rPr>
        <w:t>hazardous to the atmospheric system</w:t>
      </w:r>
      <w:r w:rsidR="00A97BF5" w:rsidRPr="00A97BF5">
        <w:t>”.</w:t>
      </w:r>
    </w:p>
    <w:p w14:paraId="2CDEACF4" w14:textId="150367CA" w:rsidR="00C73DB2" w:rsidRPr="002A4892" w:rsidRDefault="00C73DB2" w:rsidP="006A210F">
      <w:pPr>
        <w:pStyle w:val="HChG"/>
        <w:tabs>
          <w:tab w:val="left" w:pos="1440"/>
          <w:tab w:val="left" w:pos="2160"/>
          <w:tab w:val="left" w:pos="2880"/>
          <w:tab w:val="left" w:pos="3600"/>
          <w:tab w:val="left" w:pos="7820"/>
        </w:tabs>
        <w:rPr>
          <w:rFonts w:eastAsia="MS Mincho"/>
          <w:sz w:val="24"/>
          <w:szCs w:val="24"/>
        </w:rPr>
      </w:pPr>
      <w:r>
        <w:tab/>
      </w:r>
      <w:r>
        <w:tab/>
        <w:t xml:space="preserve">Further </w:t>
      </w:r>
      <w:r w:rsidR="00735029">
        <w:t>f</w:t>
      </w:r>
      <w:r w:rsidRPr="00C71067">
        <w:t xml:space="preserve">uture </w:t>
      </w:r>
      <w:r w:rsidR="00735029">
        <w:t>w</w:t>
      </w:r>
      <w:r w:rsidRPr="00C71067">
        <w:t>ork</w:t>
      </w:r>
      <w:r w:rsidR="006A210F">
        <w:tab/>
      </w:r>
      <w:r w:rsidR="006A210F">
        <w:tab/>
      </w:r>
    </w:p>
    <w:p w14:paraId="759DDA43" w14:textId="565BCA88" w:rsidR="00C73DB2" w:rsidRPr="00260714" w:rsidRDefault="00F61BCF" w:rsidP="00111470">
      <w:pPr>
        <w:pStyle w:val="SingleTxtG"/>
        <w:keepNext/>
        <w:keepLines/>
        <w:tabs>
          <w:tab w:val="left" w:pos="1701"/>
        </w:tabs>
      </w:pPr>
      <w:r>
        <w:t>10</w:t>
      </w:r>
      <w:r w:rsidR="00260714">
        <w:t>.</w:t>
      </w:r>
      <w:r w:rsidR="00260714">
        <w:tab/>
      </w:r>
      <w:r w:rsidR="00C73DB2" w:rsidRPr="00260714">
        <w:t xml:space="preserve">Both </w:t>
      </w:r>
      <w:r w:rsidR="00111470">
        <w:t>o</w:t>
      </w:r>
      <w:r w:rsidR="00C73DB2" w:rsidRPr="00260714">
        <w:t xml:space="preserve">ption 1 and </w:t>
      </w:r>
      <w:r w:rsidR="00111470">
        <w:t>o</w:t>
      </w:r>
      <w:r w:rsidR="00C73DB2" w:rsidRPr="00260714">
        <w:t>ption 2 offer a simple way to adapt Chapter 4.2. to address the immediate need to align with the Kigali amendment. However, as stated above there may be the potential for future amendments of Chapter 4.2 that would be subject to later discussions.</w:t>
      </w:r>
    </w:p>
    <w:p w14:paraId="43CB4370" w14:textId="2C6169A2" w:rsidR="00C73DB2" w:rsidRPr="00260714" w:rsidRDefault="00F61BCF" w:rsidP="00260714">
      <w:pPr>
        <w:pStyle w:val="SingleTxtG"/>
        <w:tabs>
          <w:tab w:val="left" w:pos="1701"/>
        </w:tabs>
      </w:pPr>
      <w:r>
        <w:t>11</w:t>
      </w:r>
      <w:r w:rsidR="00260714">
        <w:t>.</w:t>
      </w:r>
      <w:r w:rsidR="00260714">
        <w:tab/>
      </w:r>
      <w:r w:rsidR="00C73DB2" w:rsidRPr="00260714">
        <w:t xml:space="preserve">A new chapter (or any other approach that the subcommittee might decide to pursue) could be developed to address HFCs with specific criteria and hazard communication elements. </w:t>
      </w:r>
    </w:p>
    <w:p w14:paraId="06A17A7F" w14:textId="0D367ECF" w:rsidR="00B44857" w:rsidRDefault="00F61BCF" w:rsidP="00260714">
      <w:pPr>
        <w:pStyle w:val="SingleTxtG"/>
        <w:tabs>
          <w:tab w:val="left" w:pos="1701"/>
        </w:tabs>
      </w:pPr>
      <w:r>
        <w:t>12</w:t>
      </w:r>
      <w:r w:rsidR="00260714">
        <w:t>.</w:t>
      </w:r>
      <w:r w:rsidR="00260714">
        <w:tab/>
      </w:r>
      <w:r w:rsidR="00C73DB2" w:rsidRPr="00260714">
        <w:t>Specific criteria and hazard communication elements would ensure that the topics of ozone-depletion and global warming are not mixed. It would also be coherent with the current systematic in GHS.</w:t>
      </w:r>
    </w:p>
    <w:p w14:paraId="201FA2D3" w14:textId="125B9937" w:rsidR="00C73DB2" w:rsidRPr="00260714" w:rsidRDefault="00260714" w:rsidP="00260714">
      <w:pPr>
        <w:pStyle w:val="SingleTxtG"/>
        <w:tabs>
          <w:tab w:val="left" w:pos="1701"/>
        </w:tabs>
      </w:pPr>
      <w:r>
        <w:t>1</w:t>
      </w:r>
      <w:r w:rsidR="00F61BCF">
        <w:t>3</w:t>
      </w:r>
      <w:r>
        <w:t>.</w:t>
      </w:r>
      <w:r>
        <w:tab/>
      </w:r>
      <w:r w:rsidR="00C73DB2" w:rsidRPr="00260714">
        <w:t>At a future date, the Sub-Committee may also wish to consider widening the scope of a new Chapter to F-gases that are included in existing regional or national regulations or to expand it to cover all greenhouse gases. For example, the EU Regulation on F-gases</w:t>
      </w:r>
      <w:r w:rsidR="00C73DB2" w:rsidRPr="00260714">
        <w:rPr>
          <w:rStyle w:val="FootnoteReference"/>
        </w:rPr>
        <w:footnoteReference w:id="5"/>
      </w:r>
      <w:r w:rsidR="00C73DB2" w:rsidRPr="00260714">
        <w:t xml:space="preserve"> lists 19 hydrofluorocarbons, 7 perfluorocarbons (PFC) and sulphur hexafluoride as potential candidates for a new chapter. </w:t>
      </w:r>
    </w:p>
    <w:p w14:paraId="78B63EDB" w14:textId="54348BD7" w:rsidR="00C73DB2" w:rsidRPr="00260714" w:rsidRDefault="00260714" w:rsidP="00260714">
      <w:pPr>
        <w:pStyle w:val="SingleTxtG"/>
        <w:tabs>
          <w:tab w:val="left" w:pos="1701"/>
        </w:tabs>
      </w:pPr>
      <w:r>
        <w:t>1</w:t>
      </w:r>
      <w:r w:rsidR="00F61BCF">
        <w:t>4</w:t>
      </w:r>
      <w:r>
        <w:t>.</w:t>
      </w:r>
      <w:r>
        <w:tab/>
      </w:r>
      <w:r w:rsidR="00C73DB2" w:rsidRPr="00260714">
        <w:t xml:space="preserve">This extended scope to all greenhouse gases would go beyond a simple integration of the Kigali Amendment only. On the other hand, it would introduce a general labelling obligation for greenhouse gases. Future discussions should take into consideration the scope of the gases that should be included. For example, only those gases monitored in the context of </w:t>
      </w:r>
      <w:r w:rsidR="00F77E10">
        <w:t xml:space="preserve">the </w:t>
      </w:r>
      <w:r w:rsidR="00F77E10" w:rsidRPr="00F77E10">
        <w:t xml:space="preserve">United Nations Framework Convention on Climate Change </w:t>
      </w:r>
      <w:r w:rsidR="00F77E10">
        <w:t>(</w:t>
      </w:r>
      <w:r w:rsidR="00C73DB2" w:rsidRPr="00260714">
        <w:t>UNFCCC</w:t>
      </w:r>
      <w:r w:rsidR="00F77E10">
        <w:t>)</w:t>
      </w:r>
      <w:r w:rsidR="00C73DB2" w:rsidRPr="00260714">
        <w:t>, which are probably also the largest contributors to the climate crisis.</w:t>
      </w:r>
    </w:p>
    <w:p w14:paraId="02965F55" w14:textId="606C168A" w:rsidR="00C73DB2" w:rsidRPr="00260714" w:rsidRDefault="00260714" w:rsidP="00260714">
      <w:pPr>
        <w:pStyle w:val="SingleTxtG"/>
        <w:tabs>
          <w:tab w:val="left" w:pos="1701"/>
        </w:tabs>
      </w:pPr>
      <w:r>
        <w:t>1</w:t>
      </w:r>
      <w:r w:rsidR="00F61BCF">
        <w:t>5</w:t>
      </w:r>
      <w:r>
        <w:t>.</w:t>
      </w:r>
      <w:r>
        <w:tab/>
      </w:r>
      <w:r w:rsidR="00C73DB2" w:rsidRPr="00260714">
        <w:t>Naturally, such a requirement would not cover emissions of greenhouse gases or natural sources but only goods that are placed on the market for use. Greenhouse gases of commercial relevance will usually be put on the market as pressurised gas, thus falling under the relevant provisions of GHS</w:t>
      </w:r>
      <w:r w:rsidR="00C73DB2" w:rsidRPr="00260714">
        <w:rPr>
          <w:rStyle w:val="FootnoteReference"/>
        </w:rPr>
        <w:footnoteReference w:id="6"/>
      </w:r>
      <w:r w:rsidR="00C73DB2" w:rsidRPr="00260714">
        <w:t>.</w:t>
      </w:r>
    </w:p>
    <w:p w14:paraId="5DD3F873" w14:textId="5C9966B6" w:rsidR="00C73DB2" w:rsidRPr="00260714" w:rsidRDefault="00260714" w:rsidP="00260714">
      <w:pPr>
        <w:pStyle w:val="SingleTxtG"/>
        <w:tabs>
          <w:tab w:val="left" w:pos="1701"/>
        </w:tabs>
      </w:pPr>
      <w:r>
        <w:t>1</w:t>
      </w:r>
      <w:r w:rsidR="00F61BCF">
        <w:t>6</w:t>
      </w:r>
      <w:r>
        <w:t>.</w:t>
      </w:r>
      <w:r>
        <w:tab/>
      </w:r>
      <w:r w:rsidR="00C73DB2" w:rsidRPr="00260714">
        <w:t>The benefits of potentially extending the scope and creating specific criteria would be that the positive effects of a classification in terms of awareness raising and contribution to achieving climate action targets would not be limited to HFC but all greenhouse gases and could be multiplied accordingly.</w:t>
      </w:r>
    </w:p>
    <w:p w14:paraId="27EF32F1" w14:textId="77777777" w:rsidR="00C73DB2" w:rsidRPr="008936E7" w:rsidRDefault="00C73DB2" w:rsidP="00C73DB2">
      <w:pPr>
        <w:pStyle w:val="HChG"/>
        <w:rPr>
          <w:rFonts w:eastAsia="MS Mincho"/>
          <w:color w:val="000000" w:themeColor="text1"/>
        </w:rPr>
      </w:pPr>
      <w:r>
        <w:rPr>
          <w:rFonts w:eastAsia="MS Mincho"/>
        </w:rPr>
        <w:tab/>
      </w:r>
      <w:r>
        <w:rPr>
          <w:rFonts w:eastAsia="MS Mincho"/>
        </w:rPr>
        <w:tab/>
      </w:r>
      <w:r>
        <w:rPr>
          <w:rFonts w:eastAsia="MS Mincho"/>
          <w:color w:val="000000" w:themeColor="text1"/>
        </w:rPr>
        <w:t>Conclusion</w:t>
      </w:r>
    </w:p>
    <w:p w14:paraId="1E8205E5" w14:textId="5720B6E4" w:rsidR="00C73DB2" w:rsidRPr="00B44857" w:rsidRDefault="00B44857" w:rsidP="00B44857">
      <w:pPr>
        <w:pStyle w:val="SingleTxtG"/>
        <w:tabs>
          <w:tab w:val="left" w:pos="1701"/>
        </w:tabs>
        <w:rPr>
          <w:rFonts w:eastAsiaTheme="minorEastAsia"/>
        </w:rPr>
      </w:pPr>
      <w:r>
        <w:rPr>
          <w:rFonts w:eastAsiaTheme="minorEastAsia"/>
        </w:rPr>
        <w:t>1</w:t>
      </w:r>
      <w:r w:rsidR="00F61BCF">
        <w:rPr>
          <w:rFonts w:eastAsiaTheme="minorEastAsia"/>
        </w:rPr>
        <w:t>7</w:t>
      </w:r>
      <w:r>
        <w:rPr>
          <w:rFonts w:eastAsiaTheme="minorEastAsia"/>
        </w:rPr>
        <w:t>.</w:t>
      </w:r>
      <w:r>
        <w:rPr>
          <w:rFonts w:eastAsiaTheme="minorEastAsia"/>
        </w:rPr>
        <w:tab/>
      </w:r>
      <w:r w:rsidR="00C73DB2" w:rsidRPr="00B44857">
        <w:rPr>
          <w:rFonts w:eastAsiaTheme="minorEastAsia"/>
        </w:rPr>
        <w:t xml:space="preserve">Both option 1 and option 2 will addresses the immediate problem that the current hazard statement assigned in Chapter 4.2 does not accurately reflect the global warming properties of HFCs in </w:t>
      </w:r>
      <w:r w:rsidR="00C73DB2" w:rsidRPr="00B44857">
        <w:t>Annex F of the Montreal Protocol.</w:t>
      </w:r>
      <w:r w:rsidR="00C73DB2" w:rsidRPr="00B44857">
        <w:rPr>
          <w:rFonts w:eastAsiaTheme="minorEastAsia"/>
        </w:rPr>
        <w:t xml:space="preserve"> While the authors of this document preferred option</w:t>
      </w:r>
      <w:r w:rsidR="00866AA0">
        <w:rPr>
          <w:rFonts w:eastAsiaTheme="minorEastAsia"/>
        </w:rPr>
        <w:t> </w:t>
      </w:r>
      <w:r w:rsidR="00C73DB2" w:rsidRPr="00B44857">
        <w:rPr>
          <w:rFonts w:eastAsiaTheme="minorEastAsia"/>
        </w:rPr>
        <w:t>2, the Sub-</w:t>
      </w:r>
      <w:r w:rsidR="00866AA0">
        <w:rPr>
          <w:rFonts w:eastAsiaTheme="minorEastAsia"/>
        </w:rPr>
        <w:t>C</w:t>
      </w:r>
      <w:r w:rsidR="00C73DB2" w:rsidRPr="00B44857">
        <w:rPr>
          <w:rFonts w:eastAsiaTheme="minorEastAsia"/>
        </w:rPr>
        <w:t xml:space="preserve">ommittee is invited to consider </w:t>
      </w:r>
      <w:r w:rsidR="00866AA0">
        <w:rPr>
          <w:rFonts w:eastAsiaTheme="minorEastAsia"/>
        </w:rPr>
        <w:t>o</w:t>
      </w:r>
      <w:r w:rsidR="00C73DB2" w:rsidRPr="00B44857">
        <w:rPr>
          <w:rFonts w:eastAsiaTheme="minorEastAsia"/>
        </w:rPr>
        <w:t xml:space="preserve">ptions 1 and 2 as the authors of this paper welcome the perspective of other members and would like to consider the input of all members before making a decision on which option to progress.  </w:t>
      </w:r>
    </w:p>
    <w:p w14:paraId="7D28DA76" w14:textId="1046EF8C" w:rsidR="00C73DB2" w:rsidRPr="00B44857" w:rsidRDefault="00B44857" w:rsidP="00B44857">
      <w:pPr>
        <w:pStyle w:val="SingleTxtG"/>
        <w:tabs>
          <w:tab w:val="left" w:pos="1701"/>
        </w:tabs>
        <w:rPr>
          <w:rFonts w:eastAsiaTheme="minorEastAsia"/>
        </w:rPr>
      </w:pPr>
      <w:r>
        <w:rPr>
          <w:rFonts w:eastAsiaTheme="minorEastAsia"/>
        </w:rPr>
        <w:t>1</w:t>
      </w:r>
      <w:r w:rsidR="00F61BCF">
        <w:rPr>
          <w:rFonts w:eastAsiaTheme="minorEastAsia"/>
        </w:rPr>
        <w:t>8</w:t>
      </w:r>
      <w:r>
        <w:rPr>
          <w:rFonts w:eastAsiaTheme="minorEastAsia"/>
        </w:rPr>
        <w:t>.</w:t>
      </w:r>
      <w:r>
        <w:rPr>
          <w:rFonts w:eastAsiaTheme="minorEastAsia"/>
        </w:rPr>
        <w:tab/>
      </w:r>
      <w:r w:rsidR="00C73DB2" w:rsidRPr="00B44857">
        <w:rPr>
          <w:rFonts w:eastAsiaTheme="minorEastAsia"/>
        </w:rPr>
        <w:t>The Sub-Committee is also invited to discuss on the proposals for future work.</w:t>
      </w:r>
    </w:p>
    <w:p w14:paraId="13D3084A" w14:textId="77777777" w:rsidR="00C73DB2" w:rsidRPr="005A4BB8" w:rsidRDefault="00C73DB2" w:rsidP="00C73DB2">
      <w:pPr>
        <w:spacing w:before="240"/>
        <w:jc w:val="center"/>
        <w:rPr>
          <w:u w:val="single"/>
        </w:rPr>
      </w:pPr>
      <w:r>
        <w:rPr>
          <w:u w:val="single"/>
        </w:rPr>
        <w:tab/>
      </w:r>
      <w:r>
        <w:rPr>
          <w:u w:val="single"/>
        </w:rPr>
        <w:tab/>
      </w:r>
      <w:r>
        <w:rPr>
          <w:u w:val="single"/>
        </w:rPr>
        <w:tab/>
      </w:r>
    </w:p>
    <w:sectPr w:rsidR="00C73DB2" w:rsidRPr="005A4BB8" w:rsidSect="00936321">
      <w:headerReference w:type="even" r:id="rId11"/>
      <w:headerReference w:type="default" r:id="rId12"/>
      <w:footerReference w:type="first" r:id="rId13"/>
      <w:pgSz w:w="12240" w:h="15840" w:code="1"/>
      <w:pgMar w:top="1418" w:right="1134" w:bottom="1134" w:left="1134" w:header="851"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91E657" w14:textId="77777777" w:rsidR="00E02F1B" w:rsidRDefault="00E02F1B" w:rsidP="00203584">
      <w:pPr>
        <w:spacing w:line="240" w:lineRule="auto"/>
      </w:pPr>
      <w:r>
        <w:separator/>
      </w:r>
    </w:p>
  </w:endnote>
  <w:endnote w:type="continuationSeparator" w:id="0">
    <w:p w14:paraId="370B57B6" w14:textId="77777777" w:rsidR="00E02F1B" w:rsidRDefault="00E02F1B" w:rsidP="00203584">
      <w:pPr>
        <w:spacing w:line="240" w:lineRule="auto"/>
      </w:pPr>
      <w:r>
        <w:continuationSeparator/>
      </w:r>
    </w:p>
  </w:endnote>
  <w:endnote w:type="continuationNotice" w:id="1">
    <w:p w14:paraId="6AD7D953" w14:textId="77777777" w:rsidR="00E02F1B" w:rsidRDefault="00E02F1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rPr>
      <w:id w:val="-985478065"/>
      <w:docPartObj>
        <w:docPartGallery w:val="Page Numbers (Bottom of Page)"/>
        <w:docPartUnique/>
      </w:docPartObj>
    </w:sdtPr>
    <w:sdtEndPr>
      <w:rPr>
        <w:noProof/>
      </w:rPr>
    </w:sdtEndPr>
    <w:sdtContent>
      <w:p w14:paraId="0B0DBFA4" w14:textId="52FD8342" w:rsidR="00B44857" w:rsidRPr="00B44857" w:rsidRDefault="00B44857">
        <w:pPr>
          <w:pStyle w:val="Footer"/>
          <w:jc w:val="right"/>
          <w:rPr>
            <w:b/>
            <w:bCs/>
          </w:rPr>
        </w:pPr>
        <w:r w:rsidRPr="00B44857">
          <w:rPr>
            <w:b/>
            <w:bCs/>
          </w:rPr>
          <w:fldChar w:fldCharType="begin"/>
        </w:r>
        <w:r w:rsidRPr="00B44857">
          <w:rPr>
            <w:b/>
            <w:bCs/>
          </w:rPr>
          <w:instrText xml:space="preserve"> PAGE   \* MERGEFORMAT </w:instrText>
        </w:r>
        <w:r w:rsidRPr="00B44857">
          <w:rPr>
            <w:b/>
            <w:bCs/>
          </w:rPr>
          <w:fldChar w:fldCharType="separate"/>
        </w:r>
        <w:r w:rsidRPr="00B44857">
          <w:rPr>
            <w:b/>
            <w:bCs/>
            <w:noProof/>
          </w:rPr>
          <w:t>2</w:t>
        </w:r>
        <w:r w:rsidRPr="00B44857">
          <w:rPr>
            <w:b/>
            <w:bCs/>
            <w:noProof/>
          </w:rPr>
          <w:fldChar w:fldCharType="end"/>
        </w:r>
      </w:p>
    </w:sdtContent>
  </w:sdt>
  <w:p w14:paraId="25E2DB8F" w14:textId="77777777" w:rsidR="00B44857" w:rsidRDefault="00B448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5A19CE" w14:textId="77777777" w:rsidR="00E02F1B" w:rsidRDefault="00E02F1B" w:rsidP="00203584">
      <w:pPr>
        <w:spacing w:line="240" w:lineRule="auto"/>
      </w:pPr>
      <w:r>
        <w:separator/>
      </w:r>
    </w:p>
  </w:footnote>
  <w:footnote w:type="continuationSeparator" w:id="0">
    <w:p w14:paraId="02295069" w14:textId="77777777" w:rsidR="00E02F1B" w:rsidRDefault="00E02F1B" w:rsidP="00203584">
      <w:pPr>
        <w:spacing w:line="240" w:lineRule="auto"/>
      </w:pPr>
      <w:r>
        <w:continuationSeparator/>
      </w:r>
    </w:p>
  </w:footnote>
  <w:footnote w:type="continuationNotice" w:id="1">
    <w:p w14:paraId="0FE8A323" w14:textId="77777777" w:rsidR="00E02F1B" w:rsidRDefault="00E02F1B">
      <w:pPr>
        <w:spacing w:line="240" w:lineRule="auto"/>
      </w:pPr>
    </w:p>
  </w:footnote>
  <w:footnote w:id="2">
    <w:p w14:paraId="7E76B2BA" w14:textId="5C0BB4FB" w:rsidR="00C73DB2" w:rsidRPr="009719A6" w:rsidRDefault="00C73DB2" w:rsidP="00EA1802">
      <w:pPr>
        <w:pStyle w:val="FootnoteText"/>
        <w:ind w:left="567"/>
        <w:rPr>
          <w:lang w:val="en-IE"/>
        </w:rPr>
      </w:pPr>
      <w:r>
        <w:rPr>
          <w:rStyle w:val="FootnoteReference"/>
        </w:rPr>
        <w:footnoteRef/>
      </w:r>
      <w:r>
        <w:t xml:space="preserve"> </w:t>
      </w:r>
      <w:r w:rsidR="00EA1802">
        <w:t xml:space="preserve">Informal document </w:t>
      </w:r>
      <w:r w:rsidRPr="009719A6">
        <w:t xml:space="preserve">INF.14 </w:t>
      </w:r>
      <w:r w:rsidR="00EA1802">
        <w:t>(42</w:t>
      </w:r>
      <w:r w:rsidR="00EA1802" w:rsidRPr="00EA1802">
        <w:rPr>
          <w:vertAlign w:val="superscript"/>
        </w:rPr>
        <w:t>nd</w:t>
      </w:r>
      <w:r w:rsidR="00EA1802">
        <w:t xml:space="preserve"> session)</w:t>
      </w:r>
      <w:r w:rsidRPr="009719A6">
        <w:t xml:space="preserve">- </w:t>
      </w:r>
      <w:hyperlink r:id="rId1" w:history="1">
        <w:r w:rsidRPr="009719A6">
          <w:rPr>
            <w:rStyle w:val="Hyperlink"/>
          </w:rPr>
          <w:t xml:space="preserve">Classification and hazard communication of hydrofluorocarbons addressed in Annex F of the Montreal Protocol </w:t>
        </w:r>
      </w:hyperlink>
    </w:p>
  </w:footnote>
  <w:footnote w:id="3">
    <w:p w14:paraId="2AB38E92" w14:textId="77777777" w:rsidR="00C73DB2" w:rsidRPr="00786FB8" w:rsidRDefault="00C73DB2" w:rsidP="00EA1802">
      <w:pPr>
        <w:pStyle w:val="FootnoteText"/>
        <w:ind w:left="567"/>
        <w:jc w:val="both"/>
        <w:rPr>
          <w:lang w:val="en-IE"/>
        </w:rPr>
      </w:pPr>
      <w:r>
        <w:rPr>
          <w:rStyle w:val="FootnoteReference"/>
        </w:rPr>
        <w:footnoteRef/>
      </w:r>
      <w:r>
        <w:t xml:space="preserve"> </w:t>
      </w:r>
      <w:r w:rsidRPr="00786FB8">
        <w:t xml:space="preserve">ST/SG/AC.10/C.4/84 - </w:t>
      </w:r>
      <w:hyperlink r:id="rId2" w:history="1">
        <w:r w:rsidRPr="00786FB8">
          <w:rPr>
            <w:rStyle w:val="Hyperlink"/>
            <w:color w:val="005894"/>
          </w:rPr>
          <w:t>Report of the Sub-Committee of Experts on the Globally Harmonized System of Classification and Labelling of Chemicals on its forty-second session</w:t>
        </w:r>
      </w:hyperlink>
    </w:p>
  </w:footnote>
  <w:footnote w:id="4">
    <w:p w14:paraId="45713A66" w14:textId="57797373" w:rsidR="00C73DB2" w:rsidRPr="00F36570" w:rsidRDefault="00C73DB2" w:rsidP="00260714">
      <w:pPr>
        <w:pStyle w:val="FootnoteText"/>
        <w:ind w:left="567"/>
      </w:pPr>
      <w:r>
        <w:rPr>
          <w:rStyle w:val="FootnoteReference"/>
        </w:rPr>
        <w:footnoteRef/>
      </w:r>
      <w:r>
        <w:t xml:space="preserve"> </w:t>
      </w:r>
      <w:hyperlink r:id="rId3" w:history="1">
        <w:r w:rsidRPr="00E468A5">
          <w:rPr>
            <w:rStyle w:val="Hyperlink"/>
          </w:rPr>
          <w:t>https://ozone.unep.org/treaties/montreal-protocol/amendments/kigali-amendment-2016-amendment-montreal-protocol-agreed</w:t>
        </w:r>
      </w:hyperlink>
      <w:r w:rsidR="00260714">
        <w:t xml:space="preserve"> </w:t>
      </w:r>
    </w:p>
  </w:footnote>
  <w:footnote w:id="5">
    <w:p w14:paraId="23DA4036" w14:textId="77777777" w:rsidR="00C73DB2" w:rsidRPr="00217DE4" w:rsidRDefault="00C73DB2" w:rsidP="00B44857">
      <w:pPr>
        <w:pStyle w:val="FootnoteText"/>
        <w:ind w:left="567"/>
        <w:rPr>
          <w:lang w:val="en-IE"/>
        </w:rPr>
      </w:pPr>
      <w:r>
        <w:rPr>
          <w:rStyle w:val="FootnoteReference"/>
        </w:rPr>
        <w:footnoteRef/>
      </w:r>
      <w:r>
        <w:t xml:space="preserve"> </w:t>
      </w:r>
      <w:r w:rsidRPr="00217DE4">
        <w:t>Regulation (EU) No 517/2014 on fluorinated greenhouse gases</w:t>
      </w:r>
      <w:r>
        <w:t xml:space="preserve"> </w:t>
      </w:r>
      <w:hyperlink r:id="rId4" w:history="1">
        <w:r w:rsidRPr="00D31FC9">
          <w:rPr>
            <w:rStyle w:val="Hyperlink"/>
          </w:rPr>
          <w:t>http://data.europa.eu/eli/reg/2014/517/oj</w:t>
        </w:r>
      </w:hyperlink>
      <w:r>
        <w:t xml:space="preserve"> </w:t>
      </w:r>
      <w:r>
        <w:br/>
        <w:t xml:space="preserve">The European Union is developing a revision to update the existing Regulation. See </w:t>
      </w:r>
      <w:hyperlink r:id="rId5" w:anchor="review-of-the-eu-f-gas-regulation-and-the-new-commission-proposal" w:history="1">
        <w:r w:rsidRPr="00D31FC9">
          <w:rPr>
            <w:rStyle w:val="Hyperlink"/>
          </w:rPr>
          <w:t>https://climate.ec.europa.eu/eu-action/fluorinated-greenhouse-gases/eu-legislation-control-f-gases_en#review-of-the-eu-f-gas-regulation-and-the-new-commission-proposal</w:t>
        </w:r>
      </w:hyperlink>
      <w:r>
        <w:t xml:space="preserve"> </w:t>
      </w:r>
    </w:p>
  </w:footnote>
  <w:footnote w:id="6">
    <w:p w14:paraId="06DE1357" w14:textId="77777777" w:rsidR="00C73DB2" w:rsidRPr="00D50CF6" w:rsidRDefault="00C73DB2" w:rsidP="00B44857">
      <w:pPr>
        <w:pStyle w:val="FootnoteText"/>
        <w:ind w:left="567"/>
        <w:rPr>
          <w:lang w:val="en-IE"/>
        </w:rPr>
      </w:pPr>
      <w:r>
        <w:rPr>
          <w:rStyle w:val="FootnoteReference"/>
        </w:rPr>
        <w:footnoteRef/>
      </w:r>
      <w:r>
        <w:t xml:space="preserve"> While dry ice is not falling within the scope of GHS, it is subject to transport regulations. Another special case would be water which in its gaseous form is also a greenhouse gas.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F479D" w14:textId="77777777" w:rsidR="00936321" w:rsidRDefault="00936321" w:rsidP="00936321">
    <w:pPr>
      <w:pStyle w:val="Header"/>
      <w:pBdr>
        <w:bottom w:val="single" w:sz="4" w:space="1" w:color="auto"/>
      </w:pBdr>
    </w:pPr>
    <w:r w:rsidRPr="00B44857">
      <w:rPr>
        <w:b/>
        <w:bCs/>
      </w:rPr>
      <w:t>UN/SCEGHS/43/INF.37</w:t>
    </w:r>
  </w:p>
  <w:p w14:paraId="6BB92C63" w14:textId="77777777" w:rsidR="00936321" w:rsidRDefault="009363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73C40" w14:textId="77777777" w:rsidR="00936321" w:rsidRDefault="00936321" w:rsidP="00936321">
    <w:pPr>
      <w:pStyle w:val="Header"/>
      <w:pBdr>
        <w:bottom w:val="single" w:sz="4" w:space="1" w:color="auto"/>
      </w:pBdr>
      <w:jc w:val="right"/>
    </w:pPr>
    <w:r w:rsidRPr="00B44857">
      <w:rPr>
        <w:b/>
        <w:bCs/>
      </w:rPr>
      <w:t>UN/SCEGHS/43/INF.37</w:t>
    </w:r>
  </w:p>
  <w:p w14:paraId="2ED746CA" w14:textId="77777777" w:rsidR="00936321" w:rsidRDefault="009363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D64CD"/>
    <w:multiLevelType w:val="hybridMultilevel"/>
    <w:tmpl w:val="F84E5646"/>
    <w:lvl w:ilvl="0" w:tplc="88DE21FC">
      <w:start w:val="1"/>
      <w:numFmt w:val="decimal"/>
      <w:lvlText w:val="%1."/>
      <w:lvlJc w:val="left"/>
      <w:pPr>
        <w:ind w:left="1710" w:hanging="576"/>
      </w:pPr>
      <w:rPr>
        <w:rFonts w:hint="default"/>
      </w:rPr>
    </w:lvl>
    <w:lvl w:ilvl="1" w:tplc="18090019">
      <w:start w:val="1"/>
      <w:numFmt w:val="lowerLetter"/>
      <w:lvlText w:val="%2."/>
      <w:lvlJc w:val="left"/>
      <w:pPr>
        <w:ind w:left="2214" w:hanging="360"/>
      </w:pPr>
    </w:lvl>
    <w:lvl w:ilvl="2" w:tplc="1809001B" w:tentative="1">
      <w:start w:val="1"/>
      <w:numFmt w:val="lowerRoman"/>
      <w:lvlText w:val="%3."/>
      <w:lvlJc w:val="right"/>
      <w:pPr>
        <w:ind w:left="2934" w:hanging="180"/>
      </w:pPr>
    </w:lvl>
    <w:lvl w:ilvl="3" w:tplc="1809000F" w:tentative="1">
      <w:start w:val="1"/>
      <w:numFmt w:val="decimal"/>
      <w:lvlText w:val="%4."/>
      <w:lvlJc w:val="left"/>
      <w:pPr>
        <w:ind w:left="3654" w:hanging="360"/>
      </w:pPr>
    </w:lvl>
    <w:lvl w:ilvl="4" w:tplc="18090019" w:tentative="1">
      <w:start w:val="1"/>
      <w:numFmt w:val="lowerLetter"/>
      <w:lvlText w:val="%5."/>
      <w:lvlJc w:val="left"/>
      <w:pPr>
        <w:ind w:left="4374" w:hanging="360"/>
      </w:pPr>
    </w:lvl>
    <w:lvl w:ilvl="5" w:tplc="1809001B" w:tentative="1">
      <w:start w:val="1"/>
      <w:numFmt w:val="lowerRoman"/>
      <w:lvlText w:val="%6."/>
      <w:lvlJc w:val="right"/>
      <w:pPr>
        <w:ind w:left="5094" w:hanging="180"/>
      </w:pPr>
    </w:lvl>
    <w:lvl w:ilvl="6" w:tplc="1809000F" w:tentative="1">
      <w:start w:val="1"/>
      <w:numFmt w:val="decimal"/>
      <w:lvlText w:val="%7."/>
      <w:lvlJc w:val="left"/>
      <w:pPr>
        <w:ind w:left="5814" w:hanging="360"/>
      </w:pPr>
    </w:lvl>
    <w:lvl w:ilvl="7" w:tplc="18090019" w:tentative="1">
      <w:start w:val="1"/>
      <w:numFmt w:val="lowerLetter"/>
      <w:lvlText w:val="%8."/>
      <w:lvlJc w:val="left"/>
      <w:pPr>
        <w:ind w:left="6534" w:hanging="360"/>
      </w:pPr>
    </w:lvl>
    <w:lvl w:ilvl="8" w:tplc="1809001B" w:tentative="1">
      <w:start w:val="1"/>
      <w:numFmt w:val="lowerRoman"/>
      <w:lvlText w:val="%9."/>
      <w:lvlJc w:val="right"/>
      <w:pPr>
        <w:ind w:left="7254" w:hanging="180"/>
      </w:pPr>
    </w:lvl>
  </w:abstractNum>
  <w:abstractNum w:abstractNumId="1" w15:restartNumberingAfterBreak="0">
    <w:nsid w:val="1CCA26CB"/>
    <w:multiLevelType w:val="hybridMultilevel"/>
    <w:tmpl w:val="096E3D8C"/>
    <w:lvl w:ilvl="0" w:tplc="ACB88A66">
      <w:start w:val="1"/>
      <w:numFmt w:val="decimal"/>
      <w:lvlText w:val="%1."/>
      <w:lvlJc w:val="left"/>
      <w:pPr>
        <w:ind w:left="1704" w:hanging="57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 w15:restartNumberingAfterBreak="0">
    <w:nsid w:val="45BB4BD4"/>
    <w:multiLevelType w:val="hybridMultilevel"/>
    <w:tmpl w:val="51CC6256"/>
    <w:lvl w:ilvl="0" w:tplc="BEC64472">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 w15:restartNumberingAfterBreak="0">
    <w:nsid w:val="5F0D3F8C"/>
    <w:multiLevelType w:val="hybridMultilevel"/>
    <w:tmpl w:val="2ABE4888"/>
    <w:lvl w:ilvl="0" w:tplc="04090011">
      <w:start w:val="1"/>
      <w:numFmt w:val="decimal"/>
      <w:lvlText w:val="%1)"/>
      <w:lvlJc w:val="left"/>
      <w:pPr>
        <w:ind w:left="2061" w:hanging="360"/>
      </w:p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4" w15:restartNumberingAfterBreak="0">
    <w:nsid w:val="7A015963"/>
    <w:multiLevelType w:val="hybridMultilevel"/>
    <w:tmpl w:val="B5D4367C"/>
    <w:lvl w:ilvl="0" w:tplc="57F023AA">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5" w15:restartNumberingAfterBreak="0">
    <w:nsid w:val="7D951850"/>
    <w:multiLevelType w:val="hybridMultilevel"/>
    <w:tmpl w:val="630AFE74"/>
    <w:lvl w:ilvl="0" w:tplc="15F814A6">
      <w:start w:val="1"/>
      <w:numFmt w:val="lowerLetter"/>
      <w:lvlText w:val="(%1)"/>
      <w:lvlJc w:val="left"/>
      <w:pPr>
        <w:ind w:left="2271" w:hanging="57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num w:numId="1">
    <w:abstractNumId w:val="2"/>
  </w:num>
  <w:num w:numId="2">
    <w:abstractNumId w:val="1"/>
  </w:num>
  <w:num w:numId="3">
    <w:abstractNumId w:val="3"/>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4"/>
  <w:proofState w:spelling="clean"/>
  <w:defaultTabStop w:val="720"/>
  <w:evenAndOddHeaders/>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0D81"/>
    <w:rsid w:val="00001EDA"/>
    <w:rsid w:val="00002EAC"/>
    <w:rsid w:val="000106B9"/>
    <w:rsid w:val="000151B4"/>
    <w:rsid w:val="00015CE8"/>
    <w:rsid w:val="00020662"/>
    <w:rsid w:val="00021E29"/>
    <w:rsid w:val="00025C11"/>
    <w:rsid w:val="00027D95"/>
    <w:rsid w:val="0004012A"/>
    <w:rsid w:val="00041A98"/>
    <w:rsid w:val="00041BF7"/>
    <w:rsid w:val="00063616"/>
    <w:rsid w:val="0007007F"/>
    <w:rsid w:val="00070993"/>
    <w:rsid w:val="000722F7"/>
    <w:rsid w:val="000724E3"/>
    <w:rsid w:val="000736C5"/>
    <w:rsid w:val="000800FD"/>
    <w:rsid w:val="00086E13"/>
    <w:rsid w:val="00091570"/>
    <w:rsid w:val="00091B98"/>
    <w:rsid w:val="0009606F"/>
    <w:rsid w:val="00097624"/>
    <w:rsid w:val="000A6520"/>
    <w:rsid w:val="000B17DB"/>
    <w:rsid w:val="000B405A"/>
    <w:rsid w:val="000C30A7"/>
    <w:rsid w:val="000C530F"/>
    <w:rsid w:val="000C55DB"/>
    <w:rsid w:val="000C727E"/>
    <w:rsid w:val="000C7E61"/>
    <w:rsid w:val="000D5782"/>
    <w:rsid w:val="000D77A1"/>
    <w:rsid w:val="000E5585"/>
    <w:rsid w:val="000E69B9"/>
    <w:rsid w:val="000F3F3C"/>
    <w:rsid w:val="000F4956"/>
    <w:rsid w:val="000F74D7"/>
    <w:rsid w:val="0010630E"/>
    <w:rsid w:val="00111470"/>
    <w:rsid w:val="00112440"/>
    <w:rsid w:val="001210C7"/>
    <w:rsid w:val="00123480"/>
    <w:rsid w:val="00130F0D"/>
    <w:rsid w:val="00137144"/>
    <w:rsid w:val="0015114B"/>
    <w:rsid w:val="001603DA"/>
    <w:rsid w:val="00165248"/>
    <w:rsid w:val="00166903"/>
    <w:rsid w:val="00172950"/>
    <w:rsid w:val="001746BF"/>
    <w:rsid w:val="00185FDB"/>
    <w:rsid w:val="001931DE"/>
    <w:rsid w:val="00193590"/>
    <w:rsid w:val="001A0A6A"/>
    <w:rsid w:val="001A34A6"/>
    <w:rsid w:val="001C6C57"/>
    <w:rsid w:val="001E2247"/>
    <w:rsid w:val="001E4C86"/>
    <w:rsid w:val="001E5D1C"/>
    <w:rsid w:val="001E7040"/>
    <w:rsid w:val="001F0449"/>
    <w:rsid w:val="001F0FE4"/>
    <w:rsid w:val="001F3957"/>
    <w:rsid w:val="001F4464"/>
    <w:rsid w:val="00203584"/>
    <w:rsid w:val="002132F5"/>
    <w:rsid w:val="0021479B"/>
    <w:rsid w:val="00227318"/>
    <w:rsid w:val="00246ABD"/>
    <w:rsid w:val="00260714"/>
    <w:rsid w:val="00267F3B"/>
    <w:rsid w:val="002779D2"/>
    <w:rsid w:val="00291992"/>
    <w:rsid w:val="002921C1"/>
    <w:rsid w:val="00293CEE"/>
    <w:rsid w:val="0029647F"/>
    <w:rsid w:val="002C2031"/>
    <w:rsid w:val="002C5C5B"/>
    <w:rsid w:val="002D27CF"/>
    <w:rsid w:val="002D3360"/>
    <w:rsid w:val="002E1751"/>
    <w:rsid w:val="002E5EB6"/>
    <w:rsid w:val="002F1D0F"/>
    <w:rsid w:val="002F2186"/>
    <w:rsid w:val="003018B2"/>
    <w:rsid w:val="00320505"/>
    <w:rsid w:val="00321778"/>
    <w:rsid w:val="003265C8"/>
    <w:rsid w:val="00333CA6"/>
    <w:rsid w:val="0033763B"/>
    <w:rsid w:val="00340648"/>
    <w:rsid w:val="003448EF"/>
    <w:rsid w:val="0036026F"/>
    <w:rsid w:val="003638B6"/>
    <w:rsid w:val="00366CAD"/>
    <w:rsid w:val="003672EF"/>
    <w:rsid w:val="00367868"/>
    <w:rsid w:val="003717F9"/>
    <w:rsid w:val="00372B43"/>
    <w:rsid w:val="00373B3B"/>
    <w:rsid w:val="003756FE"/>
    <w:rsid w:val="00384FAD"/>
    <w:rsid w:val="00386215"/>
    <w:rsid w:val="003908A8"/>
    <w:rsid w:val="003A0A6D"/>
    <w:rsid w:val="003C23B4"/>
    <w:rsid w:val="003C50F7"/>
    <w:rsid w:val="003D09FD"/>
    <w:rsid w:val="003D2352"/>
    <w:rsid w:val="003F2B14"/>
    <w:rsid w:val="003F36D5"/>
    <w:rsid w:val="003F3E93"/>
    <w:rsid w:val="003F585F"/>
    <w:rsid w:val="004024DC"/>
    <w:rsid w:val="00404F46"/>
    <w:rsid w:val="00424D74"/>
    <w:rsid w:val="00431CC4"/>
    <w:rsid w:val="00436053"/>
    <w:rsid w:val="00436BD3"/>
    <w:rsid w:val="00437989"/>
    <w:rsid w:val="00440DD5"/>
    <w:rsid w:val="00443D2B"/>
    <w:rsid w:val="0044508C"/>
    <w:rsid w:val="004472C4"/>
    <w:rsid w:val="00451A2F"/>
    <w:rsid w:val="004549AD"/>
    <w:rsid w:val="00456504"/>
    <w:rsid w:val="004578D4"/>
    <w:rsid w:val="0046610B"/>
    <w:rsid w:val="00471019"/>
    <w:rsid w:val="004719E8"/>
    <w:rsid w:val="00471A50"/>
    <w:rsid w:val="00473A72"/>
    <w:rsid w:val="00480BEA"/>
    <w:rsid w:val="0049185A"/>
    <w:rsid w:val="0049209D"/>
    <w:rsid w:val="00495962"/>
    <w:rsid w:val="004A59A6"/>
    <w:rsid w:val="004B0F57"/>
    <w:rsid w:val="004B50D5"/>
    <w:rsid w:val="004B60A0"/>
    <w:rsid w:val="004C0FB3"/>
    <w:rsid w:val="004C229F"/>
    <w:rsid w:val="004D0125"/>
    <w:rsid w:val="004F0726"/>
    <w:rsid w:val="00500E46"/>
    <w:rsid w:val="00512714"/>
    <w:rsid w:val="00543703"/>
    <w:rsid w:val="00543B95"/>
    <w:rsid w:val="00556D99"/>
    <w:rsid w:val="00570FE1"/>
    <w:rsid w:val="00572D0E"/>
    <w:rsid w:val="00581038"/>
    <w:rsid w:val="00584FE2"/>
    <w:rsid w:val="00585D5C"/>
    <w:rsid w:val="0058670B"/>
    <w:rsid w:val="005945FA"/>
    <w:rsid w:val="00595167"/>
    <w:rsid w:val="005A28CD"/>
    <w:rsid w:val="005B453C"/>
    <w:rsid w:val="005B5C7B"/>
    <w:rsid w:val="005D2AB0"/>
    <w:rsid w:val="005D42CB"/>
    <w:rsid w:val="005D4FFD"/>
    <w:rsid w:val="005D590F"/>
    <w:rsid w:val="005D5A1E"/>
    <w:rsid w:val="005D7B4F"/>
    <w:rsid w:val="005E03A0"/>
    <w:rsid w:val="005E1405"/>
    <w:rsid w:val="005E4322"/>
    <w:rsid w:val="005F161C"/>
    <w:rsid w:val="005F68AF"/>
    <w:rsid w:val="005F78AC"/>
    <w:rsid w:val="0060128B"/>
    <w:rsid w:val="006021A6"/>
    <w:rsid w:val="00610495"/>
    <w:rsid w:val="00615FED"/>
    <w:rsid w:val="0062123D"/>
    <w:rsid w:val="00621594"/>
    <w:rsid w:val="00630D0C"/>
    <w:rsid w:val="0063296F"/>
    <w:rsid w:val="00632AE5"/>
    <w:rsid w:val="0064031E"/>
    <w:rsid w:val="0064194B"/>
    <w:rsid w:val="0064581B"/>
    <w:rsid w:val="00655375"/>
    <w:rsid w:val="00664474"/>
    <w:rsid w:val="00673BB6"/>
    <w:rsid w:val="00681C24"/>
    <w:rsid w:val="00694D62"/>
    <w:rsid w:val="006A210F"/>
    <w:rsid w:val="006A6E42"/>
    <w:rsid w:val="006B00AF"/>
    <w:rsid w:val="006B0564"/>
    <w:rsid w:val="006B1C47"/>
    <w:rsid w:val="006B21D5"/>
    <w:rsid w:val="006B241C"/>
    <w:rsid w:val="006B2916"/>
    <w:rsid w:val="006B4CF8"/>
    <w:rsid w:val="006D1562"/>
    <w:rsid w:val="006D4A31"/>
    <w:rsid w:val="006D5921"/>
    <w:rsid w:val="006D73E4"/>
    <w:rsid w:val="006E4A6A"/>
    <w:rsid w:val="006E5B79"/>
    <w:rsid w:val="006F2A79"/>
    <w:rsid w:val="006F4017"/>
    <w:rsid w:val="006F7ABC"/>
    <w:rsid w:val="00700ABE"/>
    <w:rsid w:val="00702906"/>
    <w:rsid w:val="007153D2"/>
    <w:rsid w:val="00721288"/>
    <w:rsid w:val="00733342"/>
    <w:rsid w:val="00734580"/>
    <w:rsid w:val="00735029"/>
    <w:rsid w:val="007379C5"/>
    <w:rsid w:val="00760605"/>
    <w:rsid w:val="00781DDD"/>
    <w:rsid w:val="00797CFD"/>
    <w:rsid w:val="007B4F0C"/>
    <w:rsid w:val="007C7831"/>
    <w:rsid w:val="007D06A0"/>
    <w:rsid w:val="007D0C95"/>
    <w:rsid w:val="007D7290"/>
    <w:rsid w:val="007F7110"/>
    <w:rsid w:val="007F7B1A"/>
    <w:rsid w:val="00800D54"/>
    <w:rsid w:val="008079E9"/>
    <w:rsid w:val="0081062F"/>
    <w:rsid w:val="00812A81"/>
    <w:rsid w:val="00814029"/>
    <w:rsid w:val="00840B37"/>
    <w:rsid w:val="00851A02"/>
    <w:rsid w:val="008560C3"/>
    <w:rsid w:val="0085674F"/>
    <w:rsid w:val="00856D26"/>
    <w:rsid w:val="00866AA0"/>
    <w:rsid w:val="008672B8"/>
    <w:rsid w:val="00877DD4"/>
    <w:rsid w:val="008905C4"/>
    <w:rsid w:val="00890977"/>
    <w:rsid w:val="00897C66"/>
    <w:rsid w:val="008A4DDD"/>
    <w:rsid w:val="008A51F0"/>
    <w:rsid w:val="008B3FF1"/>
    <w:rsid w:val="008B43E8"/>
    <w:rsid w:val="008C2F09"/>
    <w:rsid w:val="008D3C1D"/>
    <w:rsid w:val="008E00D6"/>
    <w:rsid w:val="008E3714"/>
    <w:rsid w:val="008F0381"/>
    <w:rsid w:val="008F08AE"/>
    <w:rsid w:val="009009F3"/>
    <w:rsid w:val="00905F95"/>
    <w:rsid w:val="00914479"/>
    <w:rsid w:val="00915E95"/>
    <w:rsid w:val="00916A1C"/>
    <w:rsid w:val="00927183"/>
    <w:rsid w:val="00927FB7"/>
    <w:rsid w:val="00936321"/>
    <w:rsid w:val="00941DC7"/>
    <w:rsid w:val="00942943"/>
    <w:rsid w:val="00947C80"/>
    <w:rsid w:val="0095027A"/>
    <w:rsid w:val="00952AF2"/>
    <w:rsid w:val="00960B73"/>
    <w:rsid w:val="00964600"/>
    <w:rsid w:val="00964DB3"/>
    <w:rsid w:val="00967F54"/>
    <w:rsid w:val="00971E3D"/>
    <w:rsid w:val="009808E7"/>
    <w:rsid w:val="00982999"/>
    <w:rsid w:val="00982F2A"/>
    <w:rsid w:val="00984379"/>
    <w:rsid w:val="00990121"/>
    <w:rsid w:val="009A4B51"/>
    <w:rsid w:val="009B3FEF"/>
    <w:rsid w:val="009C3E1E"/>
    <w:rsid w:val="009D0D86"/>
    <w:rsid w:val="009D2966"/>
    <w:rsid w:val="009E638B"/>
    <w:rsid w:val="009F6591"/>
    <w:rsid w:val="00A04853"/>
    <w:rsid w:val="00A06FA3"/>
    <w:rsid w:val="00A07A61"/>
    <w:rsid w:val="00A23870"/>
    <w:rsid w:val="00A3459F"/>
    <w:rsid w:val="00A34D19"/>
    <w:rsid w:val="00A359E5"/>
    <w:rsid w:val="00A42B3E"/>
    <w:rsid w:val="00A431C6"/>
    <w:rsid w:val="00A45A83"/>
    <w:rsid w:val="00A4609C"/>
    <w:rsid w:val="00A60B83"/>
    <w:rsid w:val="00A625E2"/>
    <w:rsid w:val="00A6348E"/>
    <w:rsid w:val="00A63CDF"/>
    <w:rsid w:val="00A75A1F"/>
    <w:rsid w:val="00A81C63"/>
    <w:rsid w:val="00A81EDB"/>
    <w:rsid w:val="00A85DB3"/>
    <w:rsid w:val="00A97BF5"/>
    <w:rsid w:val="00AA0289"/>
    <w:rsid w:val="00AB1072"/>
    <w:rsid w:val="00AB548F"/>
    <w:rsid w:val="00AC0DFB"/>
    <w:rsid w:val="00AC4676"/>
    <w:rsid w:val="00AE08EB"/>
    <w:rsid w:val="00AE1A09"/>
    <w:rsid w:val="00AF6D86"/>
    <w:rsid w:val="00B05ACE"/>
    <w:rsid w:val="00B127AA"/>
    <w:rsid w:val="00B15F72"/>
    <w:rsid w:val="00B23AF9"/>
    <w:rsid w:val="00B25231"/>
    <w:rsid w:val="00B41968"/>
    <w:rsid w:val="00B42A47"/>
    <w:rsid w:val="00B42CB8"/>
    <w:rsid w:val="00B44857"/>
    <w:rsid w:val="00B45D7A"/>
    <w:rsid w:val="00B61A3B"/>
    <w:rsid w:val="00B668CA"/>
    <w:rsid w:val="00B72FE5"/>
    <w:rsid w:val="00B76451"/>
    <w:rsid w:val="00B84376"/>
    <w:rsid w:val="00B91288"/>
    <w:rsid w:val="00BB4EB0"/>
    <w:rsid w:val="00BC21A7"/>
    <w:rsid w:val="00BD086F"/>
    <w:rsid w:val="00BD532E"/>
    <w:rsid w:val="00BE0042"/>
    <w:rsid w:val="00BE0EA6"/>
    <w:rsid w:val="00BE1FA4"/>
    <w:rsid w:val="00BF6190"/>
    <w:rsid w:val="00C0258D"/>
    <w:rsid w:val="00C0330F"/>
    <w:rsid w:val="00C0385B"/>
    <w:rsid w:val="00C1152B"/>
    <w:rsid w:val="00C12E23"/>
    <w:rsid w:val="00C13A0A"/>
    <w:rsid w:val="00C1602C"/>
    <w:rsid w:val="00C21AE3"/>
    <w:rsid w:val="00C25D78"/>
    <w:rsid w:val="00C26282"/>
    <w:rsid w:val="00C32486"/>
    <w:rsid w:val="00C33E77"/>
    <w:rsid w:val="00C43907"/>
    <w:rsid w:val="00C5461B"/>
    <w:rsid w:val="00C569F4"/>
    <w:rsid w:val="00C65B39"/>
    <w:rsid w:val="00C65F6D"/>
    <w:rsid w:val="00C70051"/>
    <w:rsid w:val="00C73DB2"/>
    <w:rsid w:val="00C751F4"/>
    <w:rsid w:val="00C7713E"/>
    <w:rsid w:val="00C8432F"/>
    <w:rsid w:val="00C85331"/>
    <w:rsid w:val="00C8628F"/>
    <w:rsid w:val="00C87BAB"/>
    <w:rsid w:val="00CA184F"/>
    <w:rsid w:val="00CA6715"/>
    <w:rsid w:val="00CA73D0"/>
    <w:rsid w:val="00CC43E6"/>
    <w:rsid w:val="00CD42DC"/>
    <w:rsid w:val="00CD70C1"/>
    <w:rsid w:val="00CF3F91"/>
    <w:rsid w:val="00D01B62"/>
    <w:rsid w:val="00D02056"/>
    <w:rsid w:val="00D062DF"/>
    <w:rsid w:val="00D132EA"/>
    <w:rsid w:val="00D3223C"/>
    <w:rsid w:val="00D40033"/>
    <w:rsid w:val="00D40462"/>
    <w:rsid w:val="00D4532E"/>
    <w:rsid w:val="00D50725"/>
    <w:rsid w:val="00D559EB"/>
    <w:rsid w:val="00D724BB"/>
    <w:rsid w:val="00D73D34"/>
    <w:rsid w:val="00D82B7B"/>
    <w:rsid w:val="00D9436E"/>
    <w:rsid w:val="00DA7448"/>
    <w:rsid w:val="00DA7467"/>
    <w:rsid w:val="00DC5197"/>
    <w:rsid w:val="00DD3735"/>
    <w:rsid w:val="00DF3705"/>
    <w:rsid w:val="00DF4430"/>
    <w:rsid w:val="00DF6B2B"/>
    <w:rsid w:val="00E02F1B"/>
    <w:rsid w:val="00E0474E"/>
    <w:rsid w:val="00E054F6"/>
    <w:rsid w:val="00E11618"/>
    <w:rsid w:val="00E16F65"/>
    <w:rsid w:val="00E20A5D"/>
    <w:rsid w:val="00E32F0F"/>
    <w:rsid w:val="00E35123"/>
    <w:rsid w:val="00E44FAB"/>
    <w:rsid w:val="00E57A82"/>
    <w:rsid w:val="00E61989"/>
    <w:rsid w:val="00E632B8"/>
    <w:rsid w:val="00E64098"/>
    <w:rsid w:val="00E66943"/>
    <w:rsid w:val="00E75739"/>
    <w:rsid w:val="00E76D3E"/>
    <w:rsid w:val="00E77751"/>
    <w:rsid w:val="00E81527"/>
    <w:rsid w:val="00E911A3"/>
    <w:rsid w:val="00E94AD5"/>
    <w:rsid w:val="00E96C4C"/>
    <w:rsid w:val="00EA0BCA"/>
    <w:rsid w:val="00EA1802"/>
    <w:rsid w:val="00EA7A22"/>
    <w:rsid w:val="00EC3FDA"/>
    <w:rsid w:val="00ED4094"/>
    <w:rsid w:val="00EE3073"/>
    <w:rsid w:val="00EF0D81"/>
    <w:rsid w:val="00EF11EF"/>
    <w:rsid w:val="00EF53FD"/>
    <w:rsid w:val="00F03C6D"/>
    <w:rsid w:val="00F04159"/>
    <w:rsid w:val="00F0689D"/>
    <w:rsid w:val="00F15E8F"/>
    <w:rsid w:val="00F24774"/>
    <w:rsid w:val="00F37398"/>
    <w:rsid w:val="00F4343B"/>
    <w:rsid w:val="00F61BCF"/>
    <w:rsid w:val="00F77CF4"/>
    <w:rsid w:val="00F77E10"/>
    <w:rsid w:val="00F835EE"/>
    <w:rsid w:val="00FA0465"/>
    <w:rsid w:val="00FA18F4"/>
    <w:rsid w:val="00FC3F12"/>
    <w:rsid w:val="00FC6661"/>
    <w:rsid w:val="00FD3974"/>
    <w:rsid w:val="00FD70FB"/>
    <w:rsid w:val="00FF2DC4"/>
    <w:rsid w:val="00FF336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437698"/>
  <w15:docId w15:val="{9D41F716-E6CE-4B81-B411-58F053B73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0D81"/>
    <w:pPr>
      <w:suppressAutoHyphens/>
      <w:spacing w:after="0" w:line="240" w:lineRule="atLeast"/>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1"/>
    <w:qFormat/>
    <w:rsid w:val="00EF0D81"/>
    <w:pPr>
      <w:spacing w:after="120"/>
      <w:ind w:left="1134" w:right="1134"/>
      <w:jc w:val="both"/>
    </w:pPr>
  </w:style>
  <w:style w:type="paragraph" w:customStyle="1" w:styleId="HChG">
    <w:name w:val="_ H _Ch_G"/>
    <w:basedOn w:val="Normal"/>
    <w:next w:val="Normal"/>
    <w:link w:val="HChGChar"/>
    <w:qFormat/>
    <w:rsid w:val="00EF0D81"/>
    <w:pPr>
      <w:keepNext/>
      <w:keepLines/>
      <w:tabs>
        <w:tab w:val="right" w:pos="851"/>
      </w:tabs>
      <w:spacing w:before="360" w:after="240" w:line="300" w:lineRule="exact"/>
      <w:ind w:left="1134" w:right="1134" w:hanging="1134"/>
    </w:pPr>
    <w:rPr>
      <w:b/>
      <w:sz w:val="28"/>
    </w:rPr>
  </w:style>
  <w:style w:type="character" w:styleId="Hyperlink">
    <w:name w:val="Hyperlink"/>
    <w:semiHidden/>
    <w:rsid w:val="00EF0D81"/>
    <w:rPr>
      <w:color w:val="auto"/>
      <w:u w:val="none"/>
    </w:rPr>
  </w:style>
  <w:style w:type="paragraph" w:customStyle="1" w:styleId="H1G">
    <w:name w:val="_ H_1_G"/>
    <w:basedOn w:val="Normal"/>
    <w:next w:val="Normal"/>
    <w:rsid w:val="00EF0D81"/>
    <w:pPr>
      <w:keepNext/>
      <w:keepLines/>
      <w:tabs>
        <w:tab w:val="right" w:pos="851"/>
      </w:tabs>
      <w:spacing w:before="360" w:after="240" w:line="270" w:lineRule="exact"/>
      <w:ind w:left="1134" w:right="1134" w:hanging="1134"/>
    </w:pPr>
    <w:rPr>
      <w:b/>
      <w:sz w:val="24"/>
    </w:rPr>
  </w:style>
  <w:style w:type="character" w:customStyle="1" w:styleId="HChGChar">
    <w:name w:val="_ H _Ch_G Char"/>
    <w:link w:val="HChG"/>
    <w:rsid w:val="00EF0D81"/>
    <w:rPr>
      <w:rFonts w:ascii="Times New Roman" w:eastAsia="Times New Roman" w:hAnsi="Times New Roman" w:cs="Times New Roman"/>
      <w:b/>
      <w:sz w:val="28"/>
      <w:szCs w:val="20"/>
      <w:lang w:val="en-GB"/>
    </w:rPr>
  </w:style>
  <w:style w:type="character" w:customStyle="1" w:styleId="SingleTxtGChar1">
    <w:name w:val="_ Single Txt_G Char1"/>
    <w:link w:val="SingleTxtG"/>
    <w:locked/>
    <w:rsid w:val="00EF0D81"/>
    <w:rPr>
      <w:rFonts w:ascii="Times New Roman" w:eastAsia="Times New Roman" w:hAnsi="Times New Roman" w:cs="Times New Roman"/>
      <w:sz w:val="20"/>
      <w:szCs w:val="20"/>
      <w:lang w:val="en-GB"/>
    </w:rPr>
  </w:style>
  <w:style w:type="paragraph" w:styleId="BalloonText">
    <w:name w:val="Balloon Text"/>
    <w:basedOn w:val="Normal"/>
    <w:link w:val="BalloonTextChar"/>
    <w:uiPriority w:val="99"/>
    <w:semiHidden/>
    <w:unhideWhenUsed/>
    <w:rsid w:val="00EF0D8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0D81"/>
    <w:rPr>
      <w:rFonts w:ascii="Tahoma" w:eastAsia="Times New Roman" w:hAnsi="Tahoma" w:cs="Tahoma"/>
      <w:sz w:val="16"/>
      <w:szCs w:val="16"/>
      <w:lang w:val="en-GB"/>
    </w:rPr>
  </w:style>
  <w:style w:type="paragraph" w:styleId="Header">
    <w:name w:val="header"/>
    <w:basedOn w:val="Normal"/>
    <w:link w:val="HeaderChar"/>
    <w:uiPriority w:val="99"/>
    <w:unhideWhenUsed/>
    <w:rsid w:val="00203584"/>
    <w:pPr>
      <w:tabs>
        <w:tab w:val="center" w:pos="4680"/>
        <w:tab w:val="right" w:pos="9360"/>
      </w:tabs>
      <w:spacing w:line="240" w:lineRule="auto"/>
    </w:pPr>
  </w:style>
  <w:style w:type="character" w:customStyle="1" w:styleId="HeaderChar">
    <w:name w:val="Header Char"/>
    <w:basedOn w:val="DefaultParagraphFont"/>
    <w:link w:val="Header"/>
    <w:uiPriority w:val="99"/>
    <w:rsid w:val="00203584"/>
    <w:rPr>
      <w:rFonts w:ascii="Times New Roman" w:eastAsia="Times New Roman" w:hAnsi="Times New Roman" w:cs="Times New Roman"/>
      <w:sz w:val="20"/>
      <w:szCs w:val="20"/>
      <w:lang w:val="en-GB"/>
    </w:rPr>
  </w:style>
  <w:style w:type="paragraph" w:styleId="Footer">
    <w:name w:val="footer"/>
    <w:basedOn w:val="Normal"/>
    <w:link w:val="FooterChar"/>
    <w:uiPriority w:val="99"/>
    <w:unhideWhenUsed/>
    <w:rsid w:val="00203584"/>
    <w:pPr>
      <w:tabs>
        <w:tab w:val="center" w:pos="4680"/>
        <w:tab w:val="right" w:pos="9360"/>
      </w:tabs>
      <w:spacing w:line="240" w:lineRule="auto"/>
    </w:pPr>
  </w:style>
  <w:style w:type="character" w:customStyle="1" w:styleId="FooterChar">
    <w:name w:val="Footer Char"/>
    <w:basedOn w:val="DefaultParagraphFont"/>
    <w:link w:val="Footer"/>
    <w:uiPriority w:val="99"/>
    <w:rsid w:val="00203584"/>
    <w:rPr>
      <w:rFonts w:ascii="Times New Roman" w:eastAsia="Times New Roman" w:hAnsi="Times New Roman" w:cs="Times New Roman"/>
      <w:sz w:val="20"/>
      <w:szCs w:val="20"/>
      <w:lang w:val="en-GB"/>
    </w:rPr>
  </w:style>
  <w:style w:type="paragraph" w:styleId="NormalWeb">
    <w:name w:val="Normal (Web)"/>
    <w:basedOn w:val="Normal"/>
    <w:uiPriority w:val="99"/>
    <w:semiHidden/>
    <w:unhideWhenUsed/>
    <w:rsid w:val="00C1152B"/>
    <w:pPr>
      <w:suppressAutoHyphens w:val="0"/>
      <w:spacing w:before="100" w:beforeAutospacing="1" w:after="100" w:afterAutospacing="1" w:line="240" w:lineRule="auto"/>
    </w:pPr>
    <w:rPr>
      <w:rFonts w:eastAsiaTheme="minorHAnsi"/>
      <w:sz w:val="24"/>
      <w:szCs w:val="24"/>
      <w:lang w:val="en-US"/>
    </w:rPr>
  </w:style>
  <w:style w:type="character" w:customStyle="1" w:styleId="SingleTxtGChar">
    <w:name w:val="_ Single Txt_G Char"/>
    <w:qFormat/>
    <w:rsid w:val="007F7110"/>
    <w:rPr>
      <w:lang w:eastAsia="en-US"/>
    </w:rPr>
  </w:style>
  <w:style w:type="paragraph" w:styleId="FootnoteText">
    <w:name w:val="footnote text"/>
    <w:aliases w:val="5_G"/>
    <w:basedOn w:val="Normal"/>
    <w:link w:val="FootnoteTextChar"/>
    <w:uiPriority w:val="99"/>
    <w:unhideWhenUsed/>
    <w:rsid w:val="00E64098"/>
    <w:pPr>
      <w:spacing w:line="240" w:lineRule="auto"/>
    </w:pPr>
  </w:style>
  <w:style w:type="character" w:customStyle="1" w:styleId="FootnoteTextChar">
    <w:name w:val="Footnote Text Char"/>
    <w:aliases w:val="5_G Char"/>
    <w:basedOn w:val="DefaultParagraphFont"/>
    <w:link w:val="FootnoteText"/>
    <w:uiPriority w:val="99"/>
    <w:rsid w:val="00E64098"/>
    <w:rPr>
      <w:rFonts w:ascii="Times New Roman" w:eastAsia="Times New Roman" w:hAnsi="Times New Roman" w:cs="Times New Roman"/>
      <w:sz w:val="20"/>
      <w:szCs w:val="20"/>
      <w:lang w:val="en-GB"/>
    </w:rPr>
  </w:style>
  <w:style w:type="character" w:styleId="FootnoteReference">
    <w:name w:val="footnote reference"/>
    <w:aliases w:val="4_G"/>
    <w:basedOn w:val="DefaultParagraphFont"/>
    <w:unhideWhenUsed/>
    <w:rsid w:val="00E64098"/>
    <w:rPr>
      <w:vertAlign w:val="superscript"/>
    </w:rPr>
  </w:style>
  <w:style w:type="character" w:styleId="CommentReference">
    <w:name w:val="annotation reference"/>
    <w:basedOn w:val="DefaultParagraphFont"/>
    <w:uiPriority w:val="99"/>
    <w:semiHidden/>
    <w:unhideWhenUsed/>
    <w:rsid w:val="00A81EDB"/>
    <w:rPr>
      <w:sz w:val="16"/>
      <w:szCs w:val="16"/>
    </w:rPr>
  </w:style>
  <w:style w:type="paragraph" w:styleId="CommentText">
    <w:name w:val="annotation text"/>
    <w:basedOn w:val="Normal"/>
    <w:link w:val="CommentTextChar"/>
    <w:uiPriority w:val="99"/>
    <w:unhideWhenUsed/>
    <w:rsid w:val="00A81EDB"/>
    <w:pPr>
      <w:spacing w:line="240" w:lineRule="auto"/>
    </w:pPr>
  </w:style>
  <w:style w:type="character" w:customStyle="1" w:styleId="CommentTextChar">
    <w:name w:val="Comment Text Char"/>
    <w:basedOn w:val="DefaultParagraphFont"/>
    <w:link w:val="CommentText"/>
    <w:uiPriority w:val="99"/>
    <w:rsid w:val="00A81EDB"/>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A81EDB"/>
    <w:rPr>
      <w:b/>
      <w:bCs/>
    </w:rPr>
  </w:style>
  <w:style w:type="character" w:customStyle="1" w:styleId="CommentSubjectChar">
    <w:name w:val="Comment Subject Char"/>
    <w:basedOn w:val="CommentTextChar"/>
    <w:link w:val="CommentSubject"/>
    <w:uiPriority w:val="99"/>
    <w:semiHidden/>
    <w:rsid w:val="00A81EDB"/>
    <w:rPr>
      <w:rFonts w:ascii="Times New Roman" w:eastAsia="Times New Roman" w:hAnsi="Times New Roman" w:cs="Times New Roman"/>
      <w:b/>
      <w:bCs/>
      <w:sz w:val="20"/>
      <w:szCs w:val="20"/>
      <w:lang w:val="en-GB"/>
    </w:rPr>
  </w:style>
  <w:style w:type="paragraph" w:styleId="Revision">
    <w:name w:val="Revision"/>
    <w:hidden/>
    <w:uiPriority w:val="99"/>
    <w:semiHidden/>
    <w:rsid w:val="00424D74"/>
    <w:pPr>
      <w:spacing w:after="0" w:line="240" w:lineRule="auto"/>
    </w:pPr>
    <w:rPr>
      <w:rFonts w:ascii="Times New Roman" w:eastAsia="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045884">
      <w:bodyDiv w:val="1"/>
      <w:marLeft w:val="0"/>
      <w:marRight w:val="0"/>
      <w:marTop w:val="0"/>
      <w:marBottom w:val="0"/>
      <w:divBdr>
        <w:top w:val="none" w:sz="0" w:space="0" w:color="auto"/>
        <w:left w:val="none" w:sz="0" w:space="0" w:color="auto"/>
        <w:bottom w:val="none" w:sz="0" w:space="0" w:color="auto"/>
        <w:right w:val="none" w:sz="0" w:space="0" w:color="auto"/>
      </w:divBdr>
    </w:div>
    <w:div w:id="185699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ozone.unep.org/treaties/montreal-protocol/amendments/kigali-amendment-2016-amendment-montreal-protocol-agreed" TargetMode="External"/><Relationship Id="rId2" Type="http://schemas.openxmlformats.org/officeDocument/2006/relationships/hyperlink" Target="https://unece.org/transport/documents/2022/07/reports/report-sub-committee-experts-globally-harmonized-system" TargetMode="External"/><Relationship Id="rId1" Type="http://schemas.openxmlformats.org/officeDocument/2006/relationships/hyperlink" Target="https://unece.org/transport/documents/2022/06/informal-documents/classification-and-hazard-communication" TargetMode="External"/><Relationship Id="rId5" Type="http://schemas.openxmlformats.org/officeDocument/2006/relationships/hyperlink" Target="https://climate.ec.europa.eu/eu-action/fluorinated-greenhouse-gases/eu-legislation-control-f-gases_en" TargetMode="External"/><Relationship Id="rId4" Type="http://schemas.openxmlformats.org/officeDocument/2006/relationships/hyperlink" Target="http://data.europa.eu/eli/reg/2014/517/o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F89024B-0574-4F30-8633-99F531FE5875}">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2.xml><?xml version="1.0" encoding="utf-8"?>
<ds:datastoreItem xmlns:ds="http://schemas.openxmlformats.org/officeDocument/2006/customXml" ds:itemID="{5E215D2B-13B6-4E7D-8026-491D4FE789D8}">
  <ds:schemaRefs>
    <ds:schemaRef ds:uri="http://schemas.microsoft.com/sharepoint/v3/contenttype/forms"/>
  </ds:schemaRefs>
</ds:datastoreItem>
</file>

<file path=customXml/itemProps3.xml><?xml version="1.0" encoding="utf-8"?>
<ds:datastoreItem xmlns:ds="http://schemas.openxmlformats.org/officeDocument/2006/customXml" ds:itemID="{9001E6B1-9F67-4A82-BB1F-86B2E350E48A}">
  <ds:schemaRefs>
    <ds:schemaRef ds:uri="http://schemas.openxmlformats.org/officeDocument/2006/bibliography"/>
  </ds:schemaRefs>
</ds:datastoreItem>
</file>

<file path=customXml/itemProps4.xml><?xml version="1.0" encoding="utf-8"?>
<ds:datastoreItem xmlns:ds="http://schemas.openxmlformats.org/officeDocument/2006/customXml" ds:itemID="{7462D009-62A0-4496-8AF0-4445EAE7D5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3</Pages>
  <Words>1134</Words>
  <Characters>6470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Holmes, Deana - OSHA</dc:creator>
  <cp:keywords/>
  <dc:description/>
  <cp:lastModifiedBy>Rosa Garcia Couto</cp:lastModifiedBy>
  <cp:revision>29</cp:revision>
  <cp:lastPrinted>2022-12-05T09:41:00Z</cp:lastPrinted>
  <dcterms:created xsi:type="dcterms:W3CDTF">2022-12-06T07:40:00Z</dcterms:created>
  <dcterms:modified xsi:type="dcterms:W3CDTF">2022-12-06T08:55:00Z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0x010100DBF555C7709FAF41B041D375951A48D8</vt:lpwstr>
  </property>
  <property fmtid="{D5CDD505-2E9C-101B-9397-08002B2CF9AE}" pid="3" name="MediaServiceImageTags">
    <vt:lpwstr/>
  </property>
  <property fmtid="{D5CDD505-2E9C-101B-9397-08002B2CF9AE}" pid="4" name="Office_x0020_of_x0020_Origin">
    <vt:lpwstr/>
  </property>
  <property fmtid="{D5CDD505-2E9C-101B-9397-08002B2CF9AE}" pid="5" name="gba66df640194346a5267c50f24d4797">
    <vt:lpwstr/>
  </property>
  <property fmtid="{D5CDD505-2E9C-101B-9397-08002B2CF9AE}" pid="6" name="Office of Origin">
    <vt:lpwstr/>
  </property>
</Properties>
</file>