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102" w:type="dxa"/>
        <w:tblLayout w:type="fixed"/>
        <w:tblCellMar>
          <w:left w:w="0" w:type="dxa"/>
          <w:right w:w="0" w:type="dxa"/>
        </w:tblCellMar>
        <w:tblLook w:val="01E0" w:firstRow="1" w:lastRow="1" w:firstColumn="1" w:lastColumn="1" w:noHBand="0" w:noVBand="0"/>
      </w:tblPr>
      <w:tblGrid>
        <w:gridCol w:w="9102"/>
      </w:tblGrid>
      <w:tr w:rsidR="00717408" w:rsidRPr="00FA0F0E" w14:paraId="733BC40E" w14:textId="77777777" w:rsidTr="00C962EA">
        <w:trPr>
          <w:cantSplit/>
          <w:trHeight w:hRule="exact" w:val="934"/>
        </w:trPr>
        <w:tc>
          <w:tcPr>
            <w:tcW w:w="9102" w:type="dxa"/>
            <w:tcBorders>
              <w:bottom w:val="single" w:sz="4" w:space="0" w:color="auto"/>
            </w:tcBorders>
            <w:vAlign w:val="bottom"/>
          </w:tcPr>
          <w:p w14:paraId="30457239" w14:textId="7973DCDA" w:rsidR="00717408" w:rsidRPr="00FA0F0E" w:rsidRDefault="00FA63B2" w:rsidP="00F61929">
            <w:pPr>
              <w:jc w:val="right"/>
              <w:rPr>
                <w:b/>
                <w:sz w:val="40"/>
                <w:szCs w:val="40"/>
              </w:rPr>
            </w:pPr>
            <w:r w:rsidRPr="00FA0F0E">
              <w:rPr>
                <w:b/>
                <w:sz w:val="40"/>
                <w:szCs w:val="40"/>
              </w:rPr>
              <w:t>UN/SCEGHS/</w:t>
            </w:r>
            <w:r w:rsidR="007A1106" w:rsidRPr="00FA0F0E">
              <w:rPr>
                <w:b/>
                <w:sz w:val="40"/>
                <w:szCs w:val="40"/>
              </w:rPr>
              <w:t>4</w:t>
            </w:r>
            <w:r w:rsidR="007A1106">
              <w:rPr>
                <w:b/>
                <w:sz w:val="40"/>
                <w:szCs w:val="40"/>
              </w:rPr>
              <w:t>3</w:t>
            </w:r>
            <w:r w:rsidRPr="00FA0F0E">
              <w:rPr>
                <w:b/>
                <w:sz w:val="40"/>
                <w:szCs w:val="40"/>
              </w:rPr>
              <w:t>/INF.</w:t>
            </w:r>
            <w:r w:rsidR="00D909BA">
              <w:rPr>
                <w:b/>
                <w:sz w:val="40"/>
                <w:szCs w:val="40"/>
              </w:rPr>
              <w:t>30</w:t>
            </w:r>
          </w:p>
        </w:tc>
      </w:tr>
      <w:tr w:rsidR="00717408" w14:paraId="50374DD2" w14:textId="77777777" w:rsidTr="00C962EA">
        <w:trPr>
          <w:cantSplit/>
          <w:trHeight w:hRule="exact" w:val="3420"/>
        </w:trPr>
        <w:tc>
          <w:tcPr>
            <w:tcW w:w="910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70E13980" w:rsidR="00717408" w:rsidRPr="00951EBC" w:rsidRDefault="00FA63B2" w:rsidP="00C62721">
            <w:pPr>
              <w:tabs>
                <w:tab w:val="left" w:pos="7513"/>
              </w:tabs>
              <w:spacing w:before="120"/>
            </w:pPr>
            <w:r w:rsidRPr="00691F20">
              <w:rPr>
                <w:b/>
                <w:lang w:val="en-US"/>
              </w:rPr>
              <w:t>Sub-Committee of Experts on the Globally Harmonized</w:t>
            </w:r>
            <w:r w:rsidRPr="00691F20">
              <w:rPr>
                <w:b/>
                <w:lang w:val="en-US"/>
              </w:rPr>
              <w:br/>
              <w:t>System of Classification and Labelling of Chemicals</w:t>
            </w:r>
            <w:r w:rsidR="00C62721">
              <w:tab/>
            </w:r>
            <w:r w:rsidR="00834C62">
              <w:rPr>
                <w:b/>
                <w:bCs/>
              </w:rPr>
              <w:t>2</w:t>
            </w:r>
            <w:r w:rsidR="00C62721" w:rsidRPr="00C62721">
              <w:rPr>
                <w:b/>
                <w:bCs/>
              </w:rPr>
              <w:t xml:space="preserve"> </w:t>
            </w:r>
            <w:r w:rsidR="00E17422" w:rsidRPr="00C62721">
              <w:rPr>
                <w:b/>
                <w:bCs/>
              </w:rPr>
              <w:t>December</w:t>
            </w:r>
            <w:r w:rsidR="00717408" w:rsidRPr="00C62721">
              <w:rPr>
                <w:b/>
                <w:bCs/>
              </w:rPr>
              <w:t xml:space="preserve"> </w:t>
            </w:r>
            <w:r w:rsidR="009B11B2" w:rsidRPr="00C62721">
              <w:rPr>
                <w:b/>
                <w:bCs/>
              </w:rPr>
              <w:t>202</w:t>
            </w:r>
            <w:r w:rsidR="007A1106" w:rsidRPr="00C62721">
              <w:rPr>
                <w:b/>
                <w:bCs/>
              </w:rPr>
              <w:t>2</w:t>
            </w:r>
          </w:p>
          <w:p w14:paraId="4F6387B0" w14:textId="7E7447D6" w:rsidR="000B6ACF" w:rsidRDefault="003C425A" w:rsidP="000B6ACF">
            <w:pPr>
              <w:spacing w:before="120"/>
              <w:rPr>
                <w:b/>
              </w:rPr>
            </w:pPr>
            <w:bookmarkStart w:id="0" w:name="_Hlk35441056"/>
            <w:r>
              <w:rPr>
                <w:b/>
              </w:rPr>
              <w:t>Fort</w:t>
            </w:r>
            <w:r w:rsidR="00F61929">
              <w:rPr>
                <w:b/>
              </w:rPr>
              <w:t>y-</w:t>
            </w:r>
            <w:r w:rsidR="007A1106">
              <w:rPr>
                <w:b/>
              </w:rPr>
              <w:t>third</w:t>
            </w:r>
            <w:r w:rsidR="000B6ACF">
              <w:rPr>
                <w:b/>
              </w:rPr>
              <w:t xml:space="preserve"> session</w:t>
            </w:r>
          </w:p>
          <w:bookmarkEnd w:id="0"/>
          <w:p w14:paraId="629A7D1E" w14:textId="655AA950" w:rsidR="003C425A" w:rsidRPr="009103F3" w:rsidRDefault="00F61929" w:rsidP="003C425A">
            <w:pPr>
              <w:spacing w:before="40"/>
            </w:pPr>
            <w:r>
              <w:t xml:space="preserve">Geneva, </w:t>
            </w:r>
            <w:r w:rsidR="00AB6B7E">
              <w:t>7</w:t>
            </w:r>
            <w:r w:rsidR="007A1106">
              <w:t>-</w:t>
            </w:r>
            <w:r w:rsidR="00AB6B7E">
              <w:t>9</w:t>
            </w:r>
            <w:r>
              <w:t xml:space="preserve"> December</w:t>
            </w:r>
            <w:r w:rsidR="003C425A" w:rsidRPr="009103F3">
              <w:t xml:space="preserve"> 202</w:t>
            </w:r>
            <w:r w:rsidR="007A1106">
              <w:t>2</w:t>
            </w:r>
          </w:p>
          <w:p w14:paraId="5BBEE255" w14:textId="3A958459" w:rsidR="003C425A" w:rsidRPr="005664C1" w:rsidRDefault="003C425A" w:rsidP="003C425A">
            <w:pPr>
              <w:spacing w:before="40"/>
            </w:pPr>
            <w:r w:rsidRPr="005664C1">
              <w:t xml:space="preserve">Item </w:t>
            </w:r>
            <w:r w:rsidR="00C962EA" w:rsidRPr="005664C1">
              <w:t>4</w:t>
            </w:r>
            <w:r w:rsidR="00D718E5" w:rsidRPr="005664C1">
              <w:t xml:space="preserve"> (a)</w:t>
            </w:r>
            <w:r w:rsidRPr="005664C1">
              <w:t xml:space="preserve"> of the provisional agenda</w:t>
            </w:r>
          </w:p>
          <w:p w14:paraId="1F239E01" w14:textId="0B9448C5" w:rsidR="00717408" w:rsidRDefault="00C962EA" w:rsidP="005664C1">
            <w:pPr>
              <w:spacing w:line="240" w:lineRule="exact"/>
              <w:rPr>
                <w:b/>
                <w:bCs/>
              </w:rPr>
            </w:pPr>
            <w:r w:rsidRPr="005664C1">
              <w:rPr>
                <w:b/>
                <w:bCs/>
              </w:rPr>
              <w:t>Implementation:</w:t>
            </w:r>
            <w:r w:rsidR="00C846BC" w:rsidRPr="005664C1">
              <w:rPr>
                <w:b/>
                <w:bCs/>
              </w:rPr>
              <w:t xml:space="preserve"> </w:t>
            </w:r>
            <w:r w:rsidR="00C62721" w:rsidRPr="005664C1">
              <w:rPr>
                <w:b/>
                <w:bCs/>
              </w:rPr>
              <w:t>p</w:t>
            </w:r>
            <w:r w:rsidR="00AC7597" w:rsidRPr="005664C1">
              <w:rPr>
                <w:b/>
                <w:bCs/>
              </w:rPr>
              <w:t xml:space="preserve">ossible development of a list of chemicals </w:t>
            </w:r>
            <w:r w:rsidR="005664C1" w:rsidRPr="005664C1">
              <w:rPr>
                <w:b/>
                <w:bCs/>
              </w:rPr>
              <w:br/>
            </w:r>
            <w:r w:rsidR="00AC7597" w:rsidRPr="005664C1">
              <w:rPr>
                <w:b/>
                <w:bCs/>
              </w:rPr>
              <w:t xml:space="preserve">classified in accordance with the </w:t>
            </w:r>
            <w:r w:rsidRPr="005664C1">
              <w:rPr>
                <w:b/>
                <w:bCs/>
              </w:rPr>
              <w:t>Globally Harmonized System</w:t>
            </w:r>
          </w:p>
          <w:p w14:paraId="7F67E7DF" w14:textId="1EDA1105" w:rsidR="00C962EA" w:rsidRPr="00AC7597" w:rsidRDefault="00C962EA" w:rsidP="00C962EA">
            <w:pPr>
              <w:spacing w:line="240" w:lineRule="exact"/>
              <w:rPr>
                <w:b/>
                <w:bCs/>
              </w:rPr>
            </w:pPr>
          </w:p>
        </w:tc>
      </w:tr>
    </w:tbl>
    <w:p w14:paraId="0A39987D" w14:textId="365EF03E" w:rsidR="00040DE3" w:rsidRDefault="00040DE3" w:rsidP="00040DE3">
      <w:pPr>
        <w:pStyle w:val="HChG"/>
        <w:rPr>
          <w:rFonts w:eastAsia="MS Mincho"/>
          <w:lang w:val="en-US" w:eastAsia="ja-JP"/>
        </w:rPr>
      </w:pPr>
      <w:r>
        <w:rPr>
          <w:rFonts w:eastAsia="MS Mincho"/>
          <w:lang w:val="en-US" w:eastAsia="ja-JP"/>
        </w:rPr>
        <w:tab/>
      </w:r>
      <w:r>
        <w:rPr>
          <w:rFonts w:eastAsia="MS Mincho"/>
          <w:lang w:val="en-US" w:eastAsia="ja-JP"/>
        </w:rPr>
        <w:tab/>
      </w:r>
      <w:r w:rsidR="00B258DC">
        <w:rPr>
          <w:rFonts w:eastAsia="MS Mincho"/>
          <w:lang w:val="en-US" w:eastAsia="ja-JP"/>
        </w:rPr>
        <w:t>Status update and p</w:t>
      </w:r>
      <w:r w:rsidR="007A1106">
        <w:rPr>
          <w:rFonts w:eastAsia="MS Mincho"/>
          <w:lang w:val="en-US" w:eastAsia="ja-JP"/>
        </w:rPr>
        <w:t>roposed work plan for 2023-2024</w:t>
      </w:r>
      <w:r>
        <w:rPr>
          <w:rFonts w:eastAsia="MS Mincho"/>
          <w:lang w:val="en-US" w:eastAsia="ja-JP"/>
        </w:rPr>
        <w:t xml:space="preserve"> </w:t>
      </w:r>
      <w:r w:rsidR="007A1106">
        <w:rPr>
          <w:rFonts w:eastAsia="MS Mincho"/>
          <w:lang w:val="en-US" w:eastAsia="ja-JP"/>
        </w:rPr>
        <w:t>global list informal correspondence group</w:t>
      </w:r>
    </w:p>
    <w:p w14:paraId="5E9BAE14" w14:textId="77777777" w:rsidR="00040DE3" w:rsidRDefault="00040DE3" w:rsidP="00040DE3">
      <w:pPr>
        <w:pStyle w:val="H1G"/>
      </w:pPr>
      <w:r>
        <w:tab/>
      </w:r>
      <w:r>
        <w:tab/>
        <w:t xml:space="preserve">Transmitted by the experts from Canada and the United States of America on behalf of the informal correspondence group </w:t>
      </w:r>
    </w:p>
    <w:p w14:paraId="232BFC42" w14:textId="1E5849C3" w:rsidR="00443789" w:rsidRPr="00443789" w:rsidRDefault="00E76A5B" w:rsidP="007A1106">
      <w:pPr>
        <w:pStyle w:val="HChG"/>
        <w:rPr>
          <w:rFonts w:eastAsia="MS Mincho"/>
        </w:rPr>
      </w:pPr>
      <w:r>
        <w:rPr>
          <w:rFonts w:eastAsia="MS Mincho"/>
        </w:rPr>
        <w:tab/>
      </w:r>
      <w:r>
        <w:rPr>
          <w:rFonts w:eastAsia="MS Mincho"/>
        </w:rPr>
        <w:tab/>
      </w:r>
      <w:r w:rsidR="00B06296">
        <w:rPr>
          <w:rFonts w:eastAsia="MS Mincho"/>
        </w:rPr>
        <w:t>Background</w:t>
      </w:r>
      <w:r w:rsidR="00443789">
        <w:rPr>
          <w:rFonts w:eastAsia="MS Mincho"/>
        </w:rPr>
        <w:t xml:space="preserve"> </w:t>
      </w:r>
      <w:r w:rsidR="00040DE3">
        <w:rPr>
          <w:rFonts w:eastAsia="MS Mincho"/>
        </w:rPr>
        <w:t xml:space="preserve"> </w:t>
      </w:r>
    </w:p>
    <w:p w14:paraId="0A2AE9A6" w14:textId="27118436" w:rsidR="00443789" w:rsidRDefault="00040DE3" w:rsidP="00877E3E">
      <w:pPr>
        <w:pStyle w:val="SingleTxtG"/>
        <w:tabs>
          <w:tab w:val="left" w:pos="1701"/>
        </w:tabs>
      </w:pPr>
      <w:r>
        <w:t>1.</w:t>
      </w:r>
      <w:r>
        <w:tab/>
      </w:r>
      <w:r w:rsidR="00A725CC">
        <w:t xml:space="preserve">The Sub-Committee has been studying the possibility of developing a global list of chemicals classified in accordance with the GHS in order to facilitate GHS implementation since 2008 (ST/SG/AC.10/C.4/2008/22 paragraph 4.4 (g)). </w:t>
      </w:r>
    </w:p>
    <w:p w14:paraId="7E090B94" w14:textId="0DB7AE2B" w:rsidR="00EF7022" w:rsidRDefault="00443789" w:rsidP="00877E3E">
      <w:pPr>
        <w:pStyle w:val="SingleTxtG"/>
        <w:tabs>
          <w:tab w:val="left" w:pos="1701"/>
        </w:tabs>
      </w:pPr>
      <w:r>
        <w:t>2</w:t>
      </w:r>
      <w:r w:rsidR="007C5C7B">
        <w:t>.</w:t>
      </w:r>
      <w:r w:rsidR="007C5C7B">
        <w:tab/>
      </w:r>
      <w:r w:rsidR="00EF7022">
        <w:t xml:space="preserve">Reasons for exploring the development of a global list include furthering the goals of the GHS to ensure that chemical users have “consistent and appropriate information” worldwide (see para. 1.1.1.3 of the GHS), aiding small and medium-sized chemical manufacturers and suppliers and countries without the resources to develop classifications (see para. 1.1.1.1 to 1.1.1.3 of the GHS), and improving chemical classification accuracy (ST/SG/AC.10/C.4/2017/4, paragraph 14).  Sub-Committee members have also expressed concern that developing a global list would require substantial resources, may unnecessarily duplicate work already done at the competent authority level, and could undermine the credibility of a competent authority’s binding list and create potential legal issues related to enforcement (ST/SG/AC.10/C.4/2017/4, paragraph 15).  </w:t>
      </w:r>
    </w:p>
    <w:p w14:paraId="66C41478" w14:textId="530C198E" w:rsidR="0097072E" w:rsidRDefault="00EF7022" w:rsidP="00877E3E">
      <w:pPr>
        <w:pStyle w:val="SingleTxtG"/>
        <w:tabs>
          <w:tab w:val="left" w:pos="1701"/>
        </w:tabs>
      </w:pPr>
      <w:r>
        <w:t>3.</w:t>
      </w:r>
      <w:r>
        <w:tab/>
      </w:r>
      <w:r w:rsidR="007C5371">
        <w:t xml:space="preserve">The global list </w:t>
      </w:r>
      <w:r w:rsidR="0097072E">
        <w:t xml:space="preserve">informal correspondence group (ICG)’s current program of work </w:t>
      </w:r>
      <w:r w:rsidR="00844ABB">
        <w:t>consists of three work streams</w:t>
      </w:r>
      <w:r w:rsidR="00506BAD">
        <w:t xml:space="preserve"> </w:t>
      </w:r>
      <w:r w:rsidR="00506BAD" w:rsidRPr="00570140">
        <w:t>(see ST/SG/AC.10/C.4/78 paragraph 44 a</w:t>
      </w:r>
      <w:r w:rsidR="00506BAD">
        <w:t>nd ST/SG/AC.10/C.4/2020/17)</w:t>
      </w:r>
      <w:r w:rsidR="002E7DD9">
        <w:t xml:space="preserve">. Items (a) and (b) of Work </w:t>
      </w:r>
      <w:r w:rsidR="009708A6">
        <w:t>s</w:t>
      </w:r>
      <w:r w:rsidR="002E7DD9">
        <w:t xml:space="preserve">tream A on the current program of work are to compile information on widely-used lists that follow the GHS and compare them to the guiding principles developed by the Sub-Committee </w:t>
      </w:r>
      <w:r w:rsidR="00DF2401">
        <w:t>(see ST/SG/AC.10/C.4</w:t>
      </w:r>
      <w:r w:rsidR="00834C62">
        <w:t>/</w:t>
      </w:r>
      <w:r w:rsidR="00DF2401">
        <w:t>48</w:t>
      </w:r>
      <w:r w:rsidR="00834C62">
        <w:t>,</w:t>
      </w:r>
      <w:r w:rsidR="00DF2401">
        <w:t xml:space="preserve"> Annex III).  </w:t>
      </w:r>
    </w:p>
    <w:p w14:paraId="395ECE18" w14:textId="123D4D82" w:rsidR="007C5371" w:rsidRDefault="00EF7022" w:rsidP="00877E3E">
      <w:pPr>
        <w:pStyle w:val="SingleTxtG"/>
        <w:tabs>
          <w:tab w:val="left" w:pos="1701"/>
        </w:tabs>
      </w:pPr>
      <w:r>
        <w:t>4</w:t>
      </w:r>
      <w:r w:rsidR="0097072E">
        <w:t xml:space="preserve">.  </w:t>
      </w:r>
      <w:r w:rsidR="00877E3E">
        <w:tab/>
      </w:r>
      <w:r w:rsidR="00A70320">
        <w:t xml:space="preserve">The </w:t>
      </w:r>
      <w:r w:rsidR="007C5371">
        <w:t xml:space="preserve">ICG has made considerable progress </w:t>
      </w:r>
      <w:r w:rsidR="002E7DD9">
        <w:t>related to Work stream A</w:t>
      </w:r>
      <w:r w:rsidR="007C5371">
        <w:t xml:space="preserve">.  </w:t>
      </w:r>
      <w:r w:rsidR="00DF2401">
        <w:t xml:space="preserve">In furtherance of Items (a) and (b) of Work </w:t>
      </w:r>
      <w:r w:rsidR="009708A6">
        <w:t>s</w:t>
      </w:r>
      <w:r w:rsidR="00DF2401">
        <w:t>tream A, t</w:t>
      </w:r>
      <w:r w:rsidR="007C5371">
        <w:t xml:space="preserve">he global list ICG conducted </w:t>
      </w:r>
      <w:r w:rsidR="007C5371" w:rsidRPr="005C0109">
        <w:t xml:space="preserve">the “United Nations GHS Global </w:t>
      </w:r>
      <w:r w:rsidR="007C5371" w:rsidRPr="00087207">
        <w:t xml:space="preserve">Classification List Survey”, administered by the Co-chairs </w:t>
      </w:r>
      <w:r w:rsidR="007C5C7B">
        <w:t>of the ICG</w:t>
      </w:r>
      <w:r w:rsidR="00272EBC">
        <w:t xml:space="preserve">, </w:t>
      </w:r>
      <w:r w:rsidR="000642A4">
        <w:t xml:space="preserve">the </w:t>
      </w:r>
      <w:r w:rsidR="00272EBC">
        <w:t>United States of America and Canada,</w:t>
      </w:r>
      <w:r w:rsidR="007C5C7B">
        <w:t xml:space="preserve"> </w:t>
      </w:r>
      <w:r w:rsidR="007C5371" w:rsidRPr="00087207">
        <w:t>with the assistance of the U.S.’s consultant</w:t>
      </w:r>
      <w:r w:rsidR="007C5371">
        <w:t xml:space="preserve">. </w:t>
      </w:r>
      <w:r w:rsidR="00E9417F">
        <w:t xml:space="preserve"> </w:t>
      </w:r>
      <w:r w:rsidR="007C5371">
        <w:t>The purpose of the survey was</w:t>
      </w:r>
      <w:r w:rsidR="007C5371" w:rsidRPr="008B1E3B">
        <w:t xml:space="preserve"> to identify existing classification lists that follow the GHS and </w:t>
      </w:r>
      <w:r w:rsidR="00272EBC">
        <w:t xml:space="preserve">enable the </w:t>
      </w:r>
      <w:r w:rsidR="007C5371" w:rsidRPr="008B1E3B">
        <w:t>compar</w:t>
      </w:r>
      <w:r w:rsidR="00272EBC">
        <w:t>ison</w:t>
      </w:r>
      <w:r w:rsidR="007C5371" w:rsidRPr="008B1E3B">
        <w:t xml:space="preserve"> </w:t>
      </w:r>
      <w:r w:rsidR="00272EBC">
        <w:t xml:space="preserve">of </w:t>
      </w:r>
      <w:r w:rsidR="007C5371" w:rsidRPr="008B1E3B">
        <w:t>these lists with the guiding principles (see ST/SG/AC.10/C.4</w:t>
      </w:r>
      <w:r w:rsidR="00834C62">
        <w:t>/</w:t>
      </w:r>
      <w:r w:rsidR="007C5371" w:rsidRPr="008B1E3B">
        <w:t>48</w:t>
      </w:r>
      <w:r w:rsidR="00834C62">
        <w:t>,</w:t>
      </w:r>
      <w:r w:rsidR="007C5371">
        <w:t xml:space="preserve"> Annex III</w:t>
      </w:r>
      <w:r w:rsidR="007C5371" w:rsidRPr="008B1E3B">
        <w:t>).</w:t>
      </w:r>
      <w:r w:rsidR="007C5371">
        <w:t xml:space="preserve">  </w:t>
      </w:r>
    </w:p>
    <w:p w14:paraId="5713D2AD" w14:textId="5985D067" w:rsidR="007A1106" w:rsidRDefault="00281120" w:rsidP="00877E3E">
      <w:pPr>
        <w:pStyle w:val="SingleTxtG"/>
        <w:tabs>
          <w:tab w:val="left" w:pos="1701"/>
        </w:tabs>
      </w:pPr>
      <w:r>
        <w:t>5</w:t>
      </w:r>
      <w:r w:rsidR="007C5371">
        <w:t>.</w:t>
      </w:r>
      <w:r w:rsidR="007C5C7B">
        <w:tab/>
      </w:r>
      <w:r w:rsidR="007A1106">
        <w:t xml:space="preserve">The </w:t>
      </w:r>
      <w:r w:rsidR="00A70320">
        <w:t>ICG received sixteen responses to the survey, ten of which were from competent authorities, three of which were from UN</w:t>
      </w:r>
      <w:r w:rsidR="005772F2">
        <w:t xml:space="preserve"> </w:t>
      </w:r>
      <w:r w:rsidR="00B101DE">
        <w:t>b</w:t>
      </w:r>
      <w:r w:rsidR="005772F2">
        <w:t>odies</w:t>
      </w:r>
      <w:r w:rsidR="00A70320">
        <w:t xml:space="preserve">/UN </w:t>
      </w:r>
      <w:r w:rsidR="00B101DE">
        <w:t>s</w:t>
      </w:r>
      <w:r w:rsidR="00A70320">
        <w:t xml:space="preserve">pecialized </w:t>
      </w:r>
      <w:r w:rsidR="00B101DE">
        <w:t>a</w:t>
      </w:r>
      <w:r w:rsidR="00A70320">
        <w:t xml:space="preserve">gencies, and three of which were from </w:t>
      </w:r>
      <w:r w:rsidR="00B101DE">
        <w:t>n</w:t>
      </w:r>
      <w:r w:rsidR="00A70320">
        <w:t>on-</w:t>
      </w:r>
      <w:r w:rsidR="00B101DE">
        <w:t>g</w:t>
      </w:r>
      <w:r w:rsidR="00A70320">
        <w:t xml:space="preserve">overnmental </w:t>
      </w:r>
      <w:r w:rsidR="00B101DE">
        <w:t>o</w:t>
      </w:r>
      <w:r w:rsidR="00A70320">
        <w:t>rganizations (NGOs).</w:t>
      </w:r>
      <w:r w:rsidR="007A1106">
        <w:t xml:space="preserve"> </w:t>
      </w:r>
    </w:p>
    <w:p w14:paraId="68E64564" w14:textId="4ECAAB72" w:rsidR="00A70320" w:rsidRDefault="00A70320" w:rsidP="00A70320">
      <w:pPr>
        <w:pStyle w:val="SingleTxtG"/>
        <w:tabs>
          <w:tab w:val="left" w:pos="1985"/>
        </w:tabs>
        <w:ind w:left="1985" w:hanging="567"/>
        <w:rPr>
          <w:rFonts w:asciiTheme="majorBidi" w:hAnsiTheme="majorBidi" w:cstheme="majorBidi"/>
        </w:rPr>
      </w:pPr>
      <w:r>
        <w:rPr>
          <w:rFonts w:asciiTheme="majorBidi" w:hAnsiTheme="majorBidi" w:cstheme="majorBidi"/>
        </w:rPr>
        <w:lastRenderedPageBreak/>
        <w:t>(a)</w:t>
      </w:r>
      <w:r>
        <w:rPr>
          <w:rFonts w:asciiTheme="majorBidi" w:hAnsiTheme="majorBidi" w:cstheme="majorBidi"/>
        </w:rPr>
        <w:tab/>
        <w:t xml:space="preserve">The competent authorities that responded are: Australia (Hazardous Chemical Information System); Canada (Hazardous Products Regulations Classifications); China (Catalogue of Hazardous Chemicals); European Union (EU Harmonized C&amp;L (Annex VI to Classification, Labelling and Packaging Regulation and opinions of the Committee for Risk Assessment)); Japan (GHS Classification Results by the Japanese Government); Malaysia (Industry Code of Practice Part I List of Classified Chemicals); New Zealand (Hazardous Substances and New Organisms Chemical Classification Information Database); Republic of Korea (National Chemicals Information System), </w:t>
      </w:r>
      <w:bookmarkStart w:id="1" w:name="_Hlk107237319"/>
      <w:r>
        <w:rPr>
          <w:rFonts w:asciiTheme="majorBidi" w:hAnsiTheme="majorBidi" w:cstheme="majorBidi"/>
        </w:rPr>
        <w:t xml:space="preserve">United Kingdom of Great Britain and Northern Ireland (Great Britain mandatory classification and labelling list (GB MCL List)); </w:t>
      </w:r>
      <w:bookmarkEnd w:id="1"/>
      <w:r>
        <w:rPr>
          <w:rFonts w:asciiTheme="majorBidi" w:hAnsiTheme="majorBidi" w:cstheme="majorBidi"/>
        </w:rPr>
        <w:t xml:space="preserve">and Vietnam (National Chemical Inventory).  </w:t>
      </w:r>
    </w:p>
    <w:p w14:paraId="65010BE1" w14:textId="4BDA789F" w:rsidR="00A70320" w:rsidRDefault="00A70320" w:rsidP="00A70320">
      <w:pPr>
        <w:pStyle w:val="SingleTxtG"/>
        <w:ind w:left="1985" w:hanging="545"/>
        <w:rPr>
          <w:rFonts w:asciiTheme="majorBidi" w:hAnsiTheme="majorBidi" w:cstheme="majorBidi"/>
        </w:rPr>
      </w:pPr>
      <w:r>
        <w:rPr>
          <w:rFonts w:asciiTheme="majorBidi" w:hAnsiTheme="majorBidi" w:cstheme="majorBidi"/>
        </w:rPr>
        <w:t xml:space="preserve">(b) </w:t>
      </w:r>
      <w:r>
        <w:rPr>
          <w:rFonts w:asciiTheme="majorBidi" w:hAnsiTheme="majorBidi" w:cstheme="majorBidi"/>
        </w:rPr>
        <w:tab/>
        <w:t>The UN</w:t>
      </w:r>
      <w:r w:rsidR="005772F2">
        <w:rPr>
          <w:rFonts w:asciiTheme="majorBidi" w:hAnsiTheme="majorBidi" w:cstheme="majorBidi"/>
        </w:rPr>
        <w:t xml:space="preserve"> </w:t>
      </w:r>
      <w:r w:rsidR="00D90D82">
        <w:rPr>
          <w:rFonts w:asciiTheme="majorBidi" w:hAnsiTheme="majorBidi" w:cstheme="majorBidi"/>
        </w:rPr>
        <w:t>b</w:t>
      </w:r>
      <w:r w:rsidR="005772F2">
        <w:rPr>
          <w:rFonts w:asciiTheme="majorBidi" w:hAnsiTheme="majorBidi" w:cstheme="majorBidi"/>
        </w:rPr>
        <w:t>odies</w:t>
      </w:r>
      <w:r>
        <w:rPr>
          <w:rFonts w:asciiTheme="majorBidi" w:hAnsiTheme="majorBidi" w:cstheme="majorBidi"/>
        </w:rPr>
        <w:t xml:space="preserve">/UN </w:t>
      </w:r>
      <w:r w:rsidR="00D90D82">
        <w:rPr>
          <w:rFonts w:asciiTheme="majorBidi" w:hAnsiTheme="majorBidi" w:cstheme="majorBidi"/>
        </w:rPr>
        <w:t>s</w:t>
      </w:r>
      <w:r>
        <w:rPr>
          <w:rFonts w:asciiTheme="majorBidi" w:hAnsiTheme="majorBidi" w:cstheme="majorBidi"/>
        </w:rPr>
        <w:t xml:space="preserve">pecialized </w:t>
      </w:r>
      <w:r w:rsidR="00D90D82">
        <w:rPr>
          <w:rFonts w:asciiTheme="majorBidi" w:hAnsiTheme="majorBidi" w:cstheme="majorBidi"/>
        </w:rPr>
        <w:t>a</w:t>
      </w:r>
      <w:r>
        <w:rPr>
          <w:rFonts w:asciiTheme="majorBidi" w:hAnsiTheme="majorBidi" w:cstheme="majorBidi"/>
        </w:rPr>
        <w:t>gencies that responded are: International Labour Organization (ILO)/World Health Organization (WHO) (International Chemical Safety Cards); Sub-Committee of Experts on the Transport of Dangerous Goods, maintained by the UN Secretariat (Dangerous goods list); and WHO (The WHO Recommended Classification of Pesticides by Hazard and guidelines to classification).</w:t>
      </w:r>
    </w:p>
    <w:p w14:paraId="7431AEEC" w14:textId="77777777" w:rsidR="00A70320" w:rsidRDefault="00A70320" w:rsidP="00A70320">
      <w:pPr>
        <w:pStyle w:val="SingleTxtG"/>
        <w:ind w:left="1985" w:hanging="545"/>
        <w:rPr>
          <w:rFonts w:asciiTheme="majorBidi" w:hAnsiTheme="majorBidi" w:cstheme="majorBidi"/>
        </w:rPr>
      </w:pPr>
      <w:r>
        <w:rPr>
          <w:rFonts w:asciiTheme="majorBidi" w:hAnsiTheme="majorBidi" w:cstheme="majorBidi"/>
        </w:rPr>
        <w:t xml:space="preserve">(c) </w:t>
      </w:r>
      <w:r>
        <w:rPr>
          <w:rFonts w:asciiTheme="majorBidi" w:hAnsiTheme="majorBidi" w:cstheme="majorBidi"/>
        </w:rPr>
        <w:tab/>
        <w:t xml:space="preserve">The NGOs that responded are: </w:t>
      </w:r>
      <w:proofErr w:type="spellStart"/>
      <w:r>
        <w:rPr>
          <w:rFonts w:asciiTheme="majorBidi" w:hAnsiTheme="majorBidi" w:cstheme="majorBidi"/>
        </w:rPr>
        <w:t>Concawe</w:t>
      </w:r>
      <w:proofErr w:type="spellEnd"/>
      <w:r>
        <w:rPr>
          <w:rFonts w:asciiTheme="majorBidi" w:hAnsiTheme="majorBidi" w:cstheme="majorBidi"/>
        </w:rPr>
        <w:t xml:space="preserve"> (</w:t>
      </w:r>
      <w:proofErr w:type="spellStart"/>
      <w:r>
        <w:rPr>
          <w:rFonts w:asciiTheme="majorBidi" w:hAnsiTheme="majorBidi" w:cstheme="majorBidi"/>
        </w:rPr>
        <w:t>Concawe</w:t>
      </w:r>
      <w:proofErr w:type="spellEnd"/>
      <w:r>
        <w:rPr>
          <w:rFonts w:asciiTheme="majorBidi" w:hAnsiTheme="majorBidi" w:cstheme="majorBidi"/>
        </w:rPr>
        <w:t xml:space="preserve"> Report – Hazard Classification and Labelling of Petroleum Substances in the European Economic Area); European Committee of Organic Surfactants and their Intermediates (CESIO) (CESIO recommendations for the harmonized classification and labelling of surfactants); and International Fragrance Association (IFRA) (IFRA-International Organization of the </w:t>
      </w:r>
      <w:proofErr w:type="spellStart"/>
      <w:r>
        <w:rPr>
          <w:rFonts w:asciiTheme="majorBidi" w:hAnsiTheme="majorBidi" w:cstheme="majorBidi"/>
        </w:rPr>
        <w:t>Flavor</w:t>
      </w:r>
      <w:proofErr w:type="spellEnd"/>
      <w:r>
        <w:rPr>
          <w:rFonts w:asciiTheme="majorBidi" w:hAnsiTheme="majorBidi" w:cstheme="majorBidi"/>
        </w:rPr>
        <w:t xml:space="preserve"> Industry Labelling Manual).</w:t>
      </w:r>
    </w:p>
    <w:p w14:paraId="30DF96D3" w14:textId="7F8D553F" w:rsidR="00681DB0" w:rsidRDefault="00281120" w:rsidP="00C60C79">
      <w:pPr>
        <w:pStyle w:val="SingleTxtG"/>
        <w:tabs>
          <w:tab w:val="left" w:pos="1701"/>
        </w:tabs>
        <w:rPr>
          <w:rFonts w:asciiTheme="majorBidi" w:hAnsiTheme="majorBidi" w:cstheme="majorBidi"/>
        </w:rPr>
      </w:pPr>
      <w:r>
        <w:t>6</w:t>
      </w:r>
      <w:r w:rsidR="007C5C7B">
        <w:t xml:space="preserve">. </w:t>
      </w:r>
      <w:r w:rsidR="00681DB0">
        <w:t>At</w:t>
      </w:r>
      <w:r w:rsidR="00681DB0">
        <w:rPr>
          <w:rFonts w:asciiTheme="majorBidi" w:hAnsiTheme="majorBidi" w:cstheme="majorBidi"/>
        </w:rPr>
        <w:t xml:space="preserve"> the 41</w:t>
      </w:r>
      <w:r w:rsidR="00681DB0">
        <w:rPr>
          <w:rFonts w:asciiTheme="majorBidi" w:hAnsiTheme="majorBidi" w:cstheme="majorBidi"/>
          <w:vertAlign w:val="superscript"/>
        </w:rPr>
        <w:t>st</w:t>
      </w:r>
      <w:r w:rsidR="00681DB0">
        <w:rPr>
          <w:rFonts w:asciiTheme="majorBidi" w:hAnsiTheme="majorBidi" w:cstheme="majorBidi"/>
        </w:rPr>
        <w:t xml:space="preserve"> session in December 2021, the co-chairs of the ICG presented the preliminary results from the </w:t>
      </w:r>
      <w:r w:rsidR="00AF02D0">
        <w:rPr>
          <w:rFonts w:asciiTheme="majorBidi" w:hAnsiTheme="majorBidi" w:cstheme="majorBidi"/>
        </w:rPr>
        <w:t>survey</w:t>
      </w:r>
      <w:r w:rsidR="00681DB0">
        <w:rPr>
          <w:rFonts w:asciiTheme="majorBidi" w:hAnsiTheme="majorBidi" w:cstheme="majorBidi"/>
        </w:rPr>
        <w:t xml:space="preserve"> and invited feedback from the Sub-Committee on how the ICG should evaluate and present the survey results (see ST/SG/AC.10/C.4</w:t>
      </w:r>
      <w:r w:rsidR="00C60C79">
        <w:rPr>
          <w:rFonts w:asciiTheme="majorBidi" w:hAnsiTheme="majorBidi" w:cstheme="majorBidi"/>
        </w:rPr>
        <w:t>/</w:t>
      </w:r>
      <w:r w:rsidR="00681DB0">
        <w:rPr>
          <w:rFonts w:asciiTheme="majorBidi" w:hAnsiTheme="majorBidi" w:cstheme="majorBidi"/>
        </w:rPr>
        <w:t xml:space="preserve">82, paragraphs 33 and 34). </w:t>
      </w:r>
      <w:r w:rsidR="00F333A7">
        <w:rPr>
          <w:rFonts w:asciiTheme="majorBidi" w:hAnsiTheme="majorBidi" w:cstheme="majorBidi"/>
        </w:rPr>
        <w:t xml:space="preserve"> </w:t>
      </w:r>
      <w:r w:rsidR="00681DB0">
        <w:rPr>
          <w:rFonts w:asciiTheme="majorBidi" w:hAnsiTheme="majorBidi" w:cstheme="majorBidi"/>
        </w:rPr>
        <w:t>It was agreed that the survey results would be presented in three separate spreadsheets: the first comparing competent authority lists; the second comparing UN</w:t>
      </w:r>
      <w:r w:rsidR="00BB4C3A">
        <w:rPr>
          <w:rFonts w:asciiTheme="majorBidi" w:hAnsiTheme="majorBidi" w:cstheme="majorBidi"/>
        </w:rPr>
        <w:t xml:space="preserve"> </w:t>
      </w:r>
      <w:r w:rsidR="00D90D82">
        <w:rPr>
          <w:rFonts w:asciiTheme="majorBidi" w:hAnsiTheme="majorBidi" w:cstheme="majorBidi"/>
        </w:rPr>
        <w:t>b</w:t>
      </w:r>
      <w:r w:rsidR="00BB4C3A">
        <w:rPr>
          <w:rFonts w:asciiTheme="majorBidi" w:hAnsiTheme="majorBidi" w:cstheme="majorBidi"/>
        </w:rPr>
        <w:t>odies</w:t>
      </w:r>
      <w:r w:rsidR="00681DB0">
        <w:rPr>
          <w:rFonts w:asciiTheme="majorBidi" w:hAnsiTheme="majorBidi" w:cstheme="majorBidi"/>
        </w:rPr>
        <w:t xml:space="preserve">/UN </w:t>
      </w:r>
      <w:r w:rsidR="00D90D82">
        <w:rPr>
          <w:rFonts w:asciiTheme="majorBidi" w:hAnsiTheme="majorBidi" w:cstheme="majorBidi"/>
        </w:rPr>
        <w:t>s</w:t>
      </w:r>
      <w:r w:rsidR="00681DB0">
        <w:rPr>
          <w:rFonts w:asciiTheme="majorBidi" w:hAnsiTheme="majorBidi" w:cstheme="majorBidi"/>
        </w:rPr>
        <w:t xml:space="preserve">pecialized </w:t>
      </w:r>
      <w:r w:rsidR="00D90D82">
        <w:rPr>
          <w:rFonts w:asciiTheme="majorBidi" w:hAnsiTheme="majorBidi" w:cstheme="majorBidi"/>
        </w:rPr>
        <w:t>a</w:t>
      </w:r>
      <w:r w:rsidR="00681DB0">
        <w:rPr>
          <w:rFonts w:asciiTheme="majorBidi" w:hAnsiTheme="majorBidi" w:cstheme="majorBidi"/>
        </w:rPr>
        <w:t>gencies lists; and the third comparing NGO lists.</w:t>
      </w:r>
    </w:p>
    <w:p w14:paraId="48A1A131" w14:textId="6C0C5635" w:rsidR="00772834" w:rsidRPr="0082608D" w:rsidRDefault="00281120" w:rsidP="00C60C79">
      <w:pPr>
        <w:pStyle w:val="SingleTxtG"/>
        <w:tabs>
          <w:tab w:val="left" w:pos="1701"/>
        </w:tabs>
        <w:rPr>
          <w:rFonts w:asciiTheme="majorBidi" w:hAnsiTheme="majorBidi" w:cstheme="majorBidi"/>
        </w:rPr>
      </w:pPr>
      <w:r>
        <w:rPr>
          <w:rFonts w:asciiTheme="majorBidi" w:hAnsiTheme="majorBidi" w:cstheme="majorBidi"/>
        </w:rPr>
        <w:t>7</w:t>
      </w:r>
      <w:r w:rsidR="00681DB0">
        <w:rPr>
          <w:rFonts w:asciiTheme="majorBidi" w:hAnsiTheme="majorBidi" w:cstheme="majorBidi"/>
        </w:rPr>
        <w:t xml:space="preserve">. </w:t>
      </w:r>
      <w:r w:rsidR="00C60C79">
        <w:rPr>
          <w:rFonts w:asciiTheme="majorBidi" w:hAnsiTheme="majorBidi" w:cstheme="majorBidi"/>
        </w:rPr>
        <w:tab/>
      </w:r>
      <w:r w:rsidR="009B172F">
        <w:rPr>
          <w:rFonts w:asciiTheme="majorBidi" w:hAnsiTheme="majorBidi" w:cstheme="majorBidi"/>
        </w:rPr>
        <w:t>Following</w:t>
      </w:r>
      <w:r w:rsidR="00681DB0">
        <w:rPr>
          <w:rFonts w:asciiTheme="majorBidi" w:hAnsiTheme="majorBidi" w:cstheme="majorBidi"/>
        </w:rPr>
        <w:t xml:space="preserve"> the 41</w:t>
      </w:r>
      <w:r w:rsidR="00681DB0">
        <w:rPr>
          <w:rFonts w:asciiTheme="majorBidi" w:hAnsiTheme="majorBidi" w:cstheme="majorBidi"/>
          <w:vertAlign w:val="superscript"/>
        </w:rPr>
        <w:t>st</w:t>
      </w:r>
      <w:r w:rsidR="00681DB0">
        <w:rPr>
          <w:rFonts w:asciiTheme="majorBidi" w:hAnsiTheme="majorBidi" w:cstheme="majorBidi"/>
        </w:rPr>
        <w:t xml:space="preserve"> session, the co-chairs developed the three spreadsheets</w:t>
      </w:r>
      <w:r w:rsidR="00BB4C3A">
        <w:rPr>
          <w:rFonts w:asciiTheme="majorBidi" w:hAnsiTheme="majorBidi" w:cstheme="majorBidi"/>
        </w:rPr>
        <w:t xml:space="preserve"> (INF.20/Add.1, INF.20/Add.2, INF</w:t>
      </w:r>
      <w:r w:rsidR="00834C62">
        <w:rPr>
          <w:rFonts w:asciiTheme="majorBidi" w:hAnsiTheme="majorBidi" w:cstheme="majorBidi"/>
        </w:rPr>
        <w:t>.</w:t>
      </w:r>
      <w:r w:rsidR="00BB4C3A">
        <w:rPr>
          <w:rFonts w:asciiTheme="majorBidi" w:hAnsiTheme="majorBidi" w:cstheme="majorBidi"/>
        </w:rPr>
        <w:t>20/Add.3, 42</w:t>
      </w:r>
      <w:r w:rsidR="00BB4C3A" w:rsidRPr="00612269">
        <w:rPr>
          <w:rFonts w:asciiTheme="majorBidi" w:hAnsiTheme="majorBidi" w:cstheme="majorBidi"/>
          <w:vertAlign w:val="superscript"/>
        </w:rPr>
        <w:t>nd</w:t>
      </w:r>
      <w:r w:rsidR="00BB4C3A">
        <w:rPr>
          <w:rFonts w:asciiTheme="majorBidi" w:hAnsiTheme="majorBidi" w:cstheme="majorBidi"/>
        </w:rPr>
        <w:t xml:space="preserve"> session) </w:t>
      </w:r>
      <w:r w:rsidR="00456756">
        <w:rPr>
          <w:rFonts w:asciiTheme="majorBidi" w:hAnsiTheme="majorBidi" w:cstheme="majorBidi"/>
        </w:rPr>
        <w:t xml:space="preserve">and </w:t>
      </w:r>
      <w:r w:rsidR="00EE3266">
        <w:rPr>
          <w:rFonts w:asciiTheme="majorBidi" w:hAnsiTheme="majorBidi" w:cstheme="majorBidi"/>
        </w:rPr>
        <w:t>at the 42</w:t>
      </w:r>
      <w:r w:rsidR="00EE3266" w:rsidRPr="00EE3266">
        <w:rPr>
          <w:rFonts w:asciiTheme="majorBidi" w:hAnsiTheme="majorBidi" w:cstheme="majorBidi"/>
          <w:vertAlign w:val="superscript"/>
        </w:rPr>
        <w:t>nd</w:t>
      </w:r>
      <w:r w:rsidR="00EE3266">
        <w:rPr>
          <w:rFonts w:asciiTheme="majorBidi" w:hAnsiTheme="majorBidi" w:cstheme="majorBidi"/>
        </w:rPr>
        <w:t xml:space="preserve"> session in July 2022, pr</w:t>
      </w:r>
      <w:r w:rsidR="00A5534E">
        <w:rPr>
          <w:rFonts w:asciiTheme="majorBidi" w:hAnsiTheme="majorBidi" w:cstheme="majorBidi"/>
        </w:rPr>
        <w:t>esented a preliminary analysis of the</w:t>
      </w:r>
      <w:r w:rsidR="009B172F">
        <w:rPr>
          <w:rFonts w:asciiTheme="majorBidi" w:hAnsiTheme="majorBidi" w:cstheme="majorBidi"/>
        </w:rPr>
        <w:t xml:space="preserve"> competent authority response</w:t>
      </w:r>
      <w:r w:rsidR="00EE3266">
        <w:rPr>
          <w:rFonts w:asciiTheme="majorBidi" w:hAnsiTheme="majorBidi" w:cstheme="majorBidi"/>
        </w:rPr>
        <w:t>s</w:t>
      </w:r>
      <w:r w:rsidR="00BB4C3A">
        <w:rPr>
          <w:rFonts w:asciiTheme="majorBidi" w:hAnsiTheme="majorBidi" w:cstheme="majorBidi"/>
        </w:rPr>
        <w:t xml:space="preserve"> (INF.20, 42</w:t>
      </w:r>
      <w:r w:rsidR="00BB4C3A" w:rsidRPr="00612269">
        <w:rPr>
          <w:rFonts w:asciiTheme="majorBidi" w:hAnsiTheme="majorBidi" w:cstheme="majorBidi"/>
          <w:vertAlign w:val="superscript"/>
        </w:rPr>
        <w:t>nd</w:t>
      </w:r>
      <w:r w:rsidR="00BB4C3A">
        <w:rPr>
          <w:rFonts w:asciiTheme="majorBidi" w:hAnsiTheme="majorBidi" w:cstheme="majorBidi"/>
        </w:rPr>
        <w:t xml:space="preserve"> session)</w:t>
      </w:r>
      <w:r w:rsidR="009B172F">
        <w:rPr>
          <w:rFonts w:asciiTheme="majorBidi" w:hAnsiTheme="majorBidi" w:cstheme="majorBidi"/>
        </w:rPr>
        <w:t xml:space="preserve">.  </w:t>
      </w:r>
      <w:r w:rsidR="00F43711">
        <w:rPr>
          <w:rFonts w:asciiTheme="majorBidi" w:hAnsiTheme="majorBidi" w:cstheme="majorBidi"/>
        </w:rPr>
        <w:t>At the 42</w:t>
      </w:r>
      <w:r w:rsidR="00F43711" w:rsidRPr="00F43711">
        <w:rPr>
          <w:rFonts w:asciiTheme="majorBidi" w:hAnsiTheme="majorBidi" w:cstheme="majorBidi"/>
          <w:vertAlign w:val="superscript"/>
        </w:rPr>
        <w:t>nd</w:t>
      </w:r>
      <w:r w:rsidR="00F43711">
        <w:rPr>
          <w:rFonts w:asciiTheme="majorBidi" w:hAnsiTheme="majorBidi" w:cstheme="majorBidi"/>
        </w:rPr>
        <w:t xml:space="preserve"> session, the Sub-Committee recommended that </w:t>
      </w:r>
      <w:r w:rsidR="0082608D">
        <w:rPr>
          <w:rFonts w:asciiTheme="majorBidi" w:hAnsiTheme="majorBidi" w:cstheme="majorBidi"/>
        </w:rPr>
        <w:t xml:space="preserve">the ICG provide similar analysis </w:t>
      </w:r>
      <w:r w:rsidR="00772834" w:rsidRPr="009C6400">
        <w:t xml:space="preserve">of the responses received from United Nations </w:t>
      </w:r>
      <w:r w:rsidR="00D90D82">
        <w:t>b</w:t>
      </w:r>
      <w:r w:rsidR="00BB4C3A" w:rsidRPr="009C6400">
        <w:t>odies</w:t>
      </w:r>
      <w:r w:rsidR="00772834" w:rsidRPr="009C6400">
        <w:t>/</w:t>
      </w:r>
      <w:r w:rsidR="00D90D82">
        <w:t>s</w:t>
      </w:r>
      <w:r w:rsidR="00772834" w:rsidRPr="009C6400">
        <w:t xml:space="preserve">pecialized </w:t>
      </w:r>
      <w:r w:rsidR="00D90D82">
        <w:t>a</w:t>
      </w:r>
      <w:r w:rsidR="00772834" w:rsidRPr="009C6400">
        <w:t xml:space="preserve">gencies and </w:t>
      </w:r>
      <w:r w:rsidR="0082608D">
        <w:t>NGOs at the 43</w:t>
      </w:r>
      <w:r w:rsidR="0082608D" w:rsidRPr="0082608D">
        <w:rPr>
          <w:vertAlign w:val="superscript"/>
        </w:rPr>
        <w:t>rd</w:t>
      </w:r>
      <w:r w:rsidR="0082608D">
        <w:t xml:space="preserve"> session</w:t>
      </w:r>
      <w:r w:rsidR="007C43A3">
        <w:t xml:space="preserve"> (</w:t>
      </w:r>
      <w:r w:rsidR="00BD170F">
        <w:t>ST/SG/AC.10</w:t>
      </w:r>
      <w:r w:rsidR="00A91F34">
        <w:t>/C.4/</w:t>
      </w:r>
      <w:r w:rsidR="00CE14DC">
        <w:t>84</w:t>
      </w:r>
      <w:r w:rsidR="00A91F34">
        <w:t xml:space="preserve">, paragraphs </w:t>
      </w:r>
      <w:r w:rsidR="002D79E6">
        <w:t>48 and 49</w:t>
      </w:r>
      <w:r w:rsidR="002C60C1">
        <w:t>)</w:t>
      </w:r>
      <w:r w:rsidR="00772834" w:rsidRPr="009C6400">
        <w:t xml:space="preserve">. </w:t>
      </w:r>
    </w:p>
    <w:p w14:paraId="7BB1B96D" w14:textId="101FF3B3" w:rsidR="00772834" w:rsidRDefault="00281120" w:rsidP="00C60C79">
      <w:pPr>
        <w:pStyle w:val="SingleTxtG"/>
        <w:tabs>
          <w:tab w:val="left" w:pos="1701"/>
        </w:tabs>
      </w:pPr>
      <w:r>
        <w:t>8</w:t>
      </w:r>
      <w:r w:rsidR="00772834" w:rsidRPr="009C6400">
        <w:t>.</w:t>
      </w:r>
      <w:r w:rsidR="00772834" w:rsidRPr="009C6400">
        <w:tab/>
        <w:t>There was also general agreement that the survey results should be made widely and publicly accessible</w:t>
      </w:r>
      <w:r w:rsidR="00A86769">
        <w:t>, such as through a journal article</w:t>
      </w:r>
      <w:r w:rsidR="0037283D">
        <w:t xml:space="preserve"> and/or the GHS implementation webpage</w:t>
      </w:r>
      <w:r w:rsidR="00772834" w:rsidRPr="009C6400">
        <w:t xml:space="preserve">. </w:t>
      </w:r>
      <w:r w:rsidR="007C43A3">
        <w:t xml:space="preserve"> </w:t>
      </w:r>
      <w:r w:rsidR="00772834" w:rsidRPr="009C6400">
        <w:t>The representative of UNITAR indicated that one of the most frequently asked questions during capacity building events is the availability of GHS classification lists and data and volunteered to contribute to spreading this information</w:t>
      </w:r>
      <w:r w:rsidR="007C43A3">
        <w:t xml:space="preserve"> (</w:t>
      </w:r>
      <w:r w:rsidR="00EE3266">
        <w:t>ST/SG/AC.10/C.4/</w:t>
      </w:r>
      <w:r w:rsidR="00CE14DC">
        <w:t>84</w:t>
      </w:r>
      <w:r w:rsidR="00EE3266">
        <w:t>,</w:t>
      </w:r>
      <w:r w:rsidR="00A86769">
        <w:t xml:space="preserve"> paragraph</w:t>
      </w:r>
      <w:r w:rsidR="0037283D">
        <w:t>s</w:t>
      </w:r>
      <w:r w:rsidR="00A86769">
        <w:t xml:space="preserve"> 50</w:t>
      </w:r>
      <w:r w:rsidR="0037283D">
        <w:t xml:space="preserve"> and 51</w:t>
      </w:r>
      <w:r w:rsidR="007C43A3">
        <w:t>)</w:t>
      </w:r>
      <w:r w:rsidR="00772834" w:rsidRPr="009C6400">
        <w:t xml:space="preserve">. </w:t>
      </w:r>
    </w:p>
    <w:p w14:paraId="18F1D343" w14:textId="20C90197" w:rsidR="00F813F0" w:rsidRPr="009C6400" w:rsidRDefault="00281120" w:rsidP="00C60C79">
      <w:pPr>
        <w:pStyle w:val="SingleTxtG"/>
        <w:tabs>
          <w:tab w:val="left" w:pos="1701"/>
        </w:tabs>
      </w:pPr>
      <w:r>
        <w:t>9</w:t>
      </w:r>
      <w:r w:rsidR="00F813F0">
        <w:t xml:space="preserve">. </w:t>
      </w:r>
      <w:r w:rsidR="00392953">
        <w:tab/>
      </w:r>
      <w:r w:rsidR="00F813F0">
        <w:t>Since the 42</w:t>
      </w:r>
      <w:r w:rsidR="00F813F0" w:rsidRPr="00612269">
        <w:rPr>
          <w:vertAlign w:val="superscript"/>
        </w:rPr>
        <w:t>nd</w:t>
      </w:r>
      <w:r w:rsidR="00F813F0">
        <w:t xml:space="preserve"> session, the three spreadsheets with the raw survey </w:t>
      </w:r>
      <w:r w:rsidR="00CE14DC">
        <w:t>results</w:t>
      </w:r>
      <w:r w:rsidR="00F813F0">
        <w:t xml:space="preserve"> and the preliminary analysis of the competent authority responses have been made available</w:t>
      </w:r>
      <w:r w:rsidR="00CE14DC">
        <w:t>, by the secretariat,</w:t>
      </w:r>
      <w:r w:rsidR="00F813F0">
        <w:t xml:space="preserve"> on the Chemical’s assessment webpage under the GHS implementation and guidance section </w:t>
      </w:r>
      <w:r w:rsidR="00CE14DC">
        <w:t>of the UNECE website</w:t>
      </w:r>
      <w:r w:rsidR="00F813F0">
        <w:t>.</w:t>
      </w:r>
      <w:r w:rsidR="001C1E98">
        <w:t xml:space="preserve"> Additionally, corrections have been identified for the competent authorities’ results</w:t>
      </w:r>
      <w:r w:rsidR="00F73DD8">
        <w:t xml:space="preserve"> and t</w:t>
      </w:r>
      <w:r w:rsidR="001C1E98">
        <w:t xml:space="preserve">he preliminary analysis of the competent authority responses and corresponding </w:t>
      </w:r>
      <w:r w:rsidR="00F165AE">
        <w:t xml:space="preserve">results </w:t>
      </w:r>
      <w:r w:rsidR="00CE14DC">
        <w:t>spreadsheet</w:t>
      </w:r>
      <w:r w:rsidR="001C1E98">
        <w:t xml:space="preserve"> have been updated (INF.</w:t>
      </w:r>
      <w:r w:rsidR="00B70663">
        <w:t xml:space="preserve">27 </w:t>
      </w:r>
      <w:r w:rsidR="001C1E98">
        <w:t>and INF.</w:t>
      </w:r>
      <w:r w:rsidR="00B70663">
        <w:t>27</w:t>
      </w:r>
      <w:r w:rsidR="001C1E98">
        <w:t>/Add.1, 43</w:t>
      </w:r>
      <w:r w:rsidR="001C1E98" w:rsidRPr="00612269">
        <w:rPr>
          <w:vertAlign w:val="superscript"/>
        </w:rPr>
        <w:t>rd</w:t>
      </w:r>
      <w:r w:rsidR="001C1E98">
        <w:t xml:space="preserve"> session). </w:t>
      </w:r>
      <w:r w:rsidR="00250B9A" w:rsidRPr="00E17422">
        <w:t xml:space="preserve">Furthermore, the NGOs’ results spreadsheet has been updated to reflect a correction that was identified, a clarification that was provided and additional information that </w:t>
      </w:r>
      <w:r w:rsidR="00250B9A" w:rsidRPr="00E17422">
        <w:lastRenderedPageBreak/>
        <w:t>was received</w:t>
      </w:r>
      <w:r w:rsidR="00250B9A" w:rsidRPr="00250B9A">
        <w:t xml:space="preserve"> (INF.</w:t>
      </w:r>
      <w:r w:rsidR="007A45A3">
        <w:t>29</w:t>
      </w:r>
      <w:r w:rsidR="007A45A3" w:rsidRPr="00250B9A">
        <w:t xml:space="preserve"> </w:t>
      </w:r>
      <w:r w:rsidR="00250B9A" w:rsidRPr="00250B9A">
        <w:t>and INF.</w:t>
      </w:r>
      <w:r w:rsidR="007A45A3">
        <w:t>29</w:t>
      </w:r>
      <w:r w:rsidR="00250B9A" w:rsidRPr="00250B9A">
        <w:t>/Add.1, 43</w:t>
      </w:r>
      <w:r w:rsidR="00250B9A" w:rsidRPr="00E17422">
        <w:rPr>
          <w:vertAlign w:val="superscript"/>
        </w:rPr>
        <w:t>rd</w:t>
      </w:r>
      <w:r w:rsidR="00E17422">
        <w:t xml:space="preserve"> </w:t>
      </w:r>
      <w:r w:rsidR="00250B9A" w:rsidRPr="00250B9A">
        <w:t xml:space="preserve">session). </w:t>
      </w:r>
      <w:r w:rsidR="00BF2F3D" w:rsidRPr="003000D2">
        <w:t>The UN bodies’ and UN specialized agencies’ results spreadsheet has also been updated to reflect the receipt of additional information that was not previously indicated</w:t>
      </w:r>
      <w:r w:rsidR="00BF2F3D">
        <w:t xml:space="preserve"> (INF.</w:t>
      </w:r>
      <w:r w:rsidR="007A45A3">
        <w:t xml:space="preserve">28 </w:t>
      </w:r>
      <w:r w:rsidR="00BF2F3D">
        <w:t>and INF.</w:t>
      </w:r>
      <w:r w:rsidR="007A45A3">
        <w:t>28</w:t>
      </w:r>
      <w:r w:rsidR="00BF2F3D">
        <w:t>/Add.1, 43</w:t>
      </w:r>
      <w:r w:rsidR="00BF2F3D" w:rsidRPr="00BF2F3D">
        <w:rPr>
          <w:vertAlign w:val="superscript"/>
        </w:rPr>
        <w:t>rd</w:t>
      </w:r>
      <w:r w:rsidR="00BF2F3D">
        <w:t xml:space="preserve"> session).   </w:t>
      </w:r>
      <w:r w:rsidR="00F813F0">
        <w:t xml:space="preserve">   </w:t>
      </w:r>
    </w:p>
    <w:p w14:paraId="050FB5EF" w14:textId="5A3649EF" w:rsidR="00A11D9E" w:rsidRDefault="002C60C1" w:rsidP="00C60C79">
      <w:pPr>
        <w:pStyle w:val="SingleTxtG"/>
        <w:tabs>
          <w:tab w:val="left" w:pos="1701"/>
        </w:tabs>
      </w:pPr>
      <w:r>
        <w:t>10</w:t>
      </w:r>
      <w:r w:rsidR="00772834" w:rsidRPr="009C6400">
        <w:t>.</w:t>
      </w:r>
      <w:r w:rsidR="00772834" w:rsidRPr="009C6400">
        <w:tab/>
      </w:r>
      <w:r>
        <w:t xml:space="preserve">The </w:t>
      </w:r>
      <w:r w:rsidR="00EC7C5E">
        <w:t>co-chairs presented preliminary analys</w:t>
      </w:r>
      <w:r w:rsidR="00A11D9E">
        <w:t>e</w:t>
      </w:r>
      <w:r w:rsidR="00EC7C5E">
        <w:t>s of the UN</w:t>
      </w:r>
      <w:r w:rsidR="00BB4C3A">
        <w:t xml:space="preserve"> </w:t>
      </w:r>
      <w:r w:rsidR="00D90D82">
        <w:t>b</w:t>
      </w:r>
      <w:r w:rsidR="00BB4C3A">
        <w:t>odies</w:t>
      </w:r>
      <w:r w:rsidR="00EC7C5E">
        <w:t xml:space="preserve">/UN </w:t>
      </w:r>
      <w:r w:rsidR="00D90D82">
        <w:t>s</w:t>
      </w:r>
      <w:r w:rsidR="00EC7C5E">
        <w:t xml:space="preserve">pecialized </w:t>
      </w:r>
      <w:r w:rsidR="00D90D82">
        <w:t>a</w:t>
      </w:r>
      <w:r w:rsidR="00EC7C5E">
        <w:t>genc</w:t>
      </w:r>
      <w:r w:rsidR="00BB4C3A">
        <w:t>ies</w:t>
      </w:r>
      <w:r w:rsidR="007E1A6D">
        <w:t xml:space="preserve"> and NGO survey responses at an ICG meeting held via Microsoft </w:t>
      </w:r>
      <w:r w:rsidR="007E1A6D" w:rsidRPr="0093449C">
        <w:t>Teams on November 8, 2022</w:t>
      </w:r>
      <w:r w:rsidR="00A11D9E">
        <w:t>, and intend to present these analyses at the 43</w:t>
      </w:r>
      <w:r w:rsidR="00A11D9E" w:rsidRPr="00A11D9E">
        <w:rPr>
          <w:vertAlign w:val="superscript"/>
        </w:rPr>
        <w:t>rd</w:t>
      </w:r>
      <w:r w:rsidR="00A11D9E">
        <w:t xml:space="preserve"> session</w:t>
      </w:r>
      <w:r w:rsidR="001C1E98">
        <w:t xml:space="preserve"> (INF.</w:t>
      </w:r>
      <w:r w:rsidR="007A45A3">
        <w:t>28</w:t>
      </w:r>
      <w:r w:rsidR="001C1E98">
        <w:t>, INF.</w:t>
      </w:r>
      <w:r w:rsidR="007A45A3">
        <w:t>29</w:t>
      </w:r>
      <w:r w:rsidR="001C1E98">
        <w:t>)</w:t>
      </w:r>
      <w:r w:rsidR="00A11D9E">
        <w:t>.</w:t>
      </w:r>
      <w:r w:rsidR="00E17422">
        <w:t xml:space="preserve"> </w:t>
      </w:r>
      <w:r w:rsidR="004C4D99">
        <w:t>After that presentation, the ICG will have completed items (a) and (b) from Work stream A.</w:t>
      </w:r>
    </w:p>
    <w:p w14:paraId="7E39D538" w14:textId="7CAA13F8" w:rsidR="008A40E2" w:rsidRDefault="00A11D9E" w:rsidP="00C60C79">
      <w:pPr>
        <w:pStyle w:val="SingleTxtG"/>
        <w:tabs>
          <w:tab w:val="left" w:pos="1701"/>
        </w:tabs>
      </w:pPr>
      <w:r>
        <w:t xml:space="preserve">11. </w:t>
      </w:r>
      <w:r w:rsidR="00E46FEC">
        <w:tab/>
      </w:r>
      <w:r>
        <w:t xml:space="preserve">At the </w:t>
      </w:r>
      <w:r w:rsidR="004C4D99">
        <w:t>November 8, 2022 meeting, t</w:t>
      </w:r>
      <w:r w:rsidR="00035F28">
        <w:t xml:space="preserve">he ICG </w:t>
      </w:r>
      <w:r w:rsidR="004C4D99">
        <w:t xml:space="preserve">also </w:t>
      </w:r>
      <w:r w:rsidR="00035F28">
        <w:t>discussed the program of work for 2023-2024</w:t>
      </w:r>
      <w:r w:rsidR="002173B5" w:rsidRPr="0093449C">
        <w:t xml:space="preserve">.  </w:t>
      </w:r>
      <w:r w:rsidR="00A32B4F">
        <w:t>Working group members voiced support for finalizing the survey analyses into a sin</w:t>
      </w:r>
      <w:r w:rsidR="009708A6">
        <w:t xml:space="preserve">gle report and publicizing it. </w:t>
      </w:r>
      <w:r w:rsidR="00A32B4F">
        <w:t>Representatives from the OECD provided information about how the final survey analysis cou</w:t>
      </w:r>
      <w:r w:rsidR="005E321E">
        <w:t xml:space="preserve">ld be publicized on the OECD’s </w:t>
      </w:r>
      <w:proofErr w:type="spellStart"/>
      <w:r w:rsidR="00A32B4F">
        <w:t>eChemPortal</w:t>
      </w:r>
      <w:proofErr w:type="spellEnd"/>
      <w:r w:rsidR="00A32B4F">
        <w:t xml:space="preserve"> via a link t</w:t>
      </w:r>
      <w:r w:rsidR="009708A6">
        <w:t xml:space="preserve">o the GHS implementation page. </w:t>
      </w:r>
      <w:r w:rsidR="00A32B4F">
        <w:t xml:space="preserve">Working group members also expressed support for further analysis of the lists, including identifying discrepancies between classifications as proposed in Work stream B.  Working group members recognized that Work </w:t>
      </w:r>
      <w:r w:rsidR="005C391B">
        <w:t>s</w:t>
      </w:r>
      <w:r w:rsidR="00A32B4F">
        <w:t xml:space="preserve">tream C is a long-term project that will take many years but supported keeping it on the ICG’s program of work. </w:t>
      </w:r>
      <w:r w:rsidR="007A4870">
        <w:t xml:space="preserve">While Work </w:t>
      </w:r>
      <w:r w:rsidR="005C391B">
        <w:t>s</w:t>
      </w:r>
      <w:r w:rsidR="007A4870">
        <w:t xml:space="preserve">tream C </w:t>
      </w:r>
      <w:r w:rsidR="00BB0CDD">
        <w:t xml:space="preserve">of the </w:t>
      </w:r>
      <w:r w:rsidR="00BB0CDD" w:rsidRPr="00807739">
        <w:t>2021-2022 program of work included the potential development of</w:t>
      </w:r>
      <w:r w:rsidR="000513E5" w:rsidRPr="00807739">
        <w:t xml:space="preserve"> a list based on specific hazards of concern </w:t>
      </w:r>
      <w:r w:rsidR="00C610D9" w:rsidRPr="00807739">
        <w:t>(</w:t>
      </w:r>
      <w:r w:rsidR="006E079D" w:rsidRPr="00807739">
        <w:t>ST/SG/AC.10/C.4/2020/17</w:t>
      </w:r>
      <w:r w:rsidR="00C610D9" w:rsidRPr="00807739">
        <w:t>)</w:t>
      </w:r>
      <w:r w:rsidR="00BB0CDD" w:rsidRPr="00807739">
        <w:t xml:space="preserve">, it was raised that such </w:t>
      </w:r>
      <w:r w:rsidR="00180725" w:rsidRPr="00807739">
        <w:t xml:space="preserve">an </w:t>
      </w:r>
      <w:r w:rsidR="00BB0CDD" w:rsidRPr="00807739">
        <w:t xml:space="preserve">approach </w:t>
      </w:r>
      <w:r w:rsidR="00EC5966" w:rsidRPr="00807739">
        <w:t>is</w:t>
      </w:r>
      <w:r w:rsidR="000513E5" w:rsidRPr="00807739">
        <w:t xml:space="preserve"> not entirely consistent with the Guiding principles. Guiding principle (b) states “All GHS hazard categories and classes must be included in the global list of classified chemicals;”</w:t>
      </w:r>
      <w:r w:rsidR="00BB0CDD" w:rsidRPr="00807739">
        <w:t>.</w:t>
      </w:r>
      <w:r w:rsidR="00807739" w:rsidRPr="00807739">
        <w:t xml:space="preserve"> </w:t>
      </w:r>
      <w:r w:rsidR="00BB0CDD" w:rsidRPr="00807739">
        <w:t xml:space="preserve">The working group therefore did not carry that aspect of Work </w:t>
      </w:r>
      <w:r w:rsidR="005C391B">
        <w:t>s</w:t>
      </w:r>
      <w:r w:rsidR="00BB0CDD" w:rsidRPr="00807739">
        <w:t>tream C into the 2023-2024 proposed program of work.</w:t>
      </w:r>
      <w:r w:rsidR="000513E5">
        <w:t xml:space="preserve">  </w:t>
      </w:r>
      <w:r w:rsidR="00A32B4F">
        <w:t xml:space="preserve">   </w:t>
      </w:r>
    </w:p>
    <w:p w14:paraId="4677881C" w14:textId="06593D6A" w:rsidR="00CD48BB" w:rsidRPr="0093449C" w:rsidRDefault="00CD48BB" w:rsidP="00392953">
      <w:pPr>
        <w:pStyle w:val="SingleTxtG"/>
        <w:tabs>
          <w:tab w:val="left" w:pos="1701"/>
        </w:tabs>
        <w:spacing w:after="80"/>
      </w:pPr>
      <w:r>
        <w:t xml:space="preserve">12.  </w:t>
      </w:r>
      <w:r w:rsidR="00E46FEC">
        <w:tab/>
      </w:r>
      <w:r>
        <w:t>The Sub-Committee is invited to consider the program of work described below</w:t>
      </w:r>
      <w:r w:rsidR="004F4AAF">
        <w:t>.</w:t>
      </w:r>
    </w:p>
    <w:p w14:paraId="5AFCDCA3" w14:textId="7A33D5D3" w:rsidR="008A40E2" w:rsidRPr="00C60C79" w:rsidRDefault="00C60C79" w:rsidP="00392953">
      <w:pPr>
        <w:pStyle w:val="HChG"/>
        <w:spacing w:before="240"/>
        <w:rPr>
          <w:rFonts w:eastAsia="MS Mincho"/>
        </w:rPr>
      </w:pPr>
      <w:r>
        <w:rPr>
          <w:rFonts w:eastAsia="MS Mincho"/>
        </w:rPr>
        <w:tab/>
      </w:r>
      <w:r>
        <w:rPr>
          <w:rFonts w:eastAsia="MS Mincho"/>
        </w:rPr>
        <w:tab/>
      </w:r>
      <w:r w:rsidR="008A40E2" w:rsidRPr="00C60C79">
        <w:rPr>
          <w:rFonts w:eastAsia="MS Mincho"/>
        </w:rPr>
        <w:t xml:space="preserve">Proposed </w:t>
      </w:r>
      <w:r>
        <w:rPr>
          <w:rFonts w:eastAsia="MS Mincho"/>
        </w:rPr>
        <w:t>p</w:t>
      </w:r>
      <w:r w:rsidR="008A40E2" w:rsidRPr="00C60C79">
        <w:rPr>
          <w:rFonts w:eastAsia="MS Mincho"/>
        </w:rPr>
        <w:t xml:space="preserve">rogram of </w:t>
      </w:r>
      <w:r>
        <w:rPr>
          <w:rFonts w:eastAsia="MS Mincho"/>
        </w:rPr>
        <w:t>w</w:t>
      </w:r>
      <w:r w:rsidR="008A40E2" w:rsidRPr="00C60C79">
        <w:rPr>
          <w:rFonts w:eastAsia="MS Mincho"/>
        </w:rPr>
        <w:t>ork for 2023-2024</w:t>
      </w:r>
    </w:p>
    <w:p w14:paraId="63E676D5" w14:textId="28A60C24" w:rsidR="00D461FD" w:rsidRPr="00D461FD" w:rsidRDefault="003F7B00" w:rsidP="00D461FD">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93449C">
        <w:rPr>
          <w:rFonts w:eastAsia="SimSun"/>
        </w:rPr>
        <w:tab/>
      </w:r>
      <w:r w:rsidRPr="0093449C">
        <w:rPr>
          <w:rFonts w:eastAsia="SimSun"/>
        </w:rPr>
        <w:tab/>
      </w:r>
      <w:r w:rsidR="00D461FD" w:rsidRPr="00B653EB">
        <w:rPr>
          <w:rFonts w:eastAsia="SimSun"/>
          <w:b/>
        </w:rPr>
        <w:t xml:space="preserve">Work stream </w:t>
      </w:r>
      <w:r w:rsidR="00D461FD">
        <w:rPr>
          <w:rFonts w:eastAsia="SimSun"/>
          <w:b/>
        </w:rPr>
        <w:t>A</w:t>
      </w:r>
      <w:r w:rsidR="00D461FD" w:rsidRPr="00B653EB">
        <w:rPr>
          <w:rFonts w:eastAsia="SimSun"/>
          <w:b/>
        </w:rPr>
        <w:t xml:space="preserve">: </w:t>
      </w:r>
      <w:r w:rsidR="000C0BF2">
        <w:rPr>
          <w:rFonts w:eastAsia="SimSun"/>
          <w:b/>
        </w:rPr>
        <w:t xml:space="preserve">Finalize </w:t>
      </w:r>
      <w:r w:rsidR="003D4613">
        <w:rPr>
          <w:rFonts w:eastAsia="SimSun"/>
          <w:b/>
        </w:rPr>
        <w:t xml:space="preserve">and publicize </w:t>
      </w:r>
      <w:r w:rsidR="000C0BF2">
        <w:rPr>
          <w:rFonts w:eastAsia="SimSun"/>
          <w:b/>
        </w:rPr>
        <w:t>survey analysis</w:t>
      </w:r>
    </w:p>
    <w:p w14:paraId="292A52C7" w14:textId="1D5DF837" w:rsidR="00E370D1" w:rsidRDefault="000138E4" w:rsidP="00392953">
      <w:pPr>
        <w:pStyle w:val="ListParagraph"/>
        <w:kinsoku w:val="0"/>
        <w:overflowPunct w:val="0"/>
        <w:autoSpaceDE w:val="0"/>
        <w:autoSpaceDN w:val="0"/>
        <w:adjustRightInd w:val="0"/>
        <w:snapToGrid w:val="0"/>
        <w:spacing w:after="60"/>
        <w:ind w:left="1854" w:right="1134" w:hanging="720"/>
        <w:rPr>
          <w:rFonts w:eastAsia="SimSun"/>
          <w:sz w:val="20"/>
          <w:szCs w:val="20"/>
        </w:rPr>
      </w:pPr>
      <w:r>
        <w:rPr>
          <w:rFonts w:eastAsia="SimSun"/>
          <w:sz w:val="20"/>
          <w:szCs w:val="20"/>
        </w:rPr>
        <w:t>(a)</w:t>
      </w:r>
      <w:r>
        <w:rPr>
          <w:rFonts w:eastAsia="SimSun"/>
          <w:sz w:val="20"/>
          <w:szCs w:val="20"/>
        </w:rPr>
        <w:tab/>
      </w:r>
      <w:r w:rsidR="00E370D1">
        <w:rPr>
          <w:rFonts w:eastAsia="SimSun"/>
          <w:sz w:val="20"/>
          <w:szCs w:val="20"/>
        </w:rPr>
        <w:t>Finalize survey analysis, complete any outstanding corrections.</w:t>
      </w:r>
    </w:p>
    <w:p w14:paraId="32E493A8" w14:textId="052C8ABD" w:rsidR="00E370D1" w:rsidRPr="00D461FD" w:rsidRDefault="000138E4" w:rsidP="00392953">
      <w:pPr>
        <w:pStyle w:val="ListParagraph"/>
        <w:kinsoku w:val="0"/>
        <w:overflowPunct w:val="0"/>
        <w:autoSpaceDE w:val="0"/>
        <w:autoSpaceDN w:val="0"/>
        <w:adjustRightInd w:val="0"/>
        <w:snapToGrid w:val="0"/>
        <w:spacing w:after="60"/>
        <w:ind w:left="1854" w:right="1134" w:hanging="720"/>
        <w:rPr>
          <w:rFonts w:eastAsia="SimSun"/>
          <w:sz w:val="20"/>
          <w:szCs w:val="20"/>
        </w:rPr>
      </w:pPr>
      <w:r w:rsidRPr="00D461FD">
        <w:rPr>
          <w:rFonts w:eastAsia="SimSun"/>
          <w:sz w:val="20"/>
          <w:szCs w:val="20"/>
        </w:rPr>
        <w:t>(</w:t>
      </w:r>
      <w:r>
        <w:rPr>
          <w:rFonts w:eastAsia="SimSun"/>
          <w:sz w:val="20"/>
          <w:szCs w:val="20"/>
        </w:rPr>
        <w:t>b</w:t>
      </w:r>
      <w:r w:rsidRPr="00D461FD">
        <w:rPr>
          <w:rFonts w:eastAsia="SimSun"/>
          <w:sz w:val="20"/>
          <w:szCs w:val="20"/>
        </w:rPr>
        <w:t>)</w:t>
      </w:r>
      <w:r w:rsidRPr="00D461FD">
        <w:rPr>
          <w:rFonts w:eastAsia="SimSun"/>
          <w:sz w:val="20"/>
          <w:szCs w:val="20"/>
        </w:rPr>
        <w:tab/>
      </w:r>
      <w:r w:rsidR="00E370D1">
        <w:rPr>
          <w:rFonts w:eastAsia="SimSun"/>
          <w:sz w:val="20"/>
          <w:szCs w:val="20"/>
        </w:rPr>
        <w:t>Publicize the working group’s survey analysis through UNITAR, t</w:t>
      </w:r>
      <w:r w:rsidR="00E370D1" w:rsidRPr="00D461FD">
        <w:rPr>
          <w:rFonts w:eastAsia="SimSun"/>
          <w:sz w:val="20"/>
          <w:szCs w:val="20"/>
        </w:rPr>
        <w:t>he GHS implementation page</w:t>
      </w:r>
      <w:r w:rsidR="00E370D1">
        <w:rPr>
          <w:rFonts w:eastAsia="SimSun"/>
          <w:sz w:val="20"/>
          <w:szCs w:val="20"/>
        </w:rPr>
        <w:t>,</w:t>
      </w:r>
      <w:r w:rsidR="00E370D1" w:rsidRPr="00D461FD">
        <w:rPr>
          <w:rFonts w:eastAsia="SimSun"/>
          <w:sz w:val="20"/>
          <w:szCs w:val="20"/>
        </w:rPr>
        <w:t xml:space="preserve"> and/or the OECD’s </w:t>
      </w:r>
      <w:proofErr w:type="spellStart"/>
      <w:r w:rsidR="00E370D1" w:rsidRPr="00D461FD">
        <w:rPr>
          <w:rFonts w:eastAsia="SimSun"/>
          <w:sz w:val="20"/>
          <w:szCs w:val="20"/>
        </w:rPr>
        <w:t>eChemPortal</w:t>
      </w:r>
      <w:proofErr w:type="spellEnd"/>
      <w:r w:rsidR="00E370D1" w:rsidRPr="00D461FD">
        <w:rPr>
          <w:rFonts w:eastAsia="SimSun"/>
          <w:sz w:val="20"/>
          <w:szCs w:val="20"/>
        </w:rPr>
        <w:t>.</w:t>
      </w:r>
    </w:p>
    <w:p w14:paraId="7ACA8928" w14:textId="09F7F9E4" w:rsidR="00D461FD" w:rsidRPr="00D461FD" w:rsidRDefault="000138E4" w:rsidP="000138E4">
      <w:pPr>
        <w:pStyle w:val="ListParagraph"/>
        <w:kinsoku w:val="0"/>
        <w:overflowPunct w:val="0"/>
        <w:autoSpaceDE w:val="0"/>
        <w:autoSpaceDN w:val="0"/>
        <w:adjustRightInd w:val="0"/>
        <w:snapToGrid w:val="0"/>
        <w:spacing w:after="120"/>
        <w:ind w:left="1854" w:right="1134" w:hanging="720"/>
        <w:rPr>
          <w:rFonts w:eastAsia="SimSun"/>
          <w:sz w:val="20"/>
          <w:szCs w:val="20"/>
        </w:rPr>
      </w:pPr>
      <w:r w:rsidRPr="00D461FD">
        <w:rPr>
          <w:rFonts w:eastAsia="SimSun"/>
          <w:sz w:val="20"/>
          <w:szCs w:val="20"/>
        </w:rPr>
        <w:t>(</w:t>
      </w:r>
      <w:r>
        <w:rPr>
          <w:rFonts w:eastAsia="SimSun"/>
          <w:sz w:val="20"/>
          <w:szCs w:val="20"/>
        </w:rPr>
        <w:t>c</w:t>
      </w:r>
      <w:r w:rsidRPr="00D461FD">
        <w:rPr>
          <w:rFonts w:eastAsia="SimSun"/>
          <w:sz w:val="20"/>
          <w:szCs w:val="20"/>
        </w:rPr>
        <w:t>)</w:t>
      </w:r>
      <w:r w:rsidRPr="00D461FD">
        <w:rPr>
          <w:rFonts w:eastAsia="SimSun"/>
          <w:sz w:val="20"/>
          <w:szCs w:val="20"/>
        </w:rPr>
        <w:tab/>
      </w:r>
      <w:r w:rsidR="00D461FD" w:rsidRPr="00D461FD">
        <w:rPr>
          <w:rFonts w:eastAsia="SimSun"/>
          <w:sz w:val="20"/>
          <w:szCs w:val="20"/>
        </w:rPr>
        <w:t xml:space="preserve">Publish a </w:t>
      </w:r>
      <w:r w:rsidR="00E53375">
        <w:rPr>
          <w:rFonts w:eastAsia="SimSun"/>
          <w:sz w:val="20"/>
          <w:szCs w:val="20"/>
        </w:rPr>
        <w:t xml:space="preserve">journal article outlining the </w:t>
      </w:r>
      <w:r w:rsidR="00612269">
        <w:rPr>
          <w:rFonts w:eastAsia="SimSun"/>
          <w:sz w:val="20"/>
          <w:szCs w:val="20"/>
        </w:rPr>
        <w:t xml:space="preserve">GHS chemical classification list </w:t>
      </w:r>
      <w:r w:rsidR="00E53375">
        <w:rPr>
          <w:rFonts w:eastAsia="SimSun"/>
          <w:sz w:val="20"/>
          <w:szCs w:val="20"/>
        </w:rPr>
        <w:t xml:space="preserve">survey results and </w:t>
      </w:r>
      <w:r w:rsidR="00C449B5">
        <w:rPr>
          <w:rFonts w:eastAsia="SimSun"/>
          <w:sz w:val="20"/>
          <w:szCs w:val="20"/>
        </w:rPr>
        <w:t>the working group’s analysis.</w:t>
      </w:r>
      <w:r w:rsidR="00E53375">
        <w:rPr>
          <w:rFonts w:eastAsia="SimSun"/>
          <w:sz w:val="20"/>
          <w:szCs w:val="20"/>
        </w:rPr>
        <w:t xml:space="preserve"> </w:t>
      </w:r>
    </w:p>
    <w:p w14:paraId="0E3A26C2" w14:textId="2497B929" w:rsidR="003F7B00" w:rsidRPr="00D461FD" w:rsidRDefault="00D461FD" w:rsidP="00067FE4">
      <w:pPr>
        <w:pStyle w:val="H23G"/>
        <w:rPr>
          <w:rFonts w:eastAsia="SimSun"/>
        </w:rPr>
      </w:pPr>
      <w:r w:rsidRPr="00D461FD">
        <w:rPr>
          <w:rFonts w:eastAsia="SimSun"/>
        </w:rPr>
        <w:tab/>
      </w:r>
      <w:r w:rsidRPr="00D461FD">
        <w:rPr>
          <w:rFonts w:eastAsia="SimSun"/>
        </w:rPr>
        <w:tab/>
      </w:r>
      <w:r w:rsidR="003F7B00" w:rsidRPr="00D461FD">
        <w:rPr>
          <w:rFonts w:eastAsia="SimSun"/>
        </w:rPr>
        <w:t xml:space="preserve">Work stream </w:t>
      </w:r>
      <w:r w:rsidRPr="00D461FD">
        <w:rPr>
          <w:rFonts w:eastAsia="SimSun"/>
        </w:rPr>
        <w:t>B</w:t>
      </w:r>
      <w:r w:rsidR="003F7B00" w:rsidRPr="00D461FD">
        <w:rPr>
          <w:rFonts w:eastAsia="SimSun"/>
        </w:rPr>
        <w:t>: Continue to research and analyse the existing classification lists</w:t>
      </w:r>
    </w:p>
    <w:p w14:paraId="23D2A0F7" w14:textId="7C6D6968" w:rsidR="003F7B00" w:rsidRPr="00B653EB" w:rsidRDefault="00CD48BB" w:rsidP="00392953">
      <w:pPr>
        <w:kinsoku w:val="0"/>
        <w:overflowPunct w:val="0"/>
        <w:autoSpaceDE w:val="0"/>
        <w:autoSpaceDN w:val="0"/>
        <w:adjustRightInd w:val="0"/>
        <w:snapToGrid w:val="0"/>
        <w:spacing w:after="60"/>
        <w:ind w:left="1701" w:right="1134" w:hanging="567"/>
        <w:jc w:val="both"/>
        <w:rPr>
          <w:rFonts w:eastAsia="SimSun"/>
        </w:rPr>
      </w:pPr>
      <w:r w:rsidRPr="00D461FD">
        <w:rPr>
          <w:rFonts w:eastAsia="SimSun"/>
        </w:rPr>
        <w:t>(</w:t>
      </w:r>
      <w:r w:rsidR="00EA725A">
        <w:rPr>
          <w:rFonts w:eastAsia="SimSun"/>
        </w:rPr>
        <w:t>a</w:t>
      </w:r>
      <w:r w:rsidRPr="00D461FD">
        <w:rPr>
          <w:rFonts w:eastAsia="SimSun"/>
        </w:rPr>
        <w:t>)</w:t>
      </w:r>
      <w:r w:rsidR="003F7B00" w:rsidRPr="00D461FD">
        <w:rPr>
          <w:rFonts w:eastAsia="SimSun"/>
        </w:rPr>
        <w:tab/>
      </w:r>
      <w:r w:rsidR="00EF1D7A">
        <w:rPr>
          <w:rFonts w:eastAsia="SimSun"/>
        </w:rPr>
        <w:t>T</w:t>
      </w:r>
      <w:r w:rsidR="004F1E2B">
        <w:rPr>
          <w:rFonts w:eastAsia="SimSun"/>
        </w:rPr>
        <w:t>he Sub-Committee could further evaluate</w:t>
      </w:r>
      <w:r w:rsidR="00770651">
        <w:rPr>
          <w:rFonts w:eastAsia="SimSun"/>
        </w:rPr>
        <w:t xml:space="preserve"> the classifications on </w:t>
      </w:r>
      <w:r w:rsidR="004F1E2B">
        <w:rPr>
          <w:rFonts w:eastAsia="SimSun"/>
        </w:rPr>
        <w:t>a subset of the lists</w:t>
      </w:r>
      <w:r w:rsidR="007F1C20">
        <w:rPr>
          <w:rFonts w:eastAsia="SimSun"/>
        </w:rPr>
        <w:t xml:space="preserve"> (e.g.,</w:t>
      </w:r>
      <w:r w:rsidR="004F1E2B">
        <w:rPr>
          <w:rFonts w:eastAsia="SimSun"/>
        </w:rPr>
        <w:t xml:space="preserve"> </w:t>
      </w:r>
      <w:r w:rsidR="00770651">
        <w:rPr>
          <w:rFonts w:eastAsia="SimSun"/>
        </w:rPr>
        <w:t xml:space="preserve">by hazard </w:t>
      </w:r>
      <w:r w:rsidR="007F1C20">
        <w:rPr>
          <w:rFonts w:eastAsia="SimSun"/>
        </w:rPr>
        <w:t xml:space="preserve">class or category). </w:t>
      </w:r>
    </w:p>
    <w:p w14:paraId="29CA6D4D" w14:textId="198B4ED8" w:rsidR="003F7B00" w:rsidRPr="00951EBC" w:rsidRDefault="003F7B00" w:rsidP="008519FA">
      <w:pPr>
        <w:kinsoku w:val="0"/>
        <w:overflowPunct w:val="0"/>
        <w:autoSpaceDE w:val="0"/>
        <w:autoSpaceDN w:val="0"/>
        <w:adjustRightInd w:val="0"/>
        <w:snapToGrid w:val="0"/>
        <w:spacing w:after="120"/>
        <w:ind w:left="1701" w:right="1134" w:hanging="567"/>
        <w:jc w:val="both"/>
        <w:rPr>
          <w:rFonts w:eastAsia="SimSun"/>
        </w:rPr>
      </w:pPr>
      <w:r w:rsidRPr="00B653EB">
        <w:rPr>
          <w:rFonts w:eastAsia="SimSun"/>
        </w:rPr>
        <w:t>(</w:t>
      </w:r>
      <w:r w:rsidR="00EA725A">
        <w:rPr>
          <w:rFonts w:eastAsia="SimSun"/>
        </w:rPr>
        <w:t>b</w:t>
      </w:r>
      <w:r w:rsidRPr="00B653EB">
        <w:rPr>
          <w:rFonts w:eastAsia="SimSun"/>
        </w:rPr>
        <w:t>)</w:t>
      </w:r>
      <w:r w:rsidRPr="00B653EB">
        <w:rPr>
          <w:rFonts w:eastAsia="SimSun"/>
        </w:rPr>
        <w:tab/>
        <w:t xml:space="preserve">This could </w:t>
      </w:r>
      <w:r w:rsidR="000B2009">
        <w:rPr>
          <w:rFonts w:eastAsia="SimSun"/>
        </w:rPr>
        <w:t xml:space="preserve">allow the </w:t>
      </w:r>
      <w:r w:rsidR="004F6825">
        <w:rPr>
          <w:rFonts w:eastAsia="SimSun"/>
        </w:rPr>
        <w:t xml:space="preserve">Sub-Committee to </w:t>
      </w:r>
      <w:r w:rsidR="00DE17EB">
        <w:rPr>
          <w:rFonts w:eastAsia="SimSun"/>
        </w:rPr>
        <w:t>better</w:t>
      </w:r>
      <w:r w:rsidR="004F6825">
        <w:rPr>
          <w:rFonts w:eastAsia="SimSun"/>
        </w:rPr>
        <w:t xml:space="preserve"> understand the </w:t>
      </w:r>
      <w:r w:rsidR="00FF487D">
        <w:rPr>
          <w:rFonts w:eastAsia="SimSun"/>
        </w:rPr>
        <w:t xml:space="preserve">degree of consistency or inconsistency among chemical classifications. This could </w:t>
      </w:r>
      <w:r w:rsidR="00412C22">
        <w:rPr>
          <w:rFonts w:eastAsia="SimSun"/>
        </w:rPr>
        <w:t xml:space="preserve">result in greater transparency, provide </w:t>
      </w:r>
      <w:r w:rsidR="008519FA">
        <w:rPr>
          <w:rFonts w:eastAsia="SimSun"/>
        </w:rPr>
        <w:t>the opportunity to identify problems or patterns</w:t>
      </w:r>
      <w:r w:rsidRPr="00B653EB">
        <w:rPr>
          <w:rFonts w:eastAsia="SimSun"/>
        </w:rPr>
        <w:t xml:space="preserve"> </w:t>
      </w:r>
      <w:r w:rsidR="00776CE8" w:rsidRPr="00776CE8">
        <w:rPr>
          <w:rFonts w:eastAsia="SimSun"/>
        </w:rPr>
        <w:t>related to current</w:t>
      </w:r>
      <w:r w:rsidRPr="00776CE8">
        <w:rPr>
          <w:rFonts w:eastAsia="SimSun"/>
        </w:rPr>
        <w:t xml:space="preserve"> classifications</w:t>
      </w:r>
      <w:r w:rsidR="00612269">
        <w:rPr>
          <w:rFonts w:eastAsia="SimSun"/>
        </w:rPr>
        <w:t xml:space="preserve"> (which could be referred to the Practical Classification Issues working group to clarify the criteria or give further guidance on how to apply the criteria)</w:t>
      </w:r>
      <w:r w:rsidR="00412C22">
        <w:rPr>
          <w:rFonts w:eastAsia="SimSun"/>
        </w:rPr>
        <w:t>, and/or</w:t>
      </w:r>
      <w:r w:rsidRPr="00951EBC">
        <w:rPr>
          <w:rFonts w:eastAsia="SimSun"/>
        </w:rPr>
        <w:t xml:space="preserve"> provide a basis for considering the optio</w:t>
      </w:r>
      <w:r w:rsidR="008519FA" w:rsidRPr="00951EBC">
        <w:rPr>
          <w:rFonts w:eastAsia="SimSun"/>
        </w:rPr>
        <w:t>n</w:t>
      </w:r>
      <w:r w:rsidRPr="00951EBC">
        <w:rPr>
          <w:rFonts w:eastAsia="SimSun"/>
        </w:rPr>
        <w:t xml:space="preserve"> in </w:t>
      </w:r>
      <w:r w:rsidR="008519FA" w:rsidRPr="00951EBC">
        <w:rPr>
          <w:rFonts w:eastAsia="SimSun"/>
        </w:rPr>
        <w:t>Work stream C</w:t>
      </w:r>
      <w:r w:rsidRPr="00951EBC">
        <w:rPr>
          <w:rFonts w:eastAsia="SimSun"/>
        </w:rPr>
        <w:t>.</w:t>
      </w:r>
    </w:p>
    <w:p w14:paraId="5367E19B" w14:textId="4CDB28AE" w:rsidR="00371982" w:rsidRPr="00951EBC" w:rsidRDefault="00371982" w:rsidP="00392953">
      <w:pPr>
        <w:keepNext/>
        <w:keepLines/>
        <w:tabs>
          <w:tab w:val="right" w:pos="851"/>
        </w:tabs>
        <w:kinsoku w:val="0"/>
        <w:overflowPunct w:val="0"/>
        <w:autoSpaceDE w:val="0"/>
        <w:autoSpaceDN w:val="0"/>
        <w:adjustRightInd w:val="0"/>
        <w:snapToGrid w:val="0"/>
        <w:spacing w:before="120" w:after="80" w:line="240" w:lineRule="exact"/>
        <w:ind w:left="1134" w:right="1134" w:hanging="1134"/>
        <w:rPr>
          <w:rFonts w:eastAsia="SimSun"/>
          <w:b/>
        </w:rPr>
      </w:pPr>
      <w:r w:rsidRPr="00951EBC">
        <w:rPr>
          <w:rFonts w:eastAsia="SimSun"/>
          <w:b/>
        </w:rPr>
        <w:tab/>
      </w:r>
      <w:r w:rsidRPr="00951EBC">
        <w:rPr>
          <w:rFonts w:eastAsia="SimSun"/>
          <w:b/>
        </w:rPr>
        <w:tab/>
        <w:t xml:space="preserve">Work stream C: </w:t>
      </w:r>
      <w:r w:rsidR="00262654" w:rsidRPr="00951EBC">
        <w:rPr>
          <w:rFonts w:eastAsia="SimSun"/>
          <w:b/>
        </w:rPr>
        <w:t>Consider d</w:t>
      </w:r>
      <w:r w:rsidRPr="00951EBC">
        <w:rPr>
          <w:rFonts w:eastAsia="SimSun"/>
          <w:b/>
        </w:rPr>
        <w:t>evelop</w:t>
      </w:r>
      <w:r w:rsidR="007C633E">
        <w:rPr>
          <w:rFonts w:eastAsia="SimSun"/>
          <w:b/>
        </w:rPr>
        <w:t>ing</w:t>
      </w:r>
      <w:r w:rsidRPr="00951EBC">
        <w:rPr>
          <w:rFonts w:eastAsia="SimSun"/>
          <w:b/>
        </w:rPr>
        <w:t xml:space="preserve"> a </w:t>
      </w:r>
      <w:r w:rsidR="00DE17EB">
        <w:rPr>
          <w:rFonts w:eastAsia="SimSun"/>
          <w:b/>
        </w:rPr>
        <w:t xml:space="preserve">classification </w:t>
      </w:r>
      <w:r w:rsidRPr="00951EBC">
        <w:rPr>
          <w:rFonts w:eastAsia="SimSun"/>
          <w:b/>
        </w:rPr>
        <w:t>list limited to chemicals of concern</w:t>
      </w:r>
    </w:p>
    <w:p w14:paraId="22562F05" w14:textId="38C89FB2" w:rsidR="0019021E" w:rsidRDefault="00371982" w:rsidP="00EA725A">
      <w:pPr>
        <w:pStyle w:val="ListParagraph"/>
        <w:kinsoku w:val="0"/>
        <w:overflowPunct w:val="0"/>
        <w:autoSpaceDE w:val="0"/>
        <w:autoSpaceDN w:val="0"/>
        <w:adjustRightInd w:val="0"/>
        <w:snapToGrid w:val="0"/>
        <w:spacing w:after="120"/>
        <w:ind w:left="1134" w:right="1134"/>
        <w:rPr>
          <w:rFonts w:eastAsia="SimSun"/>
          <w:sz w:val="20"/>
          <w:szCs w:val="20"/>
        </w:rPr>
      </w:pPr>
      <w:r w:rsidRPr="00951EBC">
        <w:rPr>
          <w:rFonts w:eastAsia="SimSun"/>
          <w:sz w:val="20"/>
          <w:szCs w:val="20"/>
        </w:rPr>
        <w:t>The Sub-Committee could develop a</w:t>
      </w:r>
      <w:r w:rsidR="00C53C07">
        <w:rPr>
          <w:rFonts w:eastAsia="SimSun"/>
          <w:sz w:val="20"/>
          <w:szCs w:val="20"/>
        </w:rPr>
        <w:t xml:space="preserve"> limited classification list based </w:t>
      </w:r>
      <w:r w:rsidR="006E079D">
        <w:rPr>
          <w:rFonts w:eastAsia="SimSun"/>
          <w:sz w:val="20"/>
          <w:szCs w:val="20"/>
        </w:rPr>
        <w:t xml:space="preserve">on </w:t>
      </w:r>
      <w:r w:rsidR="00C53C07">
        <w:rPr>
          <w:rFonts w:eastAsia="SimSun"/>
          <w:sz w:val="20"/>
          <w:szCs w:val="20"/>
        </w:rPr>
        <w:t>chemicals o</w:t>
      </w:r>
      <w:r w:rsidR="006A5369">
        <w:rPr>
          <w:rFonts w:eastAsia="SimSun"/>
          <w:sz w:val="20"/>
          <w:szCs w:val="20"/>
        </w:rPr>
        <w:t>f concern (e.g., high-volume chemicals</w:t>
      </w:r>
      <w:r w:rsidR="007C633E">
        <w:rPr>
          <w:rFonts w:eastAsia="SimSun"/>
          <w:sz w:val="20"/>
          <w:szCs w:val="20"/>
        </w:rPr>
        <w:t xml:space="preserve">, chemicals </w:t>
      </w:r>
      <w:r w:rsidR="00794AD4">
        <w:rPr>
          <w:rFonts w:eastAsia="SimSun"/>
          <w:sz w:val="20"/>
          <w:szCs w:val="20"/>
        </w:rPr>
        <w:t xml:space="preserve">that are classified </w:t>
      </w:r>
      <w:r w:rsidR="008502E4">
        <w:rPr>
          <w:rFonts w:eastAsia="SimSun"/>
          <w:sz w:val="20"/>
          <w:szCs w:val="20"/>
        </w:rPr>
        <w:t>differently</w:t>
      </w:r>
      <w:r w:rsidR="007C633E">
        <w:rPr>
          <w:rFonts w:eastAsia="SimSun"/>
          <w:sz w:val="20"/>
          <w:szCs w:val="20"/>
        </w:rPr>
        <w:t xml:space="preserve">).  </w:t>
      </w:r>
    </w:p>
    <w:p w14:paraId="6D46C5C9" w14:textId="23232D66" w:rsidR="00475BE0" w:rsidRDefault="0019021E" w:rsidP="00392953">
      <w:pPr>
        <w:jc w:val="center"/>
        <w:rPr>
          <w:b/>
          <w:sz w:val="28"/>
        </w:rPr>
      </w:pPr>
      <w:r>
        <w:rPr>
          <w:rFonts w:eastAsia="SimSun"/>
          <w:u w:val="single"/>
        </w:rPr>
        <w:tab/>
      </w:r>
      <w:r>
        <w:rPr>
          <w:rFonts w:eastAsia="SimSun"/>
          <w:u w:val="single"/>
        </w:rPr>
        <w:tab/>
      </w:r>
      <w:r>
        <w:rPr>
          <w:rFonts w:eastAsia="SimSun"/>
          <w:u w:val="single"/>
        </w:rPr>
        <w:tab/>
      </w:r>
    </w:p>
    <w:sectPr w:rsidR="00475BE0"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69E7" w14:textId="77777777" w:rsidR="00E412BA" w:rsidRDefault="00E412BA" w:rsidP="00760F29">
      <w:pPr>
        <w:spacing w:line="240" w:lineRule="auto"/>
      </w:pPr>
      <w:r>
        <w:separator/>
      </w:r>
    </w:p>
  </w:endnote>
  <w:endnote w:type="continuationSeparator" w:id="0">
    <w:p w14:paraId="64ED740B" w14:textId="77777777" w:rsidR="00E412BA" w:rsidRDefault="00E412BA" w:rsidP="00760F29">
      <w:pPr>
        <w:spacing w:line="240" w:lineRule="auto"/>
      </w:pPr>
      <w:r>
        <w:continuationSeparator/>
      </w:r>
    </w:p>
  </w:endnote>
  <w:endnote w:type="continuationNotice" w:id="1">
    <w:p w14:paraId="319560F0" w14:textId="77777777" w:rsidR="00E412BA" w:rsidRDefault="00E41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627C9890" w:rsidR="003F7B00" w:rsidRPr="000216CC" w:rsidRDefault="003F7B00"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70AE2">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4D1ED635" w:rsidR="003F7B00" w:rsidRPr="000216CC" w:rsidRDefault="003F7B00"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67498">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942" w14:textId="010C5935" w:rsidR="003F7B00" w:rsidRPr="00952862" w:rsidRDefault="003F7B00">
    <w:pPr>
      <w:pStyle w:val="Footer"/>
      <w:rPr>
        <w:b/>
        <w:bCs/>
      </w:rPr>
    </w:pPr>
  </w:p>
  <w:p w14:paraId="2D4C9FAC" w14:textId="77777777" w:rsidR="003F7B00" w:rsidRDefault="003F7B00"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C4DA" w14:textId="77777777" w:rsidR="00E412BA" w:rsidRDefault="00E412BA" w:rsidP="00760F29">
      <w:pPr>
        <w:spacing w:line="240" w:lineRule="auto"/>
      </w:pPr>
      <w:r>
        <w:separator/>
      </w:r>
    </w:p>
  </w:footnote>
  <w:footnote w:type="continuationSeparator" w:id="0">
    <w:p w14:paraId="6C9D5166" w14:textId="77777777" w:rsidR="00E412BA" w:rsidRDefault="00E412BA" w:rsidP="00760F29">
      <w:pPr>
        <w:spacing w:line="240" w:lineRule="auto"/>
      </w:pPr>
      <w:r>
        <w:continuationSeparator/>
      </w:r>
    </w:p>
  </w:footnote>
  <w:footnote w:type="continuationNotice" w:id="1">
    <w:p w14:paraId="7F96958C" w14:textId="77777777" w:rsidR="00E412BA" w:rsidRDefault="00E412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02B49B92" w:rsidR="003F7B00" w:rsidRPr="001E5919" w:rsidRDefault="003F7B00" w:rsidP="0076675C">
    <w:pPr>
      <w:pStyle w:val="Header"/>
      <w:rPr>
        <w:lang w:val="fr-FR"/>
      </w:rPr>
    </w:pPr>
    <w:r>
      <w:rPr>
        <w:lang w:val="fr-FR"/>
      </w:rPr>
      <w:t>UN/SCEGHS/4</w:t>
    </w:r>
    <w:r w:rsidR="00A434A0">
      <w:rPr>
        <w:lang w:val="fr-FR"/>
      </w:rPr>
      <w:t>3</w:t>
    </w:r>
    <w:r>
      <w:rPr>
        <w:lang w:val="fr-FR"/>
      </w:rPr>
      <w:t>/INF.</w:t>
    </w:r>
    <w:r w:rsidR="00D909BA">
      <w:rPr>
        <w:lang w:val="fr-FR"/>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0F22AABB" w:rsidR="003F7B00" w:rsidRPr="001E5919" w:rsidRDefault="003F7B00" w:rsidP="0076675C">
    <w:pPr>
      <w:pStyle w:val="Header"/>
      <w:jc w:val="right"/>
      <w:rPr>
        <w:lang w:val="fr-FR"/>
      </w:rPr>
    </w:pPr>
    <w:r>
      <w:rPr>
        <w:lang w:val="fr-FR"/>
      </w:rPr>
      <w:t>UN/SCEGHS/4</w:t>
    </w:r>
    <w:r w:rsidR="00A434A0">
      <w:rPr>
        <w:lang w:val="fr-FR"/>
      </w:rPr>
      <w:t>3</w:t>
    </w:r>
    <w:r>
      <w:rPr>
        <w:lang w:val="fr-FR"/>
      </w:rPr>
      <w:t>/INF.</w:t>
    </w:r>
    <w:r w:rsidR="00D909BA">
      <w:rPr>
        <w:lang w:val="fr-FR"/>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3F7B00" w:rsidRPr="00C969C0" w:rsidRDefault="003F7B00"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E00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3E8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A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E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22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565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080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7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C7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F4B"/>
    <w:multiLevelType w:val="hybridMultilevel"/>
    <w:tmpl w:val="5DDE6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47C"/>
    <w:multiLevelType w:val="hybridMultilevel"/>
    <w:tmpl w:val="1B26E758"/>
    <w:lvl w:ilvl="0" w:tplc="E318BAA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B6A0B9D"/>
    <w:multiLevelType w:val="hybridMultilevel"/>
    <w:tmpl w:val="D160E8F6"/>
    <w:lvl w:ilvl="0" w:tplc="93BC23C0">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B402D07"/>
    <w:multiLevelType w:val="hybridMultilevel"/>
    <w:tmpl w:val="B6F0A450"/>
    <w:lvl w:ilvl="0" w:tplc="79FC44A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C034F93"/>
    <w:multiLevelType w:val="hybridMultilevel"/>
    <w:tmpl w:val="8CD2C382"/>
    <w:lvl w:ilvl="0" w:tplc="F90E470C">
      <w:start w:val="1"/>
      <w:numFmt w:val="lowerLetter"/>
      <w:lvlText w:val="(%1)"/>
      <w:lvlJc w:val="left"/>
      <w:pPr>
        <w:ind w:left="2061" w:hanging="360"/>
      </w:pPr>
      <w:rPr>
        <w:rFonts w:hint="default"/>
      </w:rPr>
    </w:lvl>
    <w:lvl w:ilvl="1" w:tplc="11C290A0">
      <w:start w:val="1"/>
      <w:numFmt w:val="lowerRoman"/>
      <w:lvlText w:val="(%2)"/>
      <w:lvlJc w:val="right"/>
      <w:pPr>
        <w:ind w:left="2495" w:hanging="74"/>
      </w:pPr>
      <w:rPr>
        <w:rFonts w:hint="default"/>
      </w:r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603E8"/>
    <w:multiLevelType w:val="hybridMultilevel"/>
    <w:tmpl w:val="208CE2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3D2F7B32"/>
    <w:multiLevelType w:val="hybridMultilevel"/>
    <w:tmpl w:val="EC761900"/>
    <w:lvl w:ilvl="0" w:tplc="92565B82">
      <w:start w:val="1"/>
      <w:numFmt w:val="lowerLetter"/>
      <w:lvlText w:val="(%1)"/>
      <w:lvlJc w:val="left"/>
      <w:pPr>
        <w:ind w:left="1704" w:hanging="57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2"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9C8324A"/>
    <w:multiLevelType w:val="hybridMultilevel"/>
    <w:tmpl w:val="190E9E5A"/>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4ABA0EFF"/>
    <w:multiLevelType w:val="hybridMultilevel"/>
    <w:tmpl w:val="836A1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9" w15:restartNumberingAfterBreak="0">
    <w:nsid w:val="61A70A89"/>
    <w:multiLevelType w:val="hybridMultilevel"/>
    <w:tmpl w:val="6B480A36"/>
    <w:lvl w:ilvl="0" w:tplc="C840D75C">
      <w:start w:val="1"/>
      <w:numFmt w:val="lowerLetter"/>
      <w:lvlText w:val="(%1)"/>
      <w:lvlJc w:val="left"/>
      <w:pPr>
        <w:ind w:left="1194" w:hanging="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0" w15:restartNumberingAfterBreak="0">
    <w:nsid w:val="62D0099B"/>
    <w:multiLevelType w:val="hybridMultilevel"/>
    <w:tmpl w:val="54583B20"/>
    <w:lvl w:ilvl="0" w:tplc="F90E470C">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5"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6" w15:restartNumberingAfterBreak="0">
    <w:nsid w:val="75201D20"/>
    <w:multiLevelType w:val="hybridMultilevel"/>
    <w:tmpl w:val="268AD61E"/>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11"/>
  </w:num>
  <w:num w:numId="4">
    <w:abstractNumId w:val="33"/>
  </w:num>
  <w:num w:numId="5">
    <w:abstractNumId w:val="27"/>
  </w:num>
  <w:num w:numId="6">
    <w:abstractNumId w:val="24"/>
  </w:num>
  <w:num w:numId="7">
    <w:abstractNumId w:val="15"/>
  </w:num>
  <w:num w:numId="8">
    <w:abstractNumId w:val="32"/>
  </w:num>
  <w:num w:numId="9">
    <w:abstractNumId w:val="23"/>
  </w:num>
  <w:num w:numId="10">
    <w:abstractNumId w:val="31"/>
  </w:num>
  <w:num w:numId="11">
    <w:abstractNumId w:val="31"/>
  </w:num>
  <w:num w:numId="12">
    <w:abstractNumId w:val="31"/>
  </w:num>
  <w:num w:numId="13">
    <w:abstractNumId w:val="31"/>
  </w:num>
  <w:num w:numId="14">
    <w:abstractNumId w:val="2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num>
  <w:num w:numId="29">
    <w:abstractNumId w:val="35"/>
  </w:num>
  <w:num w:numId="30">
    <w:abstractNumId w:val="18"/>
  </w:num>
  <w:num w:numId="31">
    <w:abstractNumId w:val="30"/>
  </w:num>
  <w:num w:numId="32">
    <w:abstractNumId w:val="36"/>
  </w:num>
  <w:num w:numId="33">
    <w:abstractNumId w:val="20"/>
  </w:num>
  <w:num w:numId="34">
    <w:abstractNumId w:val="29"/>
  </w:num>
  <w:num w:numId="35">
    <w:abstractNumId w:val="25"/>
  </w:num>
  <w:num w:numId="36">
    <w:abstractNumId w:val="26"/>
  </w:num>
  <w:num w:numId="37">
    <w:abstractNumId w:val="21"/>
  </w:num>
  <w:num w:numId="38">
    <w:abstractNumId w:val="19"/>
  </w:num>
  <w:num w:numId="39">
    <w:abstractNumId w:val="14"/>
  </w:num>
  <w:num w:numId="40">
    <w:abstractNumId w:val="17"/>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138E4"/>
    <w:rsid w:val="00015F9B"/>
    <w:rsid w:val="000214BC"/>
    <w:rsid w:val="0002200B"/>
    <w:rsid w:val="0003079A"/>
    <w:rsid w:val="00035F28"/>
    <w:rsid w:val="00040DE3"/>
    <w:rsid w:val="00041982"/>
    <w:rsid w:val="00047C26"/>
    <w:rsid w:val="000513E5"/>
    <w:rsid w:val="00053C0F"/>
    <w:rsid w:val="00057111"/>
    <w:rsid w:val="0006039D"/>
    <w:rsid w:val="000642A4"/>
    <w:rsid w:val="00067399"/>
    <w:rsid w:val="00067AF0"/>
    <w:rsid w:val="00067FE4"/>
    <w:rsid w:val="000701E3"/>
    <w:rsid w:val="00073F8F"/>
    <w:rsid w:val="00087207"/>
    <w:rsid w:val="00091421"/>
    <w:rsid w:val="00092F68"/>
    <w:rsid w:val="0009425C"/>
    <w:rsid w:val="00094A6C"/>
    <w:rsid w:val="00094C7F"/>
    <w:rsid w:val="000A35E5"/>
    <w:rsid w:val="000A4843"/>
    <w:rsid w:val="000B2009"/>
    <w:rsid w:val="000B2587"/>
    <w:rsid w:val="000B6ACF"/>
    <w:rsid w:val="000C0BF2"/>
    <w:rsid w:val="000C3563"/>
    <w:rsid w:val="000C5761"/>
    <w:rsid w:val="000C5F34"/>
    <w:rsid w:val="000C7D80"/>
    <w:rsid w:val="000D0B0E"/>
    <w:rsid w:val="000E1E26"/>
    <w:rsid w:val="000E41EC"/>
    <w:rsid w:val="000E61FA"/>
    <w:rsid w:val="000F60C1"/>
    <w:rsid w:val="001122FD"/>
    <w:rsid w:val="00112366"/>
    <w:rsid w:val="00134DA0"/>
    <w:rsid w:val="00135DA9"/>
    <w:rsid w:val="00136D2B"/>
    <w:rsid w:val="001439EF"/>
    <w:rsid w:val="001506E7"/>
    <w:rsid w:val="00170075"/>
    <w:rsid w:val="001720A7"/>
    <w:rsid w:val="00180725"/>
    <w:rsid w:val="001851B2"/>
    <w:rsid w:val="0019021E"/>
    <w:rsid w:val="00193B86"/>
    <w:rsid w:val="00197B5C"/>
    <w:rsid w:val="001B057F"/>
    <w:rsid w:val="001B2B04"/>
    <w:rsid w:val="001C1E98"/>
    <w:rsid w:val="001C5FE4"/>
    <w:rsid w:val="001C72F0"/>
    <w:rsid w:val="001C77D9"/>
    <w:rsid w:val="001D1758"/>
    <w:rsid w:val="001D2AD8"/>
    <w:rsid w:val="001D3E67"/>
    <w:rsid w:val="001E647C"/>
    <w:rsid w:val="001F19BA"/>
    <w:rsid w:val="002006B8"/>
    <w:rsid w:val="00201039"/>
    <w:rsid w:val="00214377"/>
    <w:rsid w:val="002173B5"/>
    <w:rsid w:val="00223F9F"/>
    <w:rsid w:val="00225747"/>
    <w:rsid w:val="00226CEA"/>
    <w:rsid w:val="00230490"/>
    <w:rsid w:val="00232B64"/>
    <w:rsid w:val="00235889"/>
    <w:rsid w:val="00236385"/>
    <w:rsid w:val="0024310D"/>
    <w:rsid w:val="00250B9A"/>
    <w:rsid w:val="00255812"/>
    <w:rsid w:val="00260117"/>
    <w:rsid w:val="00262654"/>
    <w:rsid w:val="00266843"/>
    <w:rsid w:val="00272EBC"/>
    <w:rsid w:val="00275729"/>
    <w:rsid w:val="00276B4C"/>
    <w:rsid w:val="00280ED1"/>
    <w:rsid w:val="00281120"/>
    <w:rsid w:val="0028150B"/>
    <w:rsid w:val="002A01A8"/>
    <w:rsid w:val="002B02C4"/>
    <w:rsid w:val="002B4072"/>
    <w:rsid w:val="002B4FB4"/>
    <w:rsid w:val="002C60C1"/>
    <w:rsid w:val="002D459C"/>
    <w:rsid w:val="002D79E6"/>
    <w:rsid w:val="002E21F9"/>
    <w:rsid w:val="002E7DD9"/>
    <w:rsid w:val="002F7C78"/>
    <w:rsid w:val="003000D2"/>
    <w:rsid w:val="00300300"/>
    <w:rsid w:val="0030509D"/>
    <w:rsid w:val="00305E7C"/>
    <w:rsid w:val="00305F23"/>
    <w:rsid w:val="00313097"/>
    <w:rsid w:val="003147BC"/>
    <w:rsid w:val="00316542"/>
    <w:rsid w:val="00322A68"/>
    <w:rsid w:val="00326BDA"/>
    <w:rsid w:val="00330944"/>
    <w:rsid w:val="0033398D"/>
    <w:rsid w:val="00336968"/>
    <w:rsid w:val="00340588"/>
    <w:rsid w:val="003406FB"/>
    <w:rsid w:val="0034221D"/>
    <w:rsid w:val="00351A6C"/>
    <w:rsid w:val="00352849"/>
    <w:rsid w:val="00363D9F"/>
    <w:rsid w:val="00371089"/>
    <w:rsid w:val="00371982"/>
    <w:rsid w:val="0037283D"/>
    <w:rsid w:val="00392953"/>
    <w:rsid w:val="003A228D"/>
    <w:rsid w:val="003A2720"/>
    <w:rsid w:val="003A2A96"/>
    <w:rsid w:val="003A3245"/>
    <w:rsid w:val="003A5BA6"/>
    <w:rsid w:val="003B2653"/>
    <w:rsid w:val="003C10B9"/>
    <w:rsid w:val="003C425A"/>
    <w:rsid w:val="003C4B75"/>
    <w:rsid w:val="003D4613"/>
    <w:rsid w:val="003E1C3C"/>
    <w:rsid w:val="003E1C85"/>
    <w:rsid w:val="003E64B9"/>
    <w:rsid w:val="003F1E6D"/>
    <w:rsid w:val="003F7B00"/>
    <w:rsid w:val="00401EAE"/>
    <w:rsid w:val="0040625C"/>
    <w:rsid w:val="00406A6B"/>
    <w:rsid w:val="00410F24"/>
    <w:rsid w:val="00412C22"/>
    <w:rsid w:val="004142CA"/>
    <w:rsid w:val="00414616"/>
    <w:rsid w:val="00415AAB"/>
    <w:rsid w:val="00416769"/>
    <w:rsid w:val="00436895"/>
    <w:rsid w:val="00440F59"/>
    <w:rsid w:val="00443789"/>
    <w:rsid w:val="00444DDA"/>
    <w:rsid w:val="00451105"/>
    <w:rsid w:val="00456756"/>
    <w:rsid w:val="00462A16"/>
    <w:rsid w:val="00462E7E"/>
    <w:rsid w:val="00464BF5"/>
    <w:rsid w:val="004710C1"/>
    <w:rsid w:val="00474A37"/>
    <w:rsid w:val="00475BE0"/>
    <w:rsid w:val="00484738"/>
    <w:rsid w:val="004957C8"/>
    <w:rsid w:val="004A29F6"/>
    <w:rsid w:val="004B06A4"/>
    <w:rsid w:val="004B342E"/>
    <w:rsid w:val="004B4BAD"/>
    <w:rsid w:val="004B5A77"/>
    <w:rsid w:val="004C135A"/>
    <w:rsid w:val="004C4D99"/>
    <w:rsid w:val="004D3744"/>
    <w:rsid w:val="004D59EC"/>
    <w:rsid w:val="004D7E16"/>
    <w:rsid w:val="004E0CC0"/>
    <w:rsid w:val="004E2E4D"/>
    <w:rsid w:val="004E7435"/>
    <w:rsid w:val="004F1E2B"/>
    <w:rsid w:val="004F4149"/>
    <w:rsid w:val="004F4AAF"/>
    <w:rsid w:val="004F6825"/>
    <w:rsid w:val="00506BAD"/>
    <w:rsid w:val="00507FDD"/>
    <w:rsid w:val="00510B89"/>
    <w:rsid w:val="00511561"/>
    <w:rsid w:val="00513EED"/>
    <w:rsid w:val="00515100"/>
    <w:rsid w:val="00516FEA"/>
    <w:rsid w:val="005210E2"/>
    <w:rsid w:val="00522D72"/>
    <w:rsid w:val="0052610E"/>
    <w:rsid w:val="005270AB"/>
    <w:rsid w:val="00534165"/>
    <w:rsid w:val="00535D7D"/>
    <w:rsid w:val="00557600"/>
    <w:rsid w:val="00561E93"/>
    <w:rsid w:val="005632F6"/>
    <w:rsid w:val="005664C1"/>
    <w:rsid w:val="00570140"/>
    <w:rsid w:val="00571531"/>
    <w:rsid w:val="00573EEE"/>
    <w:rsid w:val="00574027"/>
    <w:rsid w:val="005746FD"/>
    <w:rsid w:val="005772F2"/>
    <w:rsid w:val="00586883"/>
    <w:rsid w:val="00592369"/>
    <w:rsid w:val="00596CC5"/>
    <w:rsid w:val="005C0109"/>
    <w:rsid w:val="005C0B65"/>
    <w:rsid w:val="005C391B"/>
    <w:rsid w:val="005C3A84"/>
    <w:rsid w:val="005E321E"/>
    <w:rsid w:val="005E4389"/>
    <w:rsid w:val="005E79BB"/>
    <w:rsid w:val="005F5504"/>
    <w:rsid w:val="005F7AE9"/>
    <w:rsid w:val="006018D7"/>
    <w:rsid w:val="00602588"/>
    <w:rsid w:val="00612269"/>
    <w:rsid w:val="00612419"/>
    <w:rsid w:val="0061276A"/>
    <w:rsid w:val="0062268F"/>
    <w:rsid w:val="0062271A"/>
    <w:rsid w:val="00625975"/>
    <w:rsid w:val="0062617C"/>
    <w:rsid w:val="00627D4C"/>
    <w:rsid w:val="00630265"/>
    <w:rsid w:val="00631FF2"/>
    <w:rsid w:val="00633F54"/>
    <w:rsid w:val="00634376"/>
    <w:rsid w:val="00635A05"/>
    <w:rsid w:val="0065464B"/>
    <w:rsid w:val="00656B86"/>
    <w:rsid w:val="00657FC5"/>
    <w:rsid w:val="00661DE9"/>
    <w:rsid w:val="00671D94"/>
    <w:rsid w:val="00681DB0"/>
    <w:rsid w:val="00682DAA"/>
    <w:rsid w:val="00686B73"/>
    <w:rsid w:val="0069398A"/>
    <w:rsid w:val="0069523C"/>
    <w:rsid w:val="006A1146"/>
    <w:rsid w:val="006A2C7D"/>
    <w:rsid w:val="006A5369"/>
    <w:rsid w:val="006D3E76"/>
    <w:rsid w:val="006E0172"/>
    <w:rsid w:val="006E079D"/>
    <w:rsid w:val="006E0EDF"/>
    <w:rsid w:val="006E595A"/>
    <w:rsid w:val="00705D5B"/>
    <w:rsid w:val="00711B1C"/>
    <w:rsid w:val="00717408"/>
    <w:rsid w:val="007211CA"/>
    <w:rsid w:val="007272F7"/>
    <w:rsid w:val="00744045"/>
    <w:rsid w:val="007552E9"/>
    <w:rsid w:val="00760F29"/>
    <w:rsid w:val="00765CA3"/>
    <w:rsid w:val="0076675C"/>
    <w:rsid w:val="00767AB8"/>
    <w:rsid w:val="00770651"/>
    <w:rsid w:val="007715E2"/>
    <w:rsid w:val="00772834"/>
    <w:rsid w:val="00776CE8"/>
    <w:rsid w:val="007867E9"/>
    <w:rsid w:val="00787CA8"/>
    <w:rsid w:val="0079008E"/>
    <w:rsid w:val="00790DDE"/>
    <w:rsid w:val="00794AD4"/>
    <w:rsid w:val="0079630F"/>
    <w:rsid w:val="007A1106"/>
    <w:rsid w:val="007A45A3"/>
    <w:rsid w:val="007A4870"/>
    <w:rsid w:val="007A5031"/>
    <w:rsid w:val="007C09AB"/>
    <w:rsid w:val="007C1E4D"/>
    <w:rsid w:val="007C43A3"/>
    <w:rsid w:val="007C5371"/>
    <w:rsid w:val="007C5C7B"/>
    <w:rsid w:val="007C61DB"/>
    <w:rsid w:val="007C633E"/>
    <w:rsid w:val="007D01E8"/>
    <w:rsid w:val="007D0CDE"/>
    <w:rsid w:val="007D3D31"/>
    <w:rsid w:val="007D5FE6"/>
    <w:rsid w:val="007D6912"/>
    <w:rsid w:val="007E1A6D"/>
    <w:rsid w:val="007E23DB"/>
    <w:rsid w:val="007F1C20"/>
    <w:rsid w:val="007F1D3F"/>
    <w:rsid w:val="008069FC"/>
    <w:rsid w:val="00807739"/>
    <w:rsid w:val="0081139E"/>
    <w:rsid w:val="00816C38"/>
    <w:rsid w:val="00820224"/>
    <w:rsid w:val="00822F3B"/>
    <w:rsid w:val="0082608D"/>
    <w:rsid w:val="00834C62"/>
    <w:rsid w:val="00834D20"/>
    <w:rsid w:val="00841817"/>
    <w:rsid w:val="008426A1"/>
    <w:rsid w:val="00844263"/>
    <w:rsid w:val="00844ABB"/>
    <w:rsid w:val="008502E4"/>
    <w:rsid w:val="008519FA"/>
    <w:rsid w:val="0085283D"/>
    <w:rsid w:val="00862DAD"/>
    <w:rsid w:val="00870AE2"/>
    <w:rsid w:val="008764EC"/>
    <w:rsid w:val="00877E3E"/>
    <w:rsid w:val="00880043"/>
    <w:rsid w:val="00880A9D"/>
    <w:rsid w:val="008833D8"/>
    <w:rsid w:val="0088744C"/>
    <w:rsid w:val="008A40E2"/>
    <w:rsid w:val="008B1E3B"/>
    <w:rsid w:val="008C4C19"/>
    <w:rsid w:val="008D45E6"/>
    <w:rsid w:val="008E0BFF"/>
    <w:rsid w:val="008F65B4"/>
    <w:rsid w:val="00901448"/>
    <w:rsid w:val="00901873"/>
    <w:rsid w:val="00904D9A"/>
    <w:rsid w:val="009106DA"/>
    <w:rsid w:val="00910A23"/>
    <w:rsid w:val="00913C6C"/>
    <w:rsid w:val="0091687A"/>
    <w:rsid w:val="0092613E"/>
    <w:rsid w:val="00930F93"/>
    <w:rsid w:val="0093449C"/>
    <w:rsid w:val="00935F35"/>
    <w:rsid w:val="00940A11"/>
    <w:rsid w:val="0094551F"/>
    <w:rsid w:val="0094789B"/>
    <w:rsid w:val="00951EBC"/>
    <w:rsid w:val="009543CF"/>
    <w:rsid w:val="0095745D"/>
    <w:rsid w:val="009578D9"/>
    <w:rsid w:val="009658A9"/>
    <w:rsid w:val="00965A67"/>
    <w:rsid w:val="0097072E"/>
    <w:rsid w:val="009708A6"/>
    <w:rsid w:val="00974E28"/>
    <w:rsid w:val="009855D0"/>
    <w:rsid w:val="00987994"/>
    <w:rsid w:val="009A35E7"/>
    <w:rsid w:val="009B11B2"/>
    <w:rsid w:val="009B172F"/>
    <w:rsid w:val="009B7C35"/>
    <w:rsid w:val="009C0FEE"/>
    <w:rsid w:val="009C2686"/>
    <w:rsid w:val="009C6587"/>
    <w:rsid w:val="009D55E2"/>
    <w:rsid w:val="009D55E6"/>
    <w:rsid w:val="009D759F"/>
    <w:rsid w:val="009E1F11"/>
    <w:rsid w:val="009E245E"/>
    <w:rsid w:val="009E379A"/>
    <w:rsid w:val="009E42E4"/>
    <w:rsid w:val="009F13DE"/>
    <w:rsid w:val="00A04D06"/>
    <w:rsid w:val="00A05627"/>
    <w:rsid w:val="00A11D9E"/>
    <w:rsid w:val="00A1218A"/>
    <w:rsid w:val="00A1618B"/>
    <w:rsid w:val="00A16AF7"/>
    <w:rsid w:val="00A1722F"/>
    <w:rsid w:val="00A21D10"/>
    <w:rsid w:val="00A31103"/>
    <w:rsid w:val="00A32B4F"/>
    <w:rsid w:val="00A42175"/>
    <w:rsid w:val="00A434A0"/>
    <w:rsid w:val="00A44F74"/>
    <w:rsid w:val="00A45838"/>
    <w:rsid w:val="00A45FE5"/>
    <w:rsid w:val="00A5534E"/>
    <w:rsid w:val="00A55BFD"/>
    <w:rsid w:val="00A57ACB"/>
    <w:rsid w:val="00A6243A"/>
    <w:rsid w:val="00A644F9"/>
    <w:rsid w:val="00A66915"/>
    <w:rsid w:val="00A67498"/>
    <w:rsid w:val="00A70320"/>
    <w:rsid w:val="00A72105"/>
    <w:rsid w:val="00A725CC"/>
    <w:rsid w:val="00A82356"/>
    <w:rsid w:val="00A83A4A"/>
    <w:rsid w:val="00A85FC4"/>
    <w:rsid w:val="00A8641A"/>
    <w:rsid w:val="00A86769"/>
    <w:rsid w:val="00A90C5B"/>
    <w:rsid w:val="00A91B52"/>
    <w:rsid w:val="00A91F34"/>
    <w:rsid w:val="00AA3D2B"/>
    <w:rsid w:val="00AA5F99"/>
    <w:rsid w:val="00AB6B7E"/>
    <w:rsid w:val="00AC54EC"/>
    <w:rsid w:val="00AC7597"/>
    <w:rsid w:val="00AD6196"/>
    <w:rsid w:val="00AE0560"/>
    <w:rsid w:val="00AE0FE3"/>
    <w:rsid w:val="00AE2646"/>
    <w:rsid w:val="00AE56E9"/>
    <w:rsid w:val="00AE6B2C"/>
    <w:rsid w:val="00AF02D0"/>
    <w:rsid w:val="00AF56C8"/>
    <w:rsid w:val="00AF779F"/>
    <w:rsid w:val="00B06296"/>
    <w:rsid w:val="00B101DE"/>
    <w:rsid w:val="00B122A7"/>
    <w:rsid w:val="00B20F29"/>
    <w:rsid w:val="00B21C0B"/>
    <w:rsid w:val="00B21FA5"/>
    <w:rsid w:val="00B23FEC"/>
    <w:rsid w:val="00B258DC"/>
    <w:rsid w:val="00B46D96"/>
    <w:rsid w:val="00B47DC4"/>
    <w:rsid w:val="00B500D4"/>
    <w:rsid w:val="00B56E76"/>
    <w:rsid w:val="00B64854"/>
    <w:rsid w:val="00B653EB"/>
    <w:rsid w:val="00B66194"/>
    <w:rsid w:val="00B70663"/>
    <w:rsid w:val="00B76002"/>
    <w:rsid w:val="00B77E3D"/>
    <w:rsid w:val="00B85035"/>
    <w:rsid w:val="00B965CE"/>
    <w:rsid w:val="00BA09E3"/>
    <w:rsid w:val="00BA53AF"/>
    <w:rsid w:val="00BB0CDD"/>
    <w:rsid w:val="00BB1A4A"/>
    <w:rsid w:val="00BB4C3A"/>
    <w:rsid w:val="00BB4D43"/>
    <w:rsid w:val="00BB66BF"/>
    <w:rsid w:val="00BC0607"/>
    <w:rsid w:val="00BC4FE1"/>
    <w:rsid w:val="00BC6416"/>
    <w:rsid w:val="00BD170F"/>
    <w:rsid w:val="00BD626A"/>
    <w:rsid w:val="00BD6F87"/>
    <w:rsid w:val="00BE2E96"/>
    <w:rsid w:val="00BF0E50"/>
    <w:rsid w:val="00BF2F3D"/>
    <w:rsid w:val="00BF77DA"/>
    <w:rsid w:val="00C13576"/>
    <w:rsid w:val="00C13F89"/>
    <w:rsid w:val="00C2782D"/>
    <w:rsid w:val="00C326B0"/>
    <w:rsid w:val="00C37362"/>
    <w:rsid w:val="00C449B5"/>
    <w:rsid w:val="00C46A0E"/>
    <w:rsid w:val="00C46A44"/>
    <w:rsid w:val="00C5116F"/>
    <w:rsid w:val="00C5390E"/>
    <w:rsid w:val="00C53C07"/>
    <w:rsid w:val="00C55D07"/>
    <w:rsid w:val="00C55F0A"/>
    <w:rsid w:val="00C60AE5"/>
    <w:rsid w:val="00C60C79"/>
    <w:rsid w:val="00C610D9"/>
    <w:rsid w:val="00C61B74"/>
    <w:rsid w:val="00C62721"/>
    <w:rsid w:val="00C64CCA"/>
    <w:rsid w:val="00C65283"/>
    <w:rsid w:val="00C83425"/>
    <w:rsid w:val="00C846BC"/>
    <w:rsid w:val="00C90E4D"/>
    <w:rsid w:val="00C91497"/>
    <w:rsid w:val="00C92D66"/>
    <w:rsid w:val="00C962EA"/>
    <w:rsid w:val="00C969C0"/>
    <w:rsid w:val="00CA28D8"/>
    <w:rsid w:val="00CA3A85"/>
    <w:rsid w:val="00CA5128"/>
    <w:rsid w:val="00CA5836"/>
    <w:rsid w:val="00CA7831"/>
    <w:rsid w:val="00CB3FC3"/>
    <w:rsid w:val="00CB5F7C"/>
    <w:rsid w:val="00CB6916"/>
    <w:rsid w:val="00CD10FB"/>
    <w:rsid w:val="00CD302E"/>
    <w:rsid w:val="00CD48BB"/>
    <w:rsid w:val="00CD5533"/>
    <w:rsid w:val="00CD689A"/>
    <w:rsid w:val="00CE031D"/>
    <w:rsid w:val="00CE14DC"/>
    <w:rsid w:val="00CE351C"/>
    <w:rsid w:val="00CE5143"/>
    <w:rsid w:val="00CE7B0C"/>
    <w:rsid w:val="00CF5E7D"/>
    <w:rsid w:val="00D05936"/>
    <w:rsid w:val="00D15903"/>
    <w:rsid w:val="00D3007B"/>
    <w:rsid w:val="00D30BFA"/>
    <w:rsid w:val="00D377AE"/>
    <w:rsid w:val="00D461FD"/>
    <w:rsid w:val="00D63F96"/>
    <w:rsid w:val="00D660CB"/>
    <w:rsid w:val="00D670CE"/>
    <w:rsid w:val="00D718E5"/>
    <w:rsid w:val="00D767FB"/>
    <w:rsid w:val="00D841B8"/>
    <w:rsid w:val="00D85F47"/>
    <w:rsid w:val="00D86717"/>
    <w:rsid w:val="00D909BA"/>
    <w:rsid w:val="00D90D82"/>
    <w:rsid w:val="00D918AD"/>
    <w:rsid w:val="00DA6169"/>
    <w:rsid w:val="00DB2C4F"/>
    <w:rsid w:val="00DB521F"/>
    <w:rsid w:val="00DD396E"/>
    <w:rsid w:val="00DE0486"/>
    <w:rsid w:val="00DE15C4"/>
    <w:rsid w:val="00DE17EB"/>
    <w:rsid w:val="00DE3609"/>
    <w:rsid w:val="00DE37D5"/>
    <w:rsid w:val="00DF2401"/>
    <w:rsid w:val="00E002DD"/>
    <w:rsid w:val="00E03D13"/>
    <w:rsid w:val="00E03E30"/>
    <w:rsid w:val="00E15AE8"/>
    <w:rsid w:val="00E171CD"/>
    <w:rsid w:val="00E1727E"/>
    <w:rsid w:val="00E17422"/>
    <w:rsid w:val="00E22903"/>
    <w:rsid w:val="00E26063"/>
    <w:rsid w:val="00E319C2"/>
    <w:rsid w:val="00E370D1"/>
    <w:rsid w:val="00E412BA"/>
    <w:rsid w:val="00E449C3"/>
    <w:rsid w:val="00E464A0"/>
    <w:rsid w:val="00E46FEC"/>
    <w:rsid w:val="00E52E7E"/>
    <w:rsid w:val="00E53375"/>
    <w:rsid w:val="00E67F2E"/>
    <w:rsid w:val="00E719CB"/>
    <w:rsid w:val="00E76A5B"/>
    <w:rsid w:val="00E773AA"/>
    <w:rsid w:val="00E85E95"/>
    <w:rsid w:val="00E86816"/>
    <w:rsid w:val="00E86FBA"/>
    <w:rsid w:val="00E87452"/>
    <w:rsid w:val="00E9259C"/>
    <w:rsid w:val="00E93287"/>
    <w:rsid w:val="00E9417F"/>
    <w:rsid w:val="00E97BCE"/>
    <w:rsid w:val="00EA3F81"/>
    <w:rsid w:val="00EA5B52"/>
    <w:rsid w:val="00EA725A"/>
    <w:rsid w:val="00EB1291"/>
    <w:rsid w:val="00EB3131"/>
    <w:rsid w:val="00EB4A7C"/>
    <w:rsid w:val="00EC5966"/>
    <w:rsid w:val="00EC7C5E"/>
    <w:rsid w:val="00ED3515"/>
    <w:rsid w:val="00EE3266"/>
    <w:rsid w:val="00EE6A4C"/>
    <w:rsid w:val="00EF1D7A"/>
    <w:rsid w:val="00EF690D"/>
    <w:rsid w:val="00EF7022"/>
    <w:rsid w:val="00F01024"/>
    <w:rsid w:val="00F01DF9"/>
    <w:rsid w:val="00F165AE"/>
    <w:rsid w:val="00F17240"/>
    <w:rsid w:val="00F22714"/>
    <w:rsid w:val="00F27615"/>
    <w:rsid w:val="00F27F2C"/>
    <w:rsid w:val="00F333A7"/>
    <w:rsid w:val="00F37894"/>
    <w:rsid w:val="00F414FF"/>
    <w:rsid w:val="00F41B6B"/>
    <w:rsid w:val="00F43711"/>
    <w:rsid w:val="00F50CAE"/>
    <w:rsid w:val="00F61929"/>
    <w:rsid w:val="00F63CD7"/>
    <w:rsid w:val="00F717DC"/>
    <w:rsid w:val="00F73DD8"/>
    <w:rsid w:val="00F813F0"/>
    <w:rsid w:val="00F84B7B"/>
    <w:rsid w:val="00F84D75"/>
    <w:rsid w:val="00F84DEA"/>
    <w:rsid w:val="00F85DE2"/>
    <w:rsid w:val="00FA0F0E"/>
    <w:rsid w:val="00FA63B2"/>
    <w:rsid w:val="00FB0354"/>
    <w:rsid w:val="00FB0F9F"/>
    <w:rsid w:val="00FC01E4"/>
    <w:rsid w:val="00FD2E63"/>
    <w:rsid w:val="00FE179E"/>
    <w:rsid w:val="00FF26C4"/>
    <w:rsid w:val="00FF2F57"/>
    <w:rsid w:val="00FF487D"/>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4D560084-0E0E-4A95-A344-609009A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paragraph" w:styleId="Revision">
    <w:name w:val="Revision"/>
    <w:hidden/>
    <w:uiPriority w:val="99"/>
    <w:semiHidden/>
    <w:rsid w:val="007A110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672686027">
      <w:bodyDiv w:val="1"/>
      <w:marLeft w:val="0"/>
      <w:marRight w:val="0"/>
      <w:marTop w:val="0"/>
      <w:marBottom w:val="0"/>
      <w:divBdr>
        <w:top w:val="none" w:sz="0" w:space="0" w:color="auto"/>
        <w:left w:val="none" w:sz="0" w:space="0" w:color="auto"/>
        <w:bottom w:val="none" w:sz="0" w:space="0" w:color="auto"/>
        <w:right w:val="none" w:sz="0" w:space="0" w:color="auto"/>
      </w:divBdr>
    </w:div>
    <w:div w:id="712196665">
      <w:bodyDiv w:val="1"/>
      <w:marLeft w:val="0"/>
      <w:marRight w:val="0"/>
      <w:marTop w:val="0"/>
      <w:marBottom w:val="0"/>
      <w:divBdr>
        <w:top w:val="none" w:sz="0" w:space="0" w:color="auto"/>
        <w:left w:val="none" w:sz="0" w:space="0" w:color="auto"/>
        <w:bottom w:val="none" w:sz="0" w:space="0" w:color="auto"/>
        <w:right w:val="none" w:sz="0" w:space="0" w:color="auto"/>
      </w:divBdr>
    </w:div>
    <w:div w:id="855071189">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E77CFA0A-71A6-4F35-BA52-37C099C4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66159-347D-4BFE-8DBA-5CD3F8F6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4</cp:revision>
  <cp:lastPrinted>2022-12-01T07:53:00Z</cp:lastPrinted>
  <dcterms:created xsi:type="dcterms:W3CDTF">2022-12-01T20:27:00Z</dcterms:created>
  <dcterms:modified xsi:type="dcterms:W3CDTF">2022-12-02T08:44:00Z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7926000</vt:r8>
  </property>
  <property fmtid="{D5CDD505-2E9C-101B-9397-08002B2CF9AE}" pid="3"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