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45B75B76" w:rsidR="00164115" w:rsidRPr="0099001C" w:rsidRDefault="00164115" w:rsidP="00162FFA">
            <w:pPr>
              <w:jc w:val="right"/>
              <w:rPr>
                <w:b/>
                <w:sz w:val="40"/>
                <w:szCs w:val="40"/>
              </w:rPr>
            </w:pPr>
            <w:r w:rsidRPr="0099001C">
              <w:rPr>
                <w:b/>
                <w:sz w:val="40"/>
                <w:szCs w:val="40"/>
              </w:rPr>
              <w:t>UN/SCEGHS/</w:t>
            </w:r>
            <w:r w:rsidR="00AE4666">
              <w:rPr>
                <w:b/>
                <w:sz w:val="40"/>
                <w:szCs w:val="40"/>
              </w:rPr>
              <w:t>4</w:t>
            </w:r>
            <w:r w:rsidR="00473E1E">
              <w:rPr>
                <w:b/>
                <w:sz w:val="40"/>
                <w:szCs w:val="40"/>
              </w:rPr>
              <w:t>3</w:t>
            </w:r>
            <w:r w:rsidRPr="0099001C">
              <w:rPr>
                <w:b/>
                <w:sz w:val="40"/>
                <w:szCs w:val="40"/>
              </w:rPr>
              <w:t>/INF.</w:t>
            </w:r>
            <w:r w:rsidR="008A2FA5">
              <w:rPr>
                <w:b/>
                <w:sz w:val="40"/>
                <w:szCs w:val="40"/>
              </w:rPr>
              <w:t>26</w:t>
            </w:r>
          </w:p>
        </w:tc>
      </w:tr>
      <w:tr w:rsidR="00164115" w14:paraId="4D07D853" w14:textId="77777777" w:rsidTr="00D957A6">
        <w:trPr>
          <w:cantSplit/>
          <w:trHeight w:hRule="exact" w:val="3416"/>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5B85227C"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8A2FA5">
              <w:rPr>
                <w:b/>
                <w:lang w:val="en-US"/>
              </w:rPr>
              <w:t>30</w:t>
            </w:r>
            <w:r w:rsidR="00162FFA">
              <w:rPr>
                <w:b/>
                <w:lang w:val="en-US"/>
              </w:rPr>
              <w:t xml:space="preserve"> November</w:t>
            </w:r>
            <w:r w:rsidR="008C0CA5">
              <w:rPr>
                <w:b/>
                <w:lang w:val="en-US"/>
              </w:rPr>
              <w:t xml:space="preserve"> 2022</w:t>
            </w:r>
            <w:r>
              <w:rPr>
                <w:b/>
                <w:lang w:val="en-US"/>
              </w:rPr>
              <w:tab/>
            </w:r>
          </w:p>
          <w:p w14:paraId="7995AA4C" w14:textId="77777777" w:rsidR="00164115" w:rsidRDefault="00164115" w:rsidP="00E970FF">
            <w:pPr>
              <w:jc w:val="both"/>
              <w:rPr>
                <w:b/>
              </w:rPr>
            </w:pPr>
          </w:p>
          <w:p w14:paraId="7DB3104E" w14:textId="7A632E90" w:rsidR="00164115" w:rsidRDefault="00AE4666" w:rsidP="00E970FF">
            <w:pPr>
              <w:jc w:val="both"/>
            </w:pPr>
            <w:r>
              <w:rPr>
                <w:b/>
              </w:rPr>
              <w:t>Forty-</w:t>
            </w:r>
            <w:r w:rsidR="00162FFA">
              <w:rPr>
                <w:b/>
              </w:rPr>
              <w:t>third</w:t>
            </w:r>
            <w:r w:rsidR="004255A7" w:rsidRPr="000B4919">
              <w:rPr>
                <w:b/>
              </w:rPr>
              <w:t xml:space="preserve"> </w:t>
            </w:r>
            <w:r w:rsidR="00164115" w:rsidRPr="000B4919">
              <w:rPr>
                <w:b/>
              </w:rPr>
              <w:t>session</w:t>
            </w:r>
            <w:r w:rsidR="00164115" w:rsidRPr="00283442">
              <w:t xml:space="preserve"> </w:t>
            </w:r>
          </w:p>
          <w:p w14:paraId="5985735A" w14:textId="2268B214" w:rsidR="00164115" w:rsidRPr="000B4919" w:rsidRDefault="00164115" w:rsidP="00E970FF">
            <w:pPr>
              <w:jc w:val="both"/>
            </w:pPr>
            <w:r w:rsidRPr="00283442">
              <w:t xml:space="preserve">Geneva, </w:t>
            </w:r>
            <w:r w:rsidR="00162FFA">
              <w:t>7</w:t>
            </w:r>
            <w:r w:rsidR="008C0CA5">
              <w:t>-</w:t>
            </w:r>
            <w:r w:rsidR="00162FFA">
              <w:t>9 December</w:t>
            </w:r>
            <w:r w:rsidR="008C0CA5">
              <w:t xml:space="preserve"> 2022</w:t>
            </w:r>
          </w:p>
          <w:p w14:paraId="6FA716A3" w14:textId="400F34C8" w:rsidR="00164115" w:rsidRPr="00F005CD" w:rsidRDefault="00164115" w:rsidP="00552785">
            <w:pPr>
              <w:spacing w:before="40"/>
            </w:pPr>
            <w:r w:rsidRPr="00F005CD">
              <w:t xml:space="preserve">Item </w:t>
            </w:r>
            <w:r w:rsidR="00162FFA">
              <w:t>3</w:t>
            </w:r>
            <w:r w:rsidR="00325A9B">
              <w:t xml:space="preserve"> (</w:t>
            </w:r>
            <w:r w:rsidR="00AE4666">
              <w:t>e</w:t>
            </w:r>
            <w:r w:rsidR="00325A9B">
              <w:t>)</w:t>
            </w:r>
            <w:r w:rsidRPr="00F005CD">
              <w:t xml:space="preserve"> of the provisional agenda</w:t>
            </w:r>
          </w:p>
          <w:p w14:paraId="14ACD45D" w14:textId="77777777" w:rsidR="00D957A6" w:rsidRPr="00D957A6" w:rsidRDefault="00097A4C" w:rsidP="00D957A6">
            <w:pPr>
              <w:jc w:val="both"/>
              <w:rPr>
                <w:b/>
                <w:bCs/>
              </w:rPr>
            </w:pPr>
            <w:r w:rsidRPr="00D957A6">
              <w:rPr>
                <w:b/>
                <w:bCs/>
              </w:rPr>
              <w:t xml:space="preserve">Work on the Globally Harmonized System </w:t>
            </w:r>
          </w:p>
          <w:p w14:paraId="75B3E497" w14:textId="0BA6AFA4" w:rsidR="00097A4C" w:rsidRPr="00D957A6" w:rsidRDefault="00097A4C" w:rsidP="00D957A6">
            <w:pPr>
              <w:jc w:val="both"/>
              <w:rPr>
                <w:b/>
                <w:bCs/>
              </w:rPr>
            </w:pPr>
            <w:r w:rsidRPr="00D957A6">
              <w:rPr>
                <w:b/>
                <w:bCs/>
              </w:rPr>
              <w:t>of Classification and Labelling of Chemicals</w:t>
            </w:r>
            <w:r w:rsidR="00D957A6" w:rsidRPr="00D957A6">
              <w:rPr>
                <w:b/>
                <w:bCs/>
              </w:rPr>
              <w:t>:</w:t>
            </w:r>
          </w:p>
          <w:p w14:paraId="2807C471" w14:textId="599CF6C6" w:rsidR="00164115" w:rsidRDefault="00577B06" w:rsidP="00097A4C">
            <w:pPr>
              <w:jc w:val="both"/>
            </w:pPr>
            <w:r w:rsidRPr="00577B06">
              <w:rPr>
                <w:b/>
                <w:bCs/>
              </w:rPr>
              <w:t>Classification criteria for germ cell mutagenicity</w:t>
            </w:r>
            <w:r w:rsidRPr="00C81840" w:rsidDel="00577B06">
              <w:rPr>
                <w:b/>
              </w:rPr>
              <w:t xml:space="preserve"> </w:t>
            </w:r>
          </w:p>
        </w:tc>
      </w:tr>
    </w:tbl>
    <w:p w14:paraId="4102C79C" w14:textId="283C5301"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AE28A5">
        <w:t>Status of the work</w:t>
      </w:r>
      <w:r w:rsidR="00AE4666">
        <w:rPr>
          <w:rFonts w:eastAsia="MS Mincho"/>
          <w:lang w:val="en-US" w:eastAsia="ja-JP"/>
        </w:rPr>
        <w:t xml:space="preserve"> of the</w:t>
      </w:r>
      <w:r w:rsidR="00F40245">
        <w:t xml:space="preserve"> informal working group on</w:t>
      </w:r>
      <w:r w:rsidR="004837DB">
        <w:t xml:space="preserve"> clarification of</w:t>
      </w:r>
      <w:r w:rsidR="00F40245">
        <w:t xml:space="preserve"> </w:t>
      </w:r>
      <w:r w:rsidR="00252D72" w:rsidRPr="00252D72">
        <w:t>the criteria for classification for germ cell mutagenicity</w:t>
      </w:r>
      <w:r w:rsidR="004837DB">
        <w:t xml:space="preserve"> </w:t>
      </w:r>
    </w:p>
    <w:p w14:paraId="22B0953F" w14:textId="5B05EA47"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the </w:t>
      </w:r>
      <w:r w:rsidR="00285BE7">
        <w:t>European Union</w:t>
      </w:r>
      <w:r w:rsidR="00D053AD">
        <w:t xml:space="preserve"> </w:t>
      </w:r>
      <w:r w:rsidR="00D053AD">
        <w:rPr>
          <w:lang w:eastAsia="zh-CN"/>
        </w:rPr>
        <w:t>on behalf of the informal working group on germ cell mutagenicity</w:t>
      </w:r>
    </w:p>
    <w:p w14:paraId="0F9C5AE9" w14:textId="77777777" w:rsidR="00AE28A5" w:rsidRDefault="003D3707" w:rsidP="00AE28A5">
      <w:pPr>
        <w:pStyle w:val="HChG"/>
        <w:keepNext w:val="0"/>
        <w:keepLines w:val="0"/>
        <w:spacing w:before="240" w:after="120"/>
        <w:rPr>
          <w:rStyle w:val="SingleTxtGCar"/>
          <w:u w:val="single"/>
        </w:rPr>
      </w:pPr>
      <w:r>
        <w:tab/>
      </w:r>
      <w:r>
        <w:tab/>
      </w:r>
      <w:r w:rsidR="00AE28A5">
        <w:t>Introduction</w:t>
      </w:r>
    </w:p>
    <w:p w14:paraId="7C585DAE" w14:textId="3E574EA4" w:rsidR="00AE28A5" w:rsidRPr="00265C0E" w:rsidRDefault="00AE28A5" w:rsidP="00265C0E">
      <w:pPr>
        <w:pStyle w:val="SingleTxtG"/>
      </w:pPr>
      <w:r w:rsidRPr="00265C0E">
        <w:t>1.</w:t>
      </w:r>
      <w:r w:rsidRPr="00265C0E">
        <w:tab/>
        <w:t>This informal paper provides an update on the work undertaken by the informal working group on clarification of the criteria for classification for germ c</w:t>
      </w:r>
      <w:r w:rsidR="008C0CA5">
        <w:t>ell mutagenicity since the forty-</w:t>
      </w:r>
      <w:r w:rsidR="00162FFA">
        <w:t>second</w:t>
      </w:r>
      <w:r w:rsidRPr="00265C0E">
        <w:t xml:space="preserve"> session of the Sub-Committee.</w:t>
      </w:r>
    </w:p>
    <w:p w14:paraId="2F59A946" w14:textId="2EE3D6F0" w:rsidR="00B17791" w:rsidRPr="00B17791" w:rsidRDefault="00AE28A5" w:rsidP="00AE28A5">
      <w:pPr>
        <w:pStyle w:val="HChG"/>
        <w:rPr>
          <w:rFonts w:eastAsiaTheme="minorHAnsi"/>
          <w:lang w:val="en-US"/>
        </w:rPr>
      </w:pPr>
      <w:r w:rsidRPr="00B17791">
        <w:t xml:space="preserve"> </w:t>
      </w:r>
      <w:r>
        <w:tab/>
      </w:r>
      <w:r>
        <w:tab/>
      </w:r>
      <w:r w:rsidR="009705A6" w:rsidRPr="00B17791">
        <w:t>Background</w:t>
      </w:r>
      <w:r w:rsidR="009705A6" w:rsidRPr="00B17791">
        <w:rPr>
          <w:rFonts w:eastAsiaTheme="minorHAnsi"/>
          <w:lang w:val="en-US"/>
        </w:rPr>
        <w:t xml:space="preserve"> </w:t>
      </w:r>
    </w:p>
    <w:p w14:paraId="4568928C" w14:textId="00637F55" w:rsidR="000D55C4" w:rsidRPr="005E6D62" w:rsidRDefault="00265C0E" w:rsidP="009C4428">
      <w:pPr>
        <w:pStyle w:val="Default"/>
        <w:ind w:left="1134" w:right="1134"/>
        <w:jc w:val="both"/>
        <w:rPr>
          <w:sz w:val="20"/>
          <w:szCs w:val="20"/>
        </w:rPr>
      </w:pPr>
      <w:r w:rsidRPr="005E6D62">
        <w:rPr>
          <w:sz w:val="20"/>
          <w:szCs w:val="20"/>
        </w:rPr>
        <w:t>2.</w:t>
      </w:r>
      <w:r w:rsidRPr="00265C0E">
        <w:tab/>
      </w:r>
      <w:r w:rsidR="005E6D62">
        <w:t xml:space="preserve"> </w:t>
      </w:r>
      <w:r w:rsidR="001F647E" w:rsidRPr="005E6D62">
        <w:rPr>
          <w:sz w:val="20"/>
          <w:szCs w:val="20"/>
        </w:rPr>
        <w:t>Reference is made to the proposal contained in ST/SG/AC.10/C.4/2020/13 and ST/SG/AC.10/C.4/2020/13</w:t>
      </w:r>
      <w:r w:rsidR="00C12195" w:rsidRPr="005E6D62">
        <w:rPr>
          <w:sz w:val="20"/>
          <w:szCs w:val="20"/>
        </w:rPr>
        <w:t>/</w:t>
      </w:r>
      <w:r w:rsidR="00B104D9" w:rsidRPr="005E6D62">
        <w:rPr>
          <w:sz w:val="20"/>
          <w:szCs w:val="20"/>
        </w:rPr>
        <w:t>Add</w:t>
      </w:r>
      <w:r w:rsidR="008440CC">
        <w:rPr>
          <w:sz w:val="20"/>
          <w:szCs w:val="20"/>
        </w:rPr>
        <w:t>.</w:t>
      </w:r>
      <w:r w:rsidR="001F647E" w:rsidRPr="005E6D62">
        <w:rPr>
          <w:sz w:val="20"/>
          <w:szCs w:val="20"/>
        </w:rPr>
        <w:t>1, the informal document INF.37 (39th session) (European Union) on the Clarification of the criteria for classification for germ cell mutagenicity in category 1B and the report of the Sub-Committee on its thirty-ninth session (ST/SG/AC.10/C</w:t>
      </w:r>
      <w:r w:rsidR="00C12195" w:rsidRPr="005E6D62">
        <w:rPr>
          <w:sz w:val="20"/>
          <w:szCs w:val="20"/>
        </w:rPr>
        <w:t>.</w:t>
      </w:r>
      <w:r w:rsidR="001F647E" w:rsidRPr="005E6D62">
        <w:rPr>
          <w:sz w:val="20"/>
          <w:szCs w:val="20"/>
        </w:rPr>
        <w:t xml:space="preserve">4/78). Based on these documents the </w:t>
      </w:r>
      <w:r w:rsidR="008440CC">
        <w:rPr>
          <w:sz w:val="20"/>
          <w:szCs w:val="20"/>
        </w:rPr>
        <w:t>t</w:t>
      </w:r>
      <w:r w:rsidR="001F647E" w:rsidRPr="005E6D62">
        <w:rPr>
          <w:sz w:val="20"/>
          <w:szCs w:val="20"/>
        </w:rPr>
        <w:t xml:space="preserve">erms of </w:t>
      </w:r>
      <w:r w:rsidR="008440CC">
        <w:rPr>
          <w:sz w:val="20"/>
          <w:szCs w:val="20"/>
        </w:rPr>
        <w:t>r</w:t>
      </w:r>
      <w:r w:rsidR="001F647E" w:rsidRPr="005E6D62">
        <w:rPr>
          <w:sz w:val="20"/>
          <w:szCs w:val="20"/>
        </w:rPr>
        <w:t>eference and work programme of the informal working group on the criteria for classification for germ cell mutagenicity</w:t>
      </w:r>
      <w:r w:rsidR="008904FF" w:rsidRPr="005E6D62">
        <w:rPr>
          <w:sz w:val="20"/>
          <w:szCs w:val="20"/>
        </w:rPr>
        <w:t xml:space="preserve"> were submitted</w:t>
      </w:r>
      <w:r w:rsidR="005E4C08" w:rsidRPr="005E6D62">
        <w:rPr>
          <w:sz w:val="20"/>
          <w:szCs w:val="20"/>
        </w:rPr>
        <w:t xml:space="preserve"> </w:t>
      </w:r>
      <w:r w:rsidR="001F647E" w:rsidRPr="005E6D62">
        <w:rPr>
          <w:sz w:val="20"/>
          <w:szCs w:val="20"/>
        </w:rPr>
        <w:t>for discussion at the fortieth session</w:t>
      </w:r>
      <w:r w:rsidR="008904FF" w:rsidRPr="005E6D62">
        <w:rPr>
          <w:sz w:val="20"/>
          <w:szCs w:val="20"/>
        </w:rPr>
        <w:t xml:space="preserve"> (document ST/SG/AC.10/C.4/2021/3)</w:t>
      </w:r>
      <w:r w:rsidR="001F647E" w:rsidRPr="005E6D62">
        <w:rPr>
          <w:sz w:val="20"/>
          <w:szCs w:val="20"/>
        </w:rPr>
        <w:t xml:space="preserve">. </w:t>
      </w:r>
      <w:r w:rsidR="00B104D9" w:rsidRPr="005E6D62">
        <w:rPr>
          <w:sz w:val="20"/>
          <w:szCs w:val="20"/>
        </w:rPr>
        <w:t xml:space="preserve">The Sub-Committee adopted the terms of reference as amended by </w:t>
      </w:r>
      <w:r w:rsidR="000D55C4" w:rsidRPr="005E6D62">
        <w:rPr>
          <w:sz w:val="20"/>
          <w:szCs w:val="20"/>
        </w:rPr>
        <w:t xml:space="preserve">the </w:t>
      </w:r>
      <w:r w:rsidR="00B104D9" w:rsidRPr="005E6D62">
        <w:rPr>
          <w:sz w:val="20"/>
          <w:szCs w:val="20"/>
        </w:rPr>
        <w:t>informa</w:t>
      </w:r>
      <w:r w:rsidR="00FF22E3" w:rsidRPr="005E6D62">
        <w:rPr>
          <w:sz w:val="20"/>
          <w:szCs w:val="20"/>
        </w:rPr>
        <w:t xml:space="preserve">l document INF.24 </w:t>
      </w:r>
      <w:r w:rsidR="001F647E" w:rsidRPr="005E6D62">
        <w:rPr>
          <w:sz w:val="20"/>
          <w:szCs w:val="20"/>
        </w:rPr>
        <w:t>transmitted by the expert of the United States of America</w:t>
      </w:r>
      <w:r w:rsidR="00FF22E3" w:rsidRPr="005E6D62">
        <w:rPr>
          <w:sz w:val="20"/>
          <w:szCs w:val="20"/>
        </w:rPr>
        <w:t xml:space="preserve"> as stated in the report of the </w:t>
      </w:r>
      <w:r w:rsidR="000D55C4" w:rsidRPr="005E6D62">
        <w:rPr>
          <w:sz w:val="20"/>
          <w:szCs w:val="20"/>
        </w:rPr>
        <w:t>fortieth</w:t>
      </w:r>
      <w:r w:rsidR="00FF22E3" w:rsidRPr="005E6D62">
        <w:rPr>
          <w:sz w:val="20"/>
          <w:szCs w:val="20"/>
        </w:rPr>
        <w:t xml:space="preserve"> session (ST/SG/AC.10/C</w:t>
      </w:r>
      <w:r w:rsidRPr="005E6D62">
        <w:rPr>
          <w:sz w:val="20"/>
          <w:szCs w:val="20"/>
        </w:rPr>
        <w:t>.</w:t>
      </w:r>
      <w:r w:rsidR="00FF22E3" w:rsidRPr="005E6D62">
        <w:rPr>
          <w:sz w:val="20"/>
          <w:szCs w:val="20"/>
        </w:rPr>
        <w:t>4/</w:t>
      </w:r>
      <w:r w:rsidR="00C96CF5" w:rsidRPr="005E6D62">
        <w:rPr>
          <w:sz w:val="20"/>
          <w:szCs w:val="20"/>
        </w:rPr>
        <w:t>80</w:t>
      </w:r>
      <w:r w:rsidR="00FF22E3" w:rsidRPr="005E6D62">
        <w:rPr>
          <w:sz w:val="20"/>
          <w:szCs w:val="20"/>
        </w:rPr>
        <w:t>)</w:t>
      </w:r>
      <w:r w:rsidR="001F647E" w:rsidRPr="005E6D62">
        <w:rPr>
          <w:sz w:val="20"/>
          <w:szCs w:val="20"/>
        </w:rPr>
        <w:t>.</w:t>
      </w:r>
      <w:r w:rsidR="00162FFA" w:rsidRPr="005E6D62">
        <w:rPr>
          <w:sz w:val="20"/>
          <w:szCs w:val="20"/>
        </w:rPr>
        <w:t xml:space="preserve"> The informal working group reported on the </w:t>
      </w:r>
      <w:r w:rsidR="005E6D62" w:rsidRPr="005E6D62">
        <w:rPr>
          <w:sz w:val="20"/>
          <w:szCs w:val="20"/>
        </w:rPr>
        <w:t>progress</w:t>
      </w:r>
      <w:r w:rsidR="00162FFA" w:rsidRPr="005E6D62">
        <w:rPr>
          <w:sz w:val="20"/>
          <w:szCs w:val="20"/>
        </w:rPr>
        <w:t xml:space="preserve"> of work at the forty-first </w:t>
      </w:r>
      <w:r w:rsidR="005E6D62" w:rsidRPr="005E6D62">
        <w:rPr>
          <w:sz w:val="20"/>
          <w:szCs w:val="20"/>
        </w:rPr>
        <w:t xml:space="preserve">(INF.14) </w:t>
      </w:r>
      <w:r w:rsidR="00162FFA" w:rsidRPr="005E6D62">
        <w:rPr>
          <w:sz w:val="20"/>
          <w:szCs w:val="20"/>
        </w:rPr>
        <w:t xml:space="preserve">and forty-second </w:t>
      </w:r>
      <w:r w:rsidR="005E6D62" w:rsidRPr="005E6D62">
        <w:rPr>
          <w:sz w:val="20"/>
          <w:szCs w:val="20"/>
        </w:rPr>
        <w:t>(</w:t>
      </w:r>
      <w:r w:rsidR="005E6D62" w:rsidRPr="005E6D62">
        <w:rPr>
          <w:bCs/>
          <w:sz w:val="20"/>
          <w:szCs w:val="20"/>
        </w:rPr>
        <w:t>INF.15)</w:t>
      </w:r>
      <w:r w:rsidR="005E6D62" w:rsidRPr="005E6D62">
        <w:rPr>
          <w:sz w:val="20"/>
          <w:szCs w:val="20"/>
        </w:rPr>
        <w:t xml:space="preserve"> </w:t>
      </w:r>
      <w:r w:rsidR="00162FFA" w:rsidRPr="00DE6277">
        <w:rPr>
          <w:color w:val="auto"/>
          <w:sz w:val="20"/>
          <w:szCs w:val="20"/>
        </w:rPr>
        <w:t xml:space="preserve">session. The informal working group </w:t>
      </w:r>
      <w:r w:rsidR="001E213F" w:rsidRPr="00DE6277">
        <w:rPr>
          <w:color w:val="auto"/>
          <w:sz w:val="20"/>
          <w:szCs w:val="20"/>
        </w:rPr>
        <w:t xml:space="preserve">plan to </w:t>
      </w:r>
      <w:r w:rsidR="00162FFA" w:rsidRPr="00DE6277">
        <w:rPr>
          <w:color w:val="auto"/>
          <w:sz w:val="20"/>
          <w:szCs w:val="20"/>
        </w:rPr>
        <w:t xml:space="preserve">continue </w:t>
      </w:r>
      <w:r w:rsidR="001E213F" w:rsidRPr="00DE6277">
        <w:rPr>
          <w:color w:val="auto"/>
          <w:sz w:val="20"/>
          <w:szCs w:val="20"/>
        </w:rPr>
        <w:t xml:space="preserve">their work </w:t>
      </w:r>
      <w:r w:rsidR="00162FFA" w:rsidRPr="00DE6277">
        <w:rPr>
          <w:color w:val="auto"/>
          <w:sz w:val="20"/>
          <w:szCs w:val="20"/>
        </w:rPr>
        <w:t xml:space="preserve">in the next biennium, aiming on finalisation of the revision of Chapter 3.5 by the end </w:t>
      </w:r>
      <w:r w:rsidR="000D62D6">
        <w:rPr>
          <w:color w:val="auto"/>
          <w:sz w:val="20"/>
          <w:szCs w:val="20"/>
        </w:rPr>
        <w:t xml:space="preserve">of </w:t>
      </w:r>
      <w:r w:rsidR="00162FFA" w:rsidRPr="00DE6277">
        <w:rPr>
          <w:color w:val="auto"/>
          <w:sz w:val="20"/>
          <w:szCs w:val="20"/>
        </w:rPr>
        <w:t xml:space="preserve">2024. </w:t>
      </w:r>
      <w:r w:rsidR="001E213F" w:rsidRPr="00DE6277">
        <w:rPr>
          <w:color w:val="auto"/>
          <w:sz w:val="20"/>
          <w:szCs w:val="20"/>
        </w:rPr>
        <w:t xml:space="preserve">Therefore, the informal working group </w:t>
      </w:r>
      <w:r w:rsidR="00E559EB">
        <w:rPr>
          <w:color w:val="auto"/>
          <w:sz w:val="20"/>
          <w:szCs w:val="20"/>
          <w:lang w:val="en-CA" w:eastAsia="en-US"/>
        </w:rPr>
        <w:t>requests</w:t>
      </w:r>
      <w:r w:rsidR="001E213F" w:rsidRPr="00DE6277">
        <w:rPr>
          <w:color w:val="auto"/>
          <w:sz w:val="20"/>
          <w:szCs w:val="20"/>
          <w:lang w:val="en-CA" w:eastAsia="en-US"/>
        </w:rPr>
        <w:t xml:space="preserve"> the </w:t>
      </w:r>
      <w:r w:rsidR="008440CC">
        <w:rPr>
          <w:color w:val="auto"/>
          <w:sz w:val="20"/>
          <w:szCs w:val="20"/>
          <w:lang w:val="en-CA" w:eastAsia="en-US"/>
        </w:rPr>
        <w:t>S</w:t>
      </w:r>
      <w:r w:rsidR="001E213F" w:rsidRPr="00DE6277">
        <w:rPr>
          <w:color w:val="auto"/>
          <w:sz w:val="20"/>
          <w:szCs w:val="20"/>
          <w:lang w:val="en-CA" w:eastAsia="en-US"/>
        </w:rPr>
        <w:t>ub</w:t>
      </w:r>
      <w:r w:rsidR="008440CC">
        <w:rPr>
          <w:color w:val="auto"/>
          <w:sz w:val="20"/>
          <w:szCs w:val="20"/>
          <w:lang w:val="en-CA" w:eastAsia="en-US"/>
        </w:rPr>
        <w:t>-C</w:t>
      </w:r>
      <w:r w:rsidR="001E213F" w:rsidRPr="00DE6277">
        <w:rPr>
          <w:color w:val="auto"/>
          <w:sz w:val="20"/>
          <w:szCs w:val="20"/>
          <w:lang w:val="en-CA" w:eastAsia="en-US"/>
        </w:rPr>
        <w:t>ommittee to agree to carry-over the program of work into the 2023-2024 biennium.</w:t>
      </w:r>
    </w:p>
    <w:p w14:paraId="2D393715" w14:textId="2F185FFD" w:rsidR="00CD3626" w:rsidRPr="00B17791" w:rsidRDefault="00AE28A5" w:rsidP="00975131">
      <w:pPr>
        <w:pStyle w:val="HChG"/>
        <w:tabs>
          <w:tab w:val="left" w:pos="1701"/>
        </w:tabs>
        <w:ind w:firstLine="0"/>
        <w:rPr>
          <w:rFonts w:eastAsiaTheme="minorHAnsi"/>
          <w:lang w:val="en-US"/>
        </w:rPr>
      </w:pPr>
      <w:r>
        <w:rPr>
          <w:rFonts w:eastAsiaTheme="minorHAnsi"/>
          <w:lang w:val="en-US"/>
        </w:rPr>
        <w:t xml:space="preserve">Status </w:t>
      </w:r>
      <w:r w:rsidR="00265C0E">
        <w:rPr>
          <w:rFonts w:eastAsiaTheme="minorHAnsi"/>
          <w:lang w:val="en-US"/>
        </w:rPr>
        <w:t>r</w:t>
      </w:r>
      <w:r>
        <w:rPr>
          <w:rFonts w:eastAsiaTheme="minorHAnsi"/>
          <w:lang w:val="en-US"/>
        </w:rPr>
        <w:t>eport</w:t>
      </w:r>
    </w:p>
    <w:p w14:paraId="65154C43" w14:textId="366E6F9F" w:rsidR="007E7D49" w:rsidRDefault="00FD7CB8" w:rsidP="00265C0E">
      <w:pPr>
        <w:pStyle w:val="SingleTxtG"/>
        <w:rPr>
          <w:rFonts w:eastAsiaTheme="minorHAnsi"/>
        </w:rPr>
      </w:pPr>
      <w:r>
        <w:rPr>
          <w:rFonts w:eastAsiaTheme="minorHAnsi"/>
        </w:rPr>
        <w:t>3</w:t>
      </w:r>
      <w:r w:rsidR="00265C0E" w:rsidRPr="00265C0E">
        <w:rPr>
          <w:rFonts w:eastAsiaTheme="minorHAnsi"/>
        </w:rPr>
        <w:t>.</w:t>
      </w:r>
      <w:r w:rsidR="00265C0E" w:rsidRPr="00265C0E">
        <w:rPr>
          <w:rFonts w:eastAsiaTheme="minorHAnsi"/>
        </w:rPr>
        <w:tab/>
      </w:r>
      <w:r w:rsidR="007E7D49">
        <w:rPr>
          <w:rFonts w:eastAsiaTheme="minorHAnsi"/>
        </w:rPr>
        <w:t xml:space="preserve">As a follow-up to </w:t>
      </w:r>
      <w:r w:rsidR="008C0CA5">
        <w:rPr>
          <w:rFonts w:eastAsiaTheme="minorHAnsi"/>
        </w:rPr>
        <w:t>the forty-</w:t>
      </w:r>
      <w:r w:rsidR="00162FFA">
        <w:rPr>
          <w:rFonts w:eastAsiaTheme="minorHAnsi"/>
        </w:rPr>
        <w:t>second</w:t>
      </w:r>
      <w:r w:rsidR="005341D1">
        <w:rPr>
          <w:rFonts w:eastAsiaTheme="minorHAnsi"/>
        </w:rPr>
        <w:t xml:space="preserve"> session</w:t>
      </w:r>
      <w:r w:rsidR="006F0819">
        <w:rPr>
          <w:rFonts w:eastAsiaTheme="minorHAnsi"/>
        </w:rPr>
        <w:t>,</w:t>
      </w:r>
      <w:r w:rsidR="00162FFA">
        <w:rPr>
          <w:rFonts w:eastAsiaTheme="minorHAnsi"/>
        </w:rPr>
        <w:t xml:space="preserve"> the informal working group progressed the revisions and on-going discussion</w:t>
      </w:r>
      <w:r w:rsidR="007E7D49">
        <w:rPr>
          <w:rFonts w:eastAsiaTheme="minorHAnsi"/>
        </w:rPr>
        <w:t>s</w:t>
      </w:r>
      <w:r w:rsidR="00162FFA">
        <w:rPr>
          <w:rFonts w:eastAsiaTheme="minorHAnsi"/>
        </w:rPr>
        <w:t xml:space="preserve"> </w:t>
      </w:r>
      <w:r w:rsidR="007E7D49">
        <w:rPr>
          <w:rFonts w:eastAsiaTheme="minorHAnsi"/>
        </w:rPr>
        <w:t>through</w:t>
      </w:r>
      <w:r w:rsidR="00162FFA">
        <w:rPr>
          <w:rFonts w:eastAsiaTheme="minorHAnsi"/>
        </w:rPr>
        <w:t xml:space="preserve"> written </w:t>
      </w:r>
      <w:r w:rsidR="007E7D49">
        <w:rPr>
          <w:rFonts w:eastAsiaTheme="minorHAnsi"/>
        </w:rPr>
        <w:t>procedure</w:t>
      </w:r>
      <w:r w:rsidR="00162FFA">
        <w:rPr>
          <w:rFonts w:eastAsiaTheme="minorHAnsi"/>
        </w:rPr>
        <w:t xml:space="preserve"> </w:t>
      </w:r>
      <w:r w:rsidR="006F0819">
        <w:rPr>
          <w:rFonts w:eastAsiaTheme="minorHAnsi"/>
        </w:rPr>
        <w:t xml:space="preserve">and </w:t>
      </w:r>
      <w:r w:rsidR="00162FFA">
        <w:rPr>
          <w:rFonts w:eastAsiaTheme="minorHAnsi"/>
        </w:rPr>
        <w:t xml:space="preserve">one </w:t>
      </w:r>
      <w:r w:rsidR="006F0819">
        <w:rPr>
          <w:rFonts w:eastAsiaTheme="minorHAnsi"/>
        </w:rPr>
        <w:t xml:space="preserve">online </w:t>
      </w:r>
      <w:r w:rsidR="00162FFA">
        <w:rPr>
          <w:rFonts w:eastAsiaTheme="minorHAnsi"/>
        </w:rPr>
        <w:t>meeting</w:t>
      </w:r>
      <w:r w:rsidR="00516D65" w:rsidRPr="00265C0E">
        <w:rPr>
          <w:rFonts w:eastAsiaTheme="minorHAnsi"/>
        </w:rPr>
        <w:t xml:space="preserve">. </w:t>
      </w:r>
      <w:r w:rsidR="007E7D49">
        <w:rPr>
          <w:rFonts w:eastAsiaTheme="minorHAnsi"/>
        </w:rPr>
        <w:t>The group made a few further editorial considerations in the definitions of Chapter 3.</w:t>
      </w:r>
      <w:r>
        <w:rPr>
          <w:rFonts w:eastAsiaTheme="minorHAnsi"/>
        </w:rPr>
        <w:t>5</w:t>
      </w:r>
      <w:r w:rsidR="007E7D49">
        <w:rPr>
          <w:rFonts w:eastAsiaTheme="minorHAnsi"/>
        </w:rPr>
        <w:t>.</w:t>
      </w:r>
      <w:r w:rsidR="006F0819">
        <w:rPr>
          <w:rFonts w:eastAsiaTheme="minorHAnsi"/>
        </w:rPr>
        <w:t xml:space="preserve"> It was agreed to include references to further guidance on weight of evidence to enable conclusion on positive results from in vitro mutagenicity tests, as well as good practice in interpretation of in vivo mutagenicity and genotoxicity tests.</w:t>
      </w:r>
    </w:p>
    <w:p w14:paraId="089CE201" w14:textId="48F95A1F" w:rsidR="006F0819" w:rsidRPr="005E6D62" w:rsidRDefault="00FD7CB8" w:rsidP="00265C0E">
      <w:pPr>
        <w:pStyle w:val="SingleTxtG"/>
      </w:pPr>
      <w:r>
        <w:rPr>
          <w:rFonts w:eastAsiaTheme="minorHAnsi"/>
        </w:rPr>
        <w:t>4</w:t>
      </w:r>
      <w:r w:rsidR="006F0819" w:rsidRPr="005E6D62">
        <w:rPr>
          <w:rFonts w:eastAsiaTheme="minorHAnsi"/>
        </w:rPr>
        <w:t xml:space="preserve">. </w:t>
      </w:r>
      <w:r w:rsidR="006F0819" w:rsidRPr="005E6D62">
        <w:rPr>
          <w:rFonts w:eastAsiaTheme="minorHAnsi"/>
        </w:rPr>
        <w:tab/>
        <w:t xml:space="preserve">Related to the discussion of the criteria of germ cell mutagenicity, </w:t>
      </w:r>
      <w:r w:rsidR="00D5259E" w:rsidRPr="005E6D62">
        <w:rPr>
          <w:rFonts w:eastAsiaTheme="minorHAnsi"/>
        </w:rPr>
        <w:t>a</w:t>
      </w:r>
      <w:r w:rsidR="006F0819" w:rsidRPr="005E6D62">
        <w:rPr>
          <w:rFonts w:eastAsiaTheme="minorHAnsi"/>
        </w:rPr>
        <w:t xml:space="preserve"> majority of the members of the informal working group would agree to</w:t>
      </w:r>
      <w:r w:rsidR="00D5259E" w:rsidRPr="005E6D62">
        <w:rPr>
          <w:rFonts w:eastAsiaTheme="minorHAnsi"/>
        </w:rPr>
        <w:t xml:space="preserve"> </w:t>
      </w:r>
      <w:r w:rsidR="006F0819" w:rsidRPr="005E6D62">
        <w:rPr>
          <w:rFonts w:eastAsiaTheme="minorHAnsi"/>
        </w:rPr>
        <w:t xml:space="preserve">an enlargement of the </w:t>
      </w:r>
      <w:r w:rsidR="00D5259E" w:rsidRPr="005E6D62">
        <w:rPr>
          <w:rFonts w:eastAsiaTheme="minorHAnsi"/>
        </w:rPr>
        <w:t>Category</w:t>
      </w:r>
      <w:r w:rsidR="006F0819" w:rsidRPr="005E6D62">
        <w:rPr>
          <w:rFonts w:eastAsiaTheme="minorHAnsi"/>
        </w:rPr>
        <w:t xml:space="preserve"> 1A, </w:t>
      </w:r>
      <w:r w:rsidR="00D5259E" w:rsidRPr="005E6D62">
        <w:rPr>
          <w:rFonts w:eastAsiaTheme="minorHAnsi"/>
        </w:rPr>
        <w:t xml:space="preserve">by </w:t>
      </w:r>
      <w:r w:rsidR="00D5259E" w:rsidRPr="005E6D62">
        <w:t>moving criterion 1B</w:t>
      </w:r>
      <w:r w:rsidR="00F46F29">
        <w:t xml:space="preserve"> </w:t>
      </w:r>
      <w:r w:rsidR="00D5259E" w:rsidRPr="005E6D62">
        <w:t xml:space="preserve">(c) to 1A, as referring to human evidence. </w:t>
      </w:r>
      <w:r w:rsidR="0033359F">
        <w:t xml:space="preserve">However, </w:t>
      </w:r>
      <w:r w:rsidR="003F6FAB">
        <w:t xml:space="preserve">other members </w:t>
      </w:r>
      <w:r w:rsidR="003F6FAB">
        <w:lastRenderedPageBreak/>
        <w:t>raised technical objection</w:t>
      </w:r>
      <w:r w:rsidR="00FF0630">
        <w:t>s</w:t>
      </w:r>
      <w:r w:rsidR="003F6FAB">
        <w:t xml:space="preserve"> to an enlargement of Category 1A and </w:t>
      </w:r>
      <w:r w:rsidR="0033359F">
        <w:t xml:space="preserve">no consensus </w:t>
      </w:r>
      <w:r w:rsidR="001E213F">
        <w:t xml:space="preserve">has been reached yet </w:t>
      </w:r>
      <w:r w:rsidR="0033359F">
        <w:t xml:space="preserve">on this issue.  </w:t>
      </w:r>
      <w:r w:rsidR="00D5259E" w:rsidRPr="005E6D62">
        <w:t>Further</w:t>
      </w:r>
      <w:r w:rsidR="0033359F">
        <w:t>,</w:t>
      </w:r>
      <w:r w:rsidR="00D5259E" w:rsidRPr="005E6D62">
        <w:t xml:space="preserve"> in Category 1B</w:t>
      </w:r>
      <w:r w:rsidR="00F46F29">
        <w:t xml:space="preserve"> </w:t>
      </w:r>
      <w:r w:rsidR="00D5259E" w:rsidRPr="005E6D62">
        <w:t xml:space="preserve">(b) </w:t>
      </w:r>
      <w:r w:rsidR="005E6D62" w:rsidRPr="005E6D62">
        <w:t xml:space="preserve">it was agreed to give </w:t>
      </w:r>
      <w:r w:rsidR="00C0487F">
        <w:t xml:space="preserve">at least </w:t>
      </w:r>
      <w:r w:rsidR="005E6D62" w:rsidRPr="005E6D62">
        <w:t xml:space="preserve">equal weight to </w:t>
      </w:r>
      <w:r w:rsidR="005E6D62" w:rsidRPr="005E6D62">
        <w:rPr>
          <w:i/>
        </w:rPr>
        <w:t>in vivo</w:t>
      </w:r>
      <w:r w:rsidR="005E6D62" w:rsidRPr="005E6D62">
        <w:t xml:space="preserve"> somatic and germ cell genotoxicity tests, and revise the current text accordingly.</w:t>
      </w:r>
    </w:p>
    <w:p w14:paraId="0FB587B8" w14:textId="6AFB3871" w:rsidR="005E6D62" w:rsidRPr="005E6D62" w:rsidRDefault="00FD7CB8" w:rsidP="00265C0E">
      <w:pPr>
        <w:pStyle w:val="SingleTxtG"/>
      </w:pPr>
      <w:r>
        <w:t>5</w:t>
      </w:r>
      <w:r w:rsidR="005E6D62" w:rsidRPr="005E6D62">
        <w:t>.</w:t>
      </w:r>
      <w:r w:rsidR="005E6D62" w:rsidRPr="005E6D62">
        <w:tab/>
      </w:r>
      <w:r w:rsidR="00F46F29">
        <w:t>The United States of America</w:t>
      </w:r>
      <w:r w:rsidR="005E6D62" w:rsidRPr="005E6D62">
        <w:t xml:space="preserve"> prepared a proposal how to simplify the criteria text </w:t>
      </w:r>
      <w:r w:rsidR="009C4428">
        <w:t xml:space="preserve">by </w:t>
      </w:r>
      <w:r w:rsidR="005E6D62" w:rsidRPr="005E6D62">
        <w:t xml:space="preserve">moving some more explanatory text to other parts of the </w:t>
      </w:r>
      <w:r w:rsidR="00F46F29">
        <w:t>c</w:t>
      </w:r>
      <w:r w:rsidR="005E6D62" w:rsidRPr="005E6D62">
        <w:t>hapter, and they also made the comparison to the correspondent text in the criteria for carcinogenicity and reproductive toxicity</w:t>
      </w:r>
      <w:r w:rsidR="00C0487F">
        <w:t xml:space="preserve"> to seek harmonization across chapters.</w:t>
      </w:r>
      <w:r w:rsidR="005E6D62" w:rsidRPr="005E6D62">
        <w:t xml:space="preserve"> </w:t>
      </w:r>
      <w:r w:rsidR="00C0487F">
        <w:t>C</w:t>
      </w:r>
      <w:r w:rsidR="009C4428">
        <w:t>urrently</w:t>
      </w:r>
      <w:r w:rsidR="005E6D62" w:rsidRPr="005E6D62">
        <w:t xml:space="preserve"> comments </w:t>
      </w:r>
      <w:r w:rsidR="009C4428">
        <w:t xml:space="preserve">are collected </w:t>
      </w:r>
      <w:r w:rsidR="005E6D62" w:rsidRPr="005E6D62">
        <w:t>from the group</w:t>
      </w:r>
      <w:r w:rsidR="009C4428">
        <w:t xml:space="preserve"> to feed into the continuous criteria discussion</w:t>
      </w:r>
      <w:r w:rsidR="005E6D62" w:rsidRPr="005E6D62">
        <w:t>.</w:t>
      </w:r>
    </w:p>
    <w:p w14:paraId="25A03A2B" w14:textId="49E4E32B" w:rsidR="00FC53B1" w:rsidRDefault="00FD7CB8" w:rsidP="00265C0E">
      <w:pPr>
        <w:pStyle w:val="SingleTxtG"/>
        <w:rPr>
          <w:rFonts w:eastAsiaTheme="minorHAnsi"/>
        </w:rPr>
      </w:pPr>
      <w:r>
        <w:rPr>
          <w:rFonts w:eastAsiaTheme="minorHAnsi"/>
        </w:rPr>
        <w:t>6</w:t>
      </w:r>
      <w:r w:rsidR="00265C0E" w:rsidRPr="00265C0E">
        <w:rPr>
          <w:rFonts w:eastAsiaTheme="minorHAnsi"/>
        </w:rPr>
        <w:t>.</w:t>
      </w:r>
      <w:r w:rsidR="00265C0E" w:rsidRPr="00265C0E">
        <w:rPr>
          <w:rFonts w:eastAsiaTheme="minorHAnsi"/>
        </w:rPr>
        <w:tab/>
      </w:r>
      <w:r w:rsidR="005F47BB" w:rsidRPr="00265C0E">
        <w:rPr>
          <w:rFonts w:eastAsiaTheme="minorHAnsi"/>
        </w:rPr>
        <w:t xml:space="preserve">The Genetic Toxicology Technical Committee (GTTC) of the Health and Environmental Science Institute (HESI) </w:t>
      </w:r>
      <w:r w:rsidR="009C4428">
        <w:rPr>
          <w:rFonts w:eastAsiaTheme="minorHAnsi"/>
        </w:rPr>
        <w:t>have extended their</w:t>
      </w:r>
      <w:r w:rsidR="005F47BB" w:rsidRPr="00265C0E">
        <w:rPr>
          <w:rFonts w:eastAsiaTheme="minorHAnsi"/>
        </w:rPr>
        <w:t xml:space="preserve"> study </w:t>
      </w:r>
      <w:r w:rsidR="00FC53B1" w:rsidRPr="00265C0E">
        <w:rPr>
          <w:rFonts w:eastAsiaTheme="minorHAnsi"/>
        </w:rPr>
        <w:t>investigating existing data on germ cell mutagenicity to</w:t>
      </w:r>
      <w:r w:rsidR="007E0AED" w:rsidRPr="00265C0E">
        <w:rPr>
          <w:rFonts w:eastAsiaTheme="minorHAnsi"/>
        </w:rPr>
        <w:t>,</w:t>
      </w:r>
      <w:r w:rsidR="00FC53B1" w:rsidRPr="00265C0E">
        <w:rPr>
          <w:rFonts w:eastAsiaTheme="minorHAnsi"/>
        </w:rPr>
        <w:t xml:space="preserve"> if possible</w:t>
      </w:r>
      <w:r w:rsidR="007E0AED" w:rsidRPr="00265C0E">
        <w:rPr>
          <w:rFonts w:eastAsiaTheme="minorHAnsi"/>
        </w:rPr>
        <w:t>,</w:t>
      </w:r>
      <w:r w:rsidR="00FC53B1" w:rsidRPr="00265C0E">
        <w:rPr>
          <w:rFonts w:eastAsiaTheme="minorHAnsi"/>
        </w:rPr>
        <w:t xml:space="preserve"> underpin the work of the informal working group to revise the current classification criteria. </w:t>
      </w:r>
      <w:r w:rsidR="00CE7973">
        <w:rPr>
          <w:rFonts w:eastAsiaTheme="minorHAnsi"/>
        </w:rPr>
        <w:t>GTTC informs on their progress at each meeting of the informal working group. T</w:t>
      </w:r>
      <w:r w:rsidR="00FC53B1" w:rsidRPr="00265C0E">
        <w:rPr>
          <w:rFonts w:eastAsiaTheme="minorHAnsi"/>
        </w:rPr>
        <w:t xml:space="preserve">he results of the study </w:t>
      </w:r>
      <w:r w:rsidR="00677693">
        <w:rPr>
          <w:rFonts w:eastAsiaTheme="minorHAnsi"/>
        </w:rPr>
        <w:t xml:space="preserve">are </w:t>
      </w:r>
      <w:r w:rsidR="00FC53B1" w:rsidRPr="00265C0E">
        <w:rPr>
          <w:rFonts w:eastAsiaTheme="minorHAnsi"/>
        </w:rPr>
        <w:t xml:space="preserve">expected </w:t>
      </w:r>
      <w:r w:rsidR="005E6D62">
        <w:rPr>
          <w:rFonts w:eastAsiaTheme="minorHAnsi"/>
        </w:rPr>
        <w:t>in 2023</w:t>
      </w:r>
      <w:r w:rsidR="00FC53B1" w:rsidRPr="00265C0E">
        <w:rPr>
          <w:rFonts w:eastAsiaTheme="minorHAnsi"/>
        </w:rPr>
        <w:t>.</w:t>
      </w:r>
    </w:p>
    <w:p w14:paraId="2ACC8AA3" w14:textId="03EF4E9C" w:rsidR="00473E1E" w:rsidRPr="00473E1E" w:rsidRDefault="00473E1E" w:rsidP="00473E1E">
      <w:pPr>
        <w:spacing w:before="240"/>
        <w:jc w:val="center"/>
        <w:rPr>
          <w:rFonts w:eastAsiaTheme="minorHAnsi"/>
          <w:u w:val="single"/>
        </w:rPr>
      </w:pPr>
      <w:r>
        <w:rPr>
          <w:rFonts w:eastAsiaTheme="minorHAnsi"/>
          <w:u w:val="single"/>
        </w:rPr>
        <w:tab/>
      </w:r>
      <w:r>
        <w:rPr>
          <w:rFonts w:eastAsiaTheme="minorHAnsi"/>
          <w:u w:val="single"/>
        </w:rPr>
        <w:tab/>
      </w:r>
      <w:r>
        <w:rPr>
          <w:rFonts w:eastAsiaTheme="minorHAnsi"/>
          <w:u w:val="single"/>
        </w:rPr>
        <w:tab/>
      </w:r>
    </w:p>
    <w:sectPr w:rsidR="00473E1E" w:rsidRPr="00473E1E" w:rsidSect="00D64011">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0634" w14:textId="77777777" w:rsidR="004D2BFC" w:rsidRDefault="004D2BFC" w:rsidP="00164115">
      <w:pPr>
        <w:spacing w:line="240" w:lineRule="auto"/>
      </w:pPr>
      <w:r>
        <w:separator/>
      </w:r>
    </w:p>
  </w:endnote>
  <w:endnote w:type="continuationSeparator" w:id="0">
    <w:p w14:paraId="4CCA218C" w14:textId="77777777" w:rsidR="004D2BFC" w:rsidRDefault="004D2BFC" w:rsidP="00164115">
      <w:pPr>
        <w:spacing w:line="240" w:lineRule="auto"/>
      </w:pPr>
      <w:r>
        <w:continuationSeparator/>
      </w:r>
    </w:p>
  </w:endnote>
  <w:endnote w:type="continuationNotice" w:id="1">
    <w:p w14:paraId="22FA0F2C" w14:textId="77777777" w:rsidR="004D2BFC" w:rsidRDefault="004D2B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61FD087D" w:rsidR="006A7757" w:rsidRPr="0099001C" w:rsidRDefault="00FB3B54" w:rsidP="00DA5B57">
    <w:pPr>
      <w:pStyle w:val="Footer"/>
      <w:tabs>
        <w:tab w:val="right" w:pos="9638"/>
      </w:tabs>
      <w:jc w:val="both"/>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E6277">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180F" w14:textId="77777777" w:rsidR="004D2BFC" w:rsidRDefault="004D2BFC" w:rsidP="00164115">
      <w:pPr>
        <w:spacing w:line="240" w:lineRule="auto"/>
      </w:pPr>
      <w:r>
        <w:separator/>
      </w:r>
    </w:p>
  </w:footnote>
  <w:footnote w:type="continuationSeparator" w:id="0">
    <w:p w14:paraId="0CF689DD" w14:textId="77777777" w:rsidR="004D2BFC" w:rsidRDefault="004D2BFC" w:rsidP="00164115">
      <w:pPr>
        <w:spacing w:line="240" w:lineRule="auto"/>
      </w:pPr>
      <w:r>
        <w:continuationSeparator/>
      </w:r>
    </w:p>
  </w:footnote>
  <w:footnote w:type="continuationNotice" w:id="1">
    <w:p w14:paraId="2EB3F236" w14:textId="77777777" w:rsidR="004D2BFC" w:rsidRDefault="004D2B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77777777" w:rsidR="006A7757" w:rsidRPr="0099001C" w:rsidRDefault="00FB3B54" w:rsidP="00366CA7">
    <w:pPr>
      <w:pStyle w:val="Header"/>
    </w:pPr>
    <w:r w:rsidRPr="00774B07">
      <w:t>UN/SCEGHS/31/INF.13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6AA60BDB" w:rsidR="006A7757" w:rsidRPr="0099001C" w:rsidRDefault="00FB3B54" w:rsidP="003D3707">
    <w:pPr>
      <w:pStyle w:val="Header"/>
    </w:pPr>
    <w:r>
      <w:t>UN/SCEGHS/</w:t>
    </w:r>
    <w:r w:rsidR="00677693">
      <w:t>4</w:t>
    </w:r>
    <w:r w:rsidR="00F46F29">
      <w:t>3</w:t>
    </w:r>
    <w:r>
      <w:t>/INF</w:t>
    </w:r>
    <w:r w:rsidR="00A64E59">
      <w:t>.</w:t>
    </w:r>
    <w:r w:rsidR="00F46F29">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8A"/>
    <w:multiLevelType w:val="hybridMultilevel"/>
    <w:tmpl w:val="F34C63BA"/>
    <w:lvl w:ilvl="0" w:tplc="4ACC0BF4">
      <w:start w:val="1"/>
      <w:numFmt w:val="lowerLetter"/>
      <w:lvlText w:val="(%1)"/>
      <w:lvlJc w:val="left"/>
      <w:pPr>
        <w:ind w:left="2474" w:hanging="461"/>
      </w:pPr>
      <w:rPr>
        <w:rFonts w:ascii="Times New Roman" w:eastAsia="Times New Roman" w:hAnsi="Times New Roman" w:cs="Times New Roman" w:hint="default"/>
        <w:spacing w:val="-1"/>
        <w:w w:val="100"/>
        <w:sz w:val="20"/>
        <w:szCs w:val="20"/>
      </w:rPr>
    </w:lvl>
    <w:lvl w:ilvl="1" w:tplc="0310D3F8">
      <w:numFmt w:val="bullet"/>
      <w:lvlText w:val="•"/>
      <w:lvlJc w:val="left"/>
      <w:pPr>
        <w:ind w:left="3236" w:hanging="461"/>
      </w:pPr>
      <w:rPr>
        <w:rFonts w:hint="default"/>
      </w:rPr>
    </w:lvl>
    <w:lvl w:ilvl="2" w:tplc="8FE6D862">
      <w:numFmt w:val="bullet"/>
      <w:lvlText w:val="•"/>
      <w:lvlJc w:val="left"/>
      <w:pPr>
        <w:ind w:left="3992" w:hanging="461"/>
      </w:pPr>
      <w:rPr>
        <w:rFonts w:hint="default"/>
      </w:rPr>
    </w:lvl>
    <w:lvl w:ilvl="3" w:tplc="A5A89E84">
      <w:numFmt w:val="bullet"/>
      <w:lvlText w:val="•"/>
      <w:lvlJc w:val="left"/>
      <w:pPr>
        <w:ind w:left="4749" w:hanging="461"/>
      </w:pPr>
      <w:rPr>
        <w:rFonts w:hint="default"/>
      </w:rPr>
    </w:lvl>
    <w:lvl w:ilvl="4" w:tplc="95C8B2EE">
      <w:numFmt w:val="bullet"/>
      <w:lvlText w:val="•"/>
      <w:lvlJc w:val="left"/>
      <w:pPr>
        <w:ind w:left="5505" w:hanging="461"/>
      </w:pPr>
      <w:rPr>
        <w:rFonts w:hint="default"/>
      </w:rPr>
    </w:lvl>
    <w:lvl w:ilvl="5" w:tplc="DADA9B3E">
      <w:numFmt w:val="bullet"/>
      <w:lvlText w:val="•"/>
      <w:lvlJc w:val="left"/>
      <w:pPr>
        <w:ind w:left="6262" w:hanging="461"/>
      </w:pPr>
      <w:rPr>
        <w:rFonts w:hint="default"/>
      </w:rPr>
    </w:lvl>
    <w:lvl w:ilvl="6" w:tplc="12D0166A">
      <w:numFmt w:val="bullet"/>
      <w:lvlText w:val="•"/>
      <w:lvlJc w:val="left"/>
      <w:pPr>
        <w:ind w:left="7018" w:hanging="461"/>
      </w:pPr>
      <w:rPr>
        <w:rFonts w:hint="default"/>
      </w:rPr>
    </w:lvl>
    <w:lvl w:ilvl="7" w:tplc="1DA0DA7C">
      <w:numFmt w:val="bullet"/>
      <w:lvlText w:val="•"/>
      <w:lvlJc w:val="left"/>
      <w:pPr>
        <w:ind w:left="7775" w:hanging="461"/>
      </w:pPr>
      <w:rPr>
        <w:rFonts w:hint="default"/>
      </w:rPr>
    </w:lvl>
    <w:lvl w:ilvl="8" w:tplc="7D545F38">
      <w:numFmt w:val="bullet"/>
      <w:lvlText w:val="•"/>
      <w:lvlJc w:val="left"/>
      <w:pPr>
        <w:ind w:left="8531" w:hanging="461"/>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5"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C073A38"/>
    <w:multiLevelType w:val="hybridMultilevel"/>
    <w:tmpl w:val="FBD49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3"/>
  </w:num>
  <w:num w:numId="8">
    <w:abstractNumId w:val="4"/>
  </w:num>
  <w:num w:numId="9">
    <w:abstractNumId w:val="6"/>
  </w:num>
  <w:num w:numId="10">
    <w:abstractNumId w:val="3"/>
  </w:num>
  <w:num w:numId="11">
    <w:abstractNumId w:val="8"/>
  </w:num>
  <w:num w:numId="12">
    <w:abstractNumId w:val="2"/>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oNotTrackFormatting/>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5"/>
    <w:rsid w:val="000047A9"/>
    <w:rsid w:val="00010C82"/>
    <w:rsid w:val="0001631B"/>
    <w:rsid w:val="00017645"/>
    <w:rsid w:val="000241D7"/>
    <w:rsid w:val="00026C33"/>
    <w:rsid w:val="000273AA"/>
    <w:rsid w:val="00051298"/>
    <w:rsid w:val="00053E14"/>
    <w:rsid w:val="00060108"/>
    <w:rsid w:val="00067A00"/>
    <w:rsid w:val="00074029"/>
    <w:rsid w:val="00076982"/>
    <w:rsid w:val="00094A51"/>
    <w:rsid w:val="000957E6"/>
    <w:rsid w:val="00097A4C"/>
    <w:rsid w:val="000A6B5A"/>
    <w:rsid w:val="000B20E0"/>
    <w:rsid w:val="000D4CFE"/>
    <w:rsid w:val="000D55C4"/>
    <w:rsid w:val="000D62D6"/>
    <w:rsid w:val="000E3AE4"/>
    <w:rsid w:val="000E5D24"/>
    <w:rsid w:val="000E6559"/>
    <w:rsid w:val="0010159D"/>
    <w:rsid w:val="00101C2A"/>
    <w:rsid w:val="001216AD"/>
    <w:rsid w:val="001238FC"/>
    <w:rsid w:val="00137D32"/>
    <w:rsid w:val="001460DF"/>
    <w:rsid w:val="00152965"/>
    <w:rsid w:val="00162FFA"/>
    <w:rsid w:val="00164115"/>
    <w:rsid w:val="00173B5A"/>
    <w:rsid w:val="00186B57"/>
    <w:rsid w:val="001A3729"/>
    <w:rsid w:val="001A4B5C"/>
    <w:rsid w:val="001B33BB"/>
    <w:rsid w:val="001E213F"/>
    <w:rsid w:val="001E46D7"/>
    <w:rsid w:val="001F647E"/>
    <w:rsid w:val="00202311"/>
    <w:rsid w:val="00210226"/>
    <w:rsid w:val="00213675"/>
    <w:rsid w:val="00221F65"/>
    <w:rsid w:val="002336CA"/>
    <w:rsid w:val="00240FCE"/>
    <w:rsid w:val="00244420"/>
    <w:rsid w:val="00246835"/>
    <w:rsid w:val="0024696D"/>
    <w:rsid w:val="00252D72"/>
    <w:rsid w:val="0026031B"/>
    <w:rsid w:val="00265C0E"/>
    <w:rsid w:val="00266138"/>
    <w:rsid w:val="00273532"/>
    <w:rsid w:val="00285BE7"/>
    <w:rsid w:val="00291834"/>
    <w:rsid w:val="002C3720"/>
    <w:rsid w:val="002C572D"/>
    <w:rsid w:val="002D4E22"/>
    <w:rsid w:val="002D6556"/>
    <w:rsid w:val="002E6104"/>
    <w:rsid w:val="002F0835"/>
    <w:rsid w:val="0030227B"/>
    <w:rsid w:val="003048F7"/>
    <w:rsid w:val="00325A9B"/>
    <w:rsid w:val="0033359F"/>
    <w:rsid w:val="00335C61"/>
    <w:rsid w:val="003560F6"/>
    <w:rsid w:val="00371197"/>
    <w:rsid w:val="00377C69"/>
    <w:rsid w:val="00377F4E"/>
    <w:rsid w:val="0039733F"/>
    <w:rsid w:val="003A18F9"/>
    <w:rsid w:val="003A5195"/>
    <w:rsid w:val="003B0416"/>
    <w:rsid w:val="003C10AE"/>
    <w:rsid w:val="003C35A9"/>
    <w:rsid w:val="003C6589"/>
    <w:rsid w:val="003D3707"/>
    <w:rsid w:val="003E4637"/>
    <w:rsid w:val="003F6FAB"/>
    <w:rsid w:val="00422995"/>
    <w:rsid w:val="004255A7"/>
    <w:rsid w:val="00430796"/>
    <w:rsid w:val="00432CBB"/>
    <w:rsid w:val="00452B5D"/>
    <w:rsid w:val="00453CF7"/>
    <w:rsid w:val="00453E49"/>
    <w:rsid w:val="0047113E"/>
    <w:rsid w:val="00471DD0"/>
    <w:rsid w:val="00473E1E"/>
    <w:rsid w:val="00477802"/>
    <w:rsid w:val="004837DB"/>
    <w:rsid w:val="004838B9"/>
    <w:rsid w:val="004C6359"/>
    <w:rsid w:val="004D115D"/>
    <w:rsid w:val="004D2BFC"/>
    <w:rsid w:val="00516D65"/>
    <w:rsid w:val="0052135F"/>
    <w:rsid w:val="00525972"/>
    <w:rsid w:val="005340EA"/>
    <w:rsid w:val="005341D1"/>
    <w:rsid w:val="00540D80"/>
    <w:rsid w:val="00552785"/>
    <w:rsid w:val="005663BA"/>
    <w:rsid w:val="00570F20"/>
    <w:rsid w:val="00575CE1"/>
    <w:rsid w:val="0057627A"/>
    <w:rsid w:val="00577B06"/>
    <w:rsid w:val="00586D03"/>
    <w:rsid w:val="00590111"/>
    <w:rsid w:val="005A3E43"/>
    <w:rsid w:val="005B4DBE"/>
    <w:rsid w:val="005B5F5B"/>
    <w:rsid w:val="005C0411"/>
    <w:rsid w:val="005C2405"/>
    <w:rsid w:val="005C2CE9"/>
    <w:rsid w:val="005C600E"/>
    <w:rsid w:val="005C676A"/>
    <w:rsid w:val="005C6C1F"/>
    <w:rsid w:val="005D383A"/>
    <w:rsid w:val="005E4BC8"/>
    <w:rsid w:val="005E4C08"/>
    <w:rsid w:val="005E6D62"/>
    <w:rsid w:val="005F0ADF"/>
    <w:rsid w:val="005F47BB"/>
    <w:rsid w:val="00603A95"/>
    <w:rsid w:val="00631F7C"/>
    <w:rsid w:val="00642FA8"/>
    <w:rsid w:val="00643AF3"/>
    <w:rsid w:val="00647A07"/>
    <w:rsid w:val="00650256"/>
    <w:rsid w:val="00650E7B"/>
    <w:rsid w:val="00665AE0"/>
    <w:rsid w:val="0067507C"/>
    <w:rsid w:val="00677693"/>
    <w:rsid w:val="00690432"/>
    <w:rsid w:val="00690685"/>
    <w:rsid w:val="006937A2"/>
    <w:rsid w:val="00695656"/>
    <w:rsid w:val="006A1118"/>
    <w:rsid w:val="006B7C48"/>
    <w:rsid w:val="006C35C3"/>
    <w:rsid w:val="006D4826"/>
    <w:rsid w:val="006E6C53"/>
    <w:rsid w:val="006F0819"/>
    <w:rsid w:val="006F1207"/>
    <w:rsid w:val="006F796F"/>
    <w:rsid w:val="00700115"/>
    <w:rsid w:val="0071001B"/>
    <w:rsid w:val="00712F9E"/>
    <w:rsid w:val="00714EB2"/>
    <w:rsid w:val="00720043"/>
    <w:rsid w:val="00731BB1"/>
    <w:rsid w:val="00746E3E"/>
    <w:rsid w:val="0075369B"/>
    <w:rsid w:val="007548CC"/>
    <w:rsid w:val="0075525E"/>
    <w:rsid w:val="0078015A"/>
    <w:rsid w:val="00791FB9"/>
    <w:rsid w:val="007936F3"/>
    <w:rsid w:val="0079650F"/>
    <w:rsid w:val="007A4C5E"/>
    <w:rsid w:val="007B3E78"/>
    <w:rsid w:val="007C2E51"/>
    <w:rsid w:val="007D5F27"/>
    <w:rsid w:val="007E0AED"/>
    <w:rsid w:val="007E2252"/>
    <w:rsid w:val="007E5F66"/>
    <w:rsid w:val="007E7D49"/>
    <w:rsid w:val="00804912"/>
    <w:rsid w:val="008057F1"/>
    <w:rsid w:val="00836280"/>
    <w:rsid w:val="008440CC"/>
    <w:rsid w:val="0084448F"/>
    <w:rsid w:val="008523E9"/>
    <w:rsid w:val="008703CA"/>
    <w:rsid w:val="008904FF"/>
    <w:rsid w:val="008A28F8"/>
    <w:rsid w:val="008A2F02"/>
    <w:rsid w:val="008A2FA5"/>
    <w:rsid w:val="008B2F28"/>
    <w:rsid w:val="008B5CA6"/>
    <w:rsid w:val="008C0CA5"/>
    <w:rsid w:val="008C727E"/>
    <w:rsid w:val="008C7CE3"/>
    <w:rsid w:val="008D66A4"/>
    <w:rsid w:val="009134E3"/>
    <w:rsid w:val="009216A2"/>
    <w:rsid w:val="00922DBB"/>
    <w:rsid w:val="00924FA7"/>
    <w:rsid w:val="00934FC4"/>
    <w:rsid w:val="00944B48"/>
    <w:rsid w:val="009523C4"/>
    <w:rsid w:val="00955AA1"/>
    <w:rsid w:val="00960684"/>
    <w:rsid w:val="009705A6"/>
    <w:rsid w:val="00975131"/>
    <w:rsid w:val="009808E5"/>
    <w:rsid w:val="00986D59"/>
    <w:rsid w:val="00994A56"/>
    <w:rsid w:val="009B059B"/>
    <w:rsid w:val="009B21CE"/>
    <w:rsid w:val="009C4428"/>
    <w:rsid w:val="009C5BE9"/>
    <w:rsid w:val="009C72DB"/>
    <w:rsid w:val="009D2F1E"/>
    <w:rsid w:val="009E1573"/>
    <w:rsid w:val="009F75C6"/>
    <w:rsid w:val="00A00DE2"/>
    <w:rsid w:val="00A04628"/>
    <w:rsid w:val="00A104FE"/>
    <w:rsid w:val="00A11B2F"/>
    <w:rsid w:val="00A13D20"/>
    <w:rsid w:val="00A244FB"/>
    <w:rsid w:val="00A2562F"/>
    <w:rsid w:val="00A26F89"/>
    <w:rsid w:val="00A317FB"/>
    <w:rsid w:val="00A33995"/>
    <w:rsid w:val="00A37290"/>
    <w:rsid w:val="00A402D3"/>
    <w:rsid w:val="00A42268"/>
    <w:rsid w:val="00A46358"/>
    <w:rsid w:val="00A579E8"/>
    <w:rsid w:val="00A64E59"/>
    <w:rsid w:val="00A77DC3"/>
    <w:rsid w:val="00A94A0F"/>
    <w:rsid w:val="00AA5CA6"/>
    <w:rsid w:val="00AB194D"/>
    <w:rsid w:val="00AB5800"/>
    <w:rsid w:val="00AC2B41"/>
    <w:rsid w:val="00AC4819"/>
    <w:rsid w:val="00AC70C0"/>
    <w:rsid w:val="00AE28A5"/>
    <w:rsid w:val="00AE4666"/>
    <w:rsid w:val="00AF6467"/>
    <w:rsid w:val="00B104D9"/>
    <w:rsid w:val="00B11660"/>
    <w:rsid w:val="00B15A36"/>
    <w:rsid w:val="00B17791"/>
    <w:rsid w:val="00B2584E"/>
    <w:rsid w:val="00B36D9A"/>
    <w:rsid w:val="00B37916"/>
    <w:rsid w:val="00B54FD9"/>
    <w:rsid w:val="00B5694B"/>
    <w:rsid w:val="00B62BC6"/>
    <w:rsid w:val="00B6302E"/>
    <w:rsid w:val="00B63EF3"/>
    <w:rsid w:val="00B64C6E"/>
    <w:rsid w:val="00B651BB"/>
    <w:rsid w:val="00B71E6F"/>
    <w:rsid w:val="00B801B0"/>
    <w:rsid w:val="00B82285"/>
    <w:rsid w:val="00B82EAD"/>
    <w:rsid w:val="00B85E6F"/>
    <w:rsid w:val="00BA3D77"/>
    <w:rsid w:val="00BB01E4"/>
    <w:rsid w:val="00BC10EC"/>
    <w:rsid w:val="00BD270C"/>
    <w:rsid w:val="00BE329F"/>
    <w:rsid w:val="00BE68D4"/>
    <w:rsid w:val="00BF261C"/>
    <w:rsid w:val="00BF6C5F"/>
    <w:rsid w:val="00BF7328"/>
    <w:rsid w:val="00C0487F"/>
    <w:rsid w:val="00C12195"/>
    <w:rsid w:val="00C17B49"/>
    <w:rsid w:val="00C2446B"/>
    <w:rsid w:val="00C37279"/>
    <w:rsid w:val="00C7135D"/>
    <w:rsid w:val="00C7259D"/>
    <w:rsid w:val="00C7459B"/>
    <w:rsid w:val="00C74E96"/>
    <w:rsid w:val="00C81840"/>
    <w:rsid w:val="00C8264B"/>
    <w:rsid w:val="00C87F32"/>
    <w:rsid w:val="00C90326"/>
    <w:rsid w:val="00C9223E"/>
    <w:rsid w:val="00C96CF5"/>
    <w:rsid w:val="00CA1BEB"/>
    <w:rsid w:val="00CA3B86"/>
    <w:rsid w:val="00CA50D4"/>
    <w:rsid w:val="00CD3626"/>
    <w:rsid w:val="00CD45E7"/>
    <w:rsid w:val="00CE7973"/>
    <w:rsid w:val="00D053AD"/>
    <w:rsid w:val="00D054C1"/>
    <w:rsid w:val="00D16F6F"/>
    <w:rsid w:val="00D27368"/>
    <w:rsid w:val="00D34AAC"/>
    <w:rsid w:val="00D5211C"/>
    <w:rsid w:val="00D5259E"/>
    <w:rsid w:val="00D526AE"/>
    <w:rsid w:val="00D64011"/>
    <w:rsid w:val="00D6528B"/>
    <w:rsid w:val="00D662E4"/>
    <w:rsid w:val="00D957A6"/>
    <w:rsid w:val="00DA5B57"/>
    <w:rsid w:val="00DB3C76"/>
    <w:rsid w:val="00DC27A3"/>
    <w:rsid w:val="00DD07F6"/>
    <w:rsid w:val="00DE6277"/>
    <w:rsid w:val="00E40B2C"/>
    <w:rsid w:val="00E46FDA"/>
    <w:rsid w:val="00E475F4"/>
    <w:rsid w:val="00E559EB"/>
    <w:rsid w:val="00E56F9E"/>
    <w:rsid w:val="00E60768"/>
    <w:rsid w:val="00E73A91"/>
    <w:rsid w:val="00E75541"/>
    <w:rsid w:val="00E83DCB"/>
    <w:rsid w:val="00E852AE"/>
    <w:rsid w:val="00E86488"/>
    <w:rsid w:val="00E91F05"/>
    <w:rsid w:val="00E9531C"/>
    <w:rsid w:val="00E95802"/>
    <w:rsid w:val="00EA7017"/>
    <w:rsid w:val="00EB4471"/>
    <w:rsid w:val="00EC4C12"/>
    <w:rsid w:val="00F1685D"/>
    <w:rsid w:val="00F31A5F"/>
    <w:rsid w:val="00F372EC"/>
    <w:rsid w:val="00F40245"/>
    <w:rsid w:val="00F46F29"/>
    <w:rsid w:val="00F708E9"/>
    <w:rsid w:val="00F75FFC"/>
    <w:rsid w:val="00F814A0"/>
    <w:rsid w:val="00FA5492"/>
    <w:rsid w:val="00FB3B54"/>
    <w:rsid w:val="00FC53B1"/>
    <w:rsid w:val="00FC6EEB"/>
    <w:rsid w:val="00FD63D6"/>
    <w:rsid w:val="00FD7CB8"/>
    <w:rsid w:val="00FF0630"/>
    <w:rsid w:val="00FF22E3"/>
    <w:rsid w:val="00FF36D5"/>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paragraph" w:styleId="Heading7">
    <w:name w:val="heading 7"/>
    <w:basedOn w:val="Normal"/>
    <w:link w:val="Heading7Char"/>
    <w:uiPriority w:val="1"/>
    <w:qFormat/>
    <w:rsid w:val="006F0819"/>
    <w:pPr>
      <w:widowControl w:val="0"/>
      <w:suppressAutoHyphens w:val="0"/>
      <w:autoSpaceDE w:val="0"/>
      <w:autoSpaceDN w:val="0"/>
      <w:spacing w:line="240" w:lineRule="auto"/>
      <w:ind w:left="1811"/>
      <w:outlineLvl w:val="6"/>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customStyle="1" w:styleId="Heading7Char">
    <w:name w:val="Heading 7 Char"/>
    <w:basedOn w:val="DefaultParagraphFont"/>
    <w:link w:val="Heading7"/>
    <w:uiPriority w:val="1"/>
    <w:rsid w:val="006F0819"/>
    <w:rPr>
      <w:rFonts w:ascii="Times New Roman" w:eastAsia="Times New Roman" w:hAnsi="Times New Roman" w:cs="Times New Roman"/>
      <w:b/>
      <w:bCs/>
      <w:sz w:val="20"/>
      <w:szCs w:val="20"/>
      <w:lang w:eastAsia="en-US"/>
    </w:rPr>
  </w:style>
  <w:style w:type="paragraph" w:styleId="Revision">
    <w:name w:val="Revision"/>
    <w:hidden/>
    <w:uiPriority w:val="99"/>
    <w:semiHidden/>
    <w:rsid w:val="0033359F"/>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2.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B962456-22BA-42E7-BD85-ABC3F033493C}">
  <ds:schemaRefs>
    <ds:schemaRef ds:uri="http://schemas.openxmlformats.org/officeDocument/2006/bibliography"/>
  </ds:schemaRefs>
</ds:datastoreItem>
</file>

<file path=customXml/itemProps4.xml><?xml version="1.0" encoding="utf-8"?>
<ds:datastoreItem xmlns:ds="http://schemas.openxmlformats.org/officeDocument/2006/customXml" ds:itemID="{DA615035-4FAA-413F-8C8C-D247C3E8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G Negash</dc:creator>
  <cp:lastModifiedBy>Rosa Garcia Couto</cp:lastModifiedBy>
  <cp:revision>11</cp:revision>
  <cp:lastPrinted>2020-11-13T08:56:00Z</cp:lastPrinted>
  <dcterms:created xsi:type="dcterms:W3CDTF">2022-11-30T09:28:00Z</dcterms:created>
  <dcterms:modified xsi:type="dcterms:W3CDTF">2022-11-30T12:22:00Z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