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237F0F" w14:paraId="733BC40E" w14:textId="77777777" w:rsidTr="00FA63B2">
        <w:trPr>
          <w:cantSplit/>
          <w:trHeight w:hRule="exact" w:val="851"/>
        </w:trPr>
        <w:tc>
          <w:tcPr>
            <w:tcW w:w="9072" w:type="dxa"/>
            <w:tcBorders>
              <w:bottom w:val="single" w:sz="4" w:space="0" w:color="auto"/>
            </w:tcBorders>
            <w:vAlign w:val="bottom"/>
          </w:tcPr>
          <w:p w14:paraId="30457239" w14:textId="2C4C2692" w:rsidR="00717408" w:rsidRPr="00237F0F" w:rsidRDefault="00FA63B2" w:rsidP="00D660CB">
            <w:pPr>
              <w:jc w:val="right"/>
              <w:rPr>
                <w:b/>
                <w:sz w:val="40"/>
                <w:szCs w:val="40"/>
              </w:rPr>
            </w:pPr>
            <w:r w:rsidRPr="00237F0F">
              <w:rPr>
                <w:b/>
                <w:sz w:val="40"/>
                <w:szCs w:val="40"/>
              </w:rPr>
              <w:t>UN/SCEGHS/</w:t>
            </w:r>
            <w:r w:rsidR="00260117" w:rsidRPr="00237F0F">
              <w:rPr>
                <w:b/>
                <w:sz w:val="40"/>
                <w:szCs w:val="40"/>
              </w:rPr>
              <w:t>4</w:t>
            </w:r>
            <w:r w:rsidR="00647244" w:rsidRPr="00237F0F">
              <w:rPr>
                <w:b/>
                <w:sz w:val="40"/>
                <w:szCs w:val="40"/>
              </w:rPr>
              <w:t>3</w:t>
            </w:r>
            <w:r w:rsidRPr="00237F0F">
              <w:rPr>
                <w:b/>
                <w:sz w:val="40"/>
                <w:szCs w:val="40"/>
              </w:rPr>
              <w:t>/INF.</w:t>
            </w:r>
            <w:r w:rsidR="00237F0F" w:rsidRPr="00237F0F">
              <w:rPr>
                <w:b/>
                <w:sz w:val="40"/>
                <w:szCs w:val="40"/>
              </w:rPr>
              <w:t>16</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40E74A88" w:rsidR="00717408" w:rsidRPr="00951EBC" w:rsidRDefault="00FA63B2" w:rsidP="004108A7">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237F0F" w:rsidRPr="00237F0F">
              <w:rPr>
                <w:b/>
                <w:bCs/>
              </w:rPr>
              <w:t xml:space="preserve">21 November </w:t>
            </w:r>
            <w:r w:rsidR="009B11B2" w:rsidRPr="00237F0F">
              <w:rPr>
                <w:b/>
                <w:bCs/>
              </w:rPr>
              <w:t>202</w:t>
            </w:r>
            <w:r w:rsidR="004108A7" w:rsidRPr="00237F0F">
              <w:rPr>
                <w:b/>
                <w:bCs/>
              </w:rPr>
              <w:t>2</w:t>
            </w:r>
          </w:p>
          <w:p w14:paraId="0333227A" w14:textId="77777777" w:rsidR="00101999" w:rsidRDefault="00101999" w:rsidP="00101999">
            <w:pPr>
              <w:spacing w:before="120"/>
              <w:rPr>
                <w:b/>
              </w:rPr>
            </w:pPr>
            <w:r>
              <w:rPr>
                <w:b/>
              </w:rPr>
              <w:t>Forty-third session</w:t>
            </w:r>
          </w:p>
          <w:p w14:paraId="5BBE5CB0" w14:textId="77777777" w:rsidR="00101999" w:rsidRPr="00237F0F" w:rsidRDefault="00101999" w:rsidP="00101999">
            <w:r w:rsidRPr="00237F0F">
              <w:t xml:space="preserve">Geneva, 7-9 December 2022 </w:t>
            </w:r>
          </w:p>
          <w:p w14:paraId="56608788" w14:textId="0DDB7DA9" w:rsidR="003D74EA" w:rsidRPr="00237F0F" w:rsidRDefault="003D74EA" w:rsidP="003D74EA">
            <w:r w:rsidRPr="00237F0F">
              <w:t xml:space="preserve">Item </w:t>
            </w:r>
            <w:r w:rsidR="00B50EE5" w:rsidRPr="00237F0F">
              <w:t>7</w:t>
            </w:r>
            <w:r w:rsidRPr="00237F0F">
              <w:t xml:space="preserve"> of the provisional agenda</w:t>
            </w:r>
          </w:p>
          <w:p w14:paraId="7F67E7DF" w14:textId="3FCAD341" w:rsidR="00717408" w:rsidRPr="00237F0F" w:rsidRDefault="00237F0F" w:rsidP="003D74EA">
            <w:pPr>
              <w:spacing w:line="240" w:lineRule="exact"/>
              <w:rPr>
                <w:b/>
                <w:bCs/>
              </w:rPr>
            </w:pPr>
            <w:r w:rsidRPr="00237F0F">
              <w:rPr>
                <w:b/>
                <w:bCs/>
              </w:rPr>
              <w:t>Programme of work for the biennium 2023</w:t>
            </w:r>
            <w:r w:rsidRPr="00237F0F">
              <w:rPr>
                <w:b/>
                <w:bCs/>
              </w:rPr>
              <w:softHyphen/>
              <w:t>-2024</w:t>
            </w:r>
          </w:p>
        </w:tc>
      </w:tr>
    </w:tbl>
    <w:p w14:paraId="19F17614" w14:textId="1A217449" w:rsidR="0036256E" w:rsidRPr="00F32E20" w:rsidRDefault="00760F29" w:rsidP="0036256E">
      <w:pPr>
        <w:pStyle w:val="HChG"/>
        <w:jc w:val="both"/>
        <w:rPr>
          <w:rFonts w:eastAsia="MS Mincho"/>
          <w:lang w:val="en-US" w:eastAsia="ja-JP"/>
        </w:rPr>
      </w:pPr>
      <w:r w:rsidRPr="009E7ABD">
        <w:rPr>
          <w:rFonts w:eastAsia="MS Mincho"/>
          <w:lang w:val="en-US" w:eastAsia="ja-JP"/>
        </w:rPr>
        <w:tab/>
      </w:r>
      <w:r w:rsidR="00E97BCE" w:rsidRPr="009103F3">
        <w:rPr>
          <w:rFonts w:eastAsia="MS Mincho"/>
          <w:lang w:eastAsia="ja-JP"/>
        </w:rPr>
        <w:tab/>
      </w:r>
      <w:r w:rsidR="0036256E">
        <w:rPr>
          <w:rFonts w:eastAsia="MS Mincho"/>
          <w:lang w:val="en-US" w:eastAsia="ja-JP"/>
        </w:rPr>
        <w:t xml:space="preserve">Preparation of the work programme for the 2023-2024 </w:t>
      </w:r>
      <w:r w:rsidR="0036256E" w:rsidRPr="00176308">
        <w:rPr>
          <w:rFonts w:eastAsia="MS Mincho"/>
        </w:rPr>
        <w:t>biennium</w:t>
      </w:r>
      <w:r w:rsidR="0036256E">
        <w:rPr>
          <w:rFonts w:eastAsia="MS Mincho"/>
        </w:rPr>
        <w:t>:</w:t>
      </w:r>
      <w:r w:rsidR="0036256E">
        <w:rPr>
          <w:rFonts w:eastAsia="MS Mincho"/>
          <w:lang w:val="en-US" w:eastAsia="ja-JP"/>
        </w:rPr>
        <w:t xml:space="preserve"> Continuation of work on non-animal testing</w:t>
      </w:r>
    </w:p>
    <w:p w14:paraId="5F4B9B3B" w14:textId="38C0A95A" w:rsidR="0036256E" w:rsidRPr="00F32E20" w:rsidRDefault="0036256E" w:rsidP="0036256E">
      <w:pPr>
        <w:pStyle w:val="H1G"/>
        <w:jc w:val="both"/>
      </w:pPr>
      <w:r w:rsidRPr="00F32E20">
        <w:tab/>
      </w:r>
      <w:r w:rsidRPr="00F32E20">
        <w:tab/>
      </w:r>
      <w:r w:rsidRPr="00030C37">
        <w:t xml:space="preserve">Transmitted by the </w:t>
      </w:r>
      <w:r>
        <w:t>experts from the Netherlands and the United Kingdom</w:t>
      </w:r>
      <w:r w:rsidRPr="00030C37">
        <w:t xml:space="preserve"> on behalf of the informal </w:t>
      </w:r>
      <w:r>
        <w:t>working</w:t>
      </w:r>
      <w:r w:rsidRPr="00030C37">
        <w:t xml:space="preserve"> group</w:t>
      </w:r>
      <w:r>
        <w:t xml:space="preserve"> on </w:t>
      </w:r>
      <w:r w:rsidRPr="003E3CD4">
        <w:t>the use of non-animal test methods for classification of health hazards</w:t>
      </w:r>
    </w:p>
    <w:p w14:paraId="60D67392" w14:textId="069F69AD" w:rsidR="00D72782" w:rsidRPr="00C3452E" w:rsidRDefault="00512E3F" w:rsidP="00D72782">
      <w:pPr>
        <w:pStyle w:val="HChG"/>
      </w:pPr>
      <w:r w:rsidRPr="00CB7CF2">
        <w:tab/>
      </w:r>
      <w:r w:rsidR="00D72782">
        <w:tab/>
      </w:r>
      <w:r w:rsidR="00D72782" w:rsidRPr="00C3452E">
        <w:t>Background</w:t>
      </w:r>
    </w:p>
    <w:p w14:paraId="1E1C9A75" w14:textId="77777777" w:rsidR="00D72782" w:rsidRDefault="00D72782" w:rsidP="00D72782">
      <w:pPr>
        <w:pStyle w:val="SingleTxtG"/>
      </w:pPr>
      <w:r>
        <w:t>1.</w:t>
      </w:r>
      <w:r>
        <w:tab/>
        <w:t xml:space="preserve">The terms of reference the </w:t>
      </w:r>
      <w:r w:rsidRPr="006F7F90">
        <w:t xml:space="preserve">Sub-Committee </w:t>
      </w:r>
      <w:r>
        <w:t>gave to the informal working group on non-animal test methods that were revised at the thirty-ninth session</w:t>
      </w:r>
      <w:r>
        <w:rPr>
          <w:rStyle w:val="FootnoteReference"/>
        </w:rPr>
        <w:footnoteReference w:id="2"/>
      </w:r>
      <w:r>
        <w:t xml:space="preserve"> and set out five main activities, summarized as follows:</w:t>
      </w:r>
    </w:p>
    <w:p w14:paraId="4A5E3BFE" w14:textId="77777777" w:rsidR="00D72782" w:rsidRDefault="00D72782" w:rsidP="00D72782">
      <w:pPr>
        <w:pStyle w:val="SingleTxtG"/>
        <w:ind w:left="1843" w:hanging="425"/>
        <w:rPr>
          <w:rFonts w:eastAsiaTheme="minorHAnsi"/>
          <w:lang w:val="en-US"/>
        </w:rPr>
      </w:pPr>
      <w:r>
        <w:rPr>
          <w:rFonts w:eastAsiaTheme="minorHAnsi"/>
          <w:lang w:val="en-US"/>
        </w:rPr>
        <w:t>(a)</w:t>
      </w:r>
      <w:r>
        <w:rPr>
          <w:rFonts w:eastAsiaTheme="minorHAnsi"/>
          <w:lang w:val="en-US"/>
        </w:rPr>
        <w:tab/>
        <w:t>Using a step-wise approach, starting with a hazard class to be determined by the informal working group, i</w:t>
      </w:r>
      <w:r w:rsidRPr="00E136FE">
        <w:rPr>
          <w:rFonts w:eastAsiaTheme="minorHAnsi"/>
          <w:lang w:val="en-US"/>
        </w:rPr>
        <w:t>dentify and evaluate</w:t>
      </w:r>
      <w:r>
        <w:rPr>
          <w:rStyle w:val="FootnoteReference"/>
          <w:rFonts w:eastAsiaTheme="minorHAnsi"/>
          <w:lang w:val="en-US"/>
        </w:rPr>
        <w:footnoteReference w:id="3"/>
      </w:r>
      <w:r w:rsidRPr="00E136FE">
        <w:rPr>
          <w:rFonts w:eastAsiaTheme="minorHAnsi"/>
          <w:lang w:val="en-US"/>
        </w:rPr>
        <w:t xml:space="preserve">, relative to existing accepted </w:t>
      </w:r>
      <w:r w:rsidRPr="00E136FE">
        <w:rPr>
          <w:rFonts w:eastAsiaTheme="minorHAnsi"/>
          <w:i/>
          <w:lang w:val="en-US"/>
        </w:rPr>
        <w:t>in vivo</w:t>
      </w:r>
      <w:r w:rsidRPr="00E136FE">
        <w:rPr>
          <w:rFonts w:eastAsiaTheme="minorHAnsi"/>
          <w:lang w:val="en-US"/>
        </w:rPr>
        <w:t xml:space="preserve"> test methods</w:t>
      </w:r>
      <w:r>
        <w:rPr>
          <w:rFonts w:eastAsiaTheme="minorHAnsi"/>
          <w:lang w:val="en-US"/>
        </w:rPr>
        <w:t xml:space="preserve"> upon which the existing GHS classification criteria are based</w:t>
      </w:r>
      <w:r w:rsidRPr="00E136FE">
        <w:rPr>
          <w:rFonts w:eastAsiaTheme="minorHAnsi"/>
          <w:lang w:val="en-US"/>
        </w:rPr>
        <w:t>:</w:t>
      </w:r>
    </w:p>
    <w:p w14:paraId="1C304FAD" w14:textId="77777777" w:rsidR="00D72782" w:rsidRPr="00E136FE" w:rsidRDefault="00D72782" w:rsidP="00D72782">
      <w:pPr>
        <w:pStyle w:val="SingleTxtG"/>
        <w:ind w:left="2268" w:hanging="425"/>
        <w:rPr>
          <w:rFonts w:eastAsiaTheme="minorHAnsi"/>
          <w:lang w:val="en-US"/>
        </w:rPr>
      </w:pPr>
      <w:r>
        <w:rPr>
          <w:rFonts w:eastAsiaTheme="minorHAnsi"/>
          <w:lang w:val="en-US"/>
        </w:rPr>
        <w:t>(i)</w:t>
      </w:r>
      <w:r>
        <w:rPr>
          <w:rFonts w:eastAsiaTheme="minorHAnsi"/>
          <w:lang w:val="en-US"/>
        </w:rPr>
        <w:tab/>
      </w:r>
      <w:r w:rsidRPr="00E136FE">
        <w:rPr>
          <w:rFonts w:eastAsiaTheme="minorHAnsi"/>
          <w:lang w:val="en-US"/>
        </w:rPr>
        <w:t xml:space="preserve">The available </w:t>
      </w:r>
      <w:r w:rsidRPr="00E136FE">
        <w:rPr>
          <w:rFonts w:eastAsiaTheme="minorHAnsi"/>
          <w:i/>
          <w:lang w:val="en-US"/>
        </w:rPr>
        <w:t>in vitro</w:t>
      </w:r>
      <w:r w:rsidRPr="00E136FE">
        <w:rPr>
          <w:rFonts w:eastAsiaTheme="minorHAnsi"/>
          <w:lang w:val="en-US"/>
        </w:rPr>
        <w:t xml:space="preserve"> and </w:t>
      </w:r>
      <w:r w:rsidRPr="00E136FE">
        <w:rPr>
          <w:rFonts w:eastAsiaTheme="minorHAnsi"/>
          <w:i/>
          <w:lang w:val="en-US"/>
        </w:rPr>
        <w:t>in chemico</w:t>
      </w:r>
      <w:r w:rsidRPr="00E136FE">
        <w:rPr>
          <w:rFonts w:eastAsiaTheme="minorHAnsi"/>
          <w:lang w:val="en-US"/>
        </w:rPr>
        <w:t xml:space="preserve"> test methods, validated at </w:t>
      </w:r>
      <w:r>
        <w:rPr>
          <w:rFonts w:eastAsiaTheme="minorHAnsi"/>
          <w:lang w:val="en-US"/>
        </w:rPr>
        <w:t xml:space="preserve">the </w:t>
      </w:r>
      <w:r w:rsidRPr="00E136FE">
        <w:rPr>
          <w:rFonts w:eastAsiaTheme="minorHAnsi"/>
          <w:lang w:val="en-US"/>
        </w:rPr>
        <w:t xml:space="preserve">international level, that could be used for GHS hazard classification, </w:t>
      </w:r>
      <w:r>
        <w:rPr>
          <w:rFonts w:eastAsiaTheme="minorHAnsi"/>
          <w:lang w:val="en-US"/>
        </w:rPr>
        <w:t>for health hazard and environmental hazard classes</w:t>
      </w:r>
      <w:r w:rsidRPr="00E136FE">
        <w:rPr>
          <w:rFonts w:eastAsiaTheme="minorHAnsi"/>
          <w:lang w:val="en-US"/>
        </w:rPr>
        <w:t xml:space="preserve">. </w:t>
      </w:r>
    </w:p>
    <w:p w14:paraId="046D4F82" w14:textId="77777777" w:rsidR="00D72782" w:rsidRPr="00E136FE" w:rsidRDefault="00D72782" w:rsidP="00D72782">
      <w:pPr>
        <w:pStyle w:val="SingleTxtG"/>
        <w:ind w:left="2268" w:hanging="425"/>
        <w:rPr>
          <w:rFonts w:eastAsiaTheme="minorHAnsi"/>
          <w:lang w:val="en-US"/>
        </w:rPr>
      </w:pPr>
      <w:r>
        <w:rPr>
          <w:rFonts w:eastAsiaTheme="minorHAnsi"/>
          <w:lang w:val="en-US"/>
        </w:rPr>
        <w:t>(ii)</w:t>
      </w:r>
      <w:r>
        <w:rPr>
          <w:rFonts w:eastAsiaTheme="minorHAnsi"/>
          <w:lang w:val="en-US"/>
        </w:rPr>
        <w:tab/>
      </w:r>
      <w:r w:rsidRPr="00E136FE">
        <w:rPr>
          <w:rFonts w:eastAsiaTheme="minorHAnsi"/>
          <w:lang w:val="en-US"/>
        </w:rPr>
        <w:t xml:space="preserve">The existing guidance on </w:t>
      </w:r>
      <w:r>
        <w:rPr>
          <w:rFonts w:eastAsiaTheme="minorHAnsi"/>
          <w:i/>
          <w:lang w:val="en-US"/>
        </w:rPr>
        <w:t>in silico</w:t>
      </w:r>
      <w:r w:rsidRPr="00094DDC">
        <w:rPr>
          <w:rFonts w:eastAsiaTheme="minorHAnsi"/>
          <w:iCs/>
          <w:lang w:val="en-US"/>
        </w:rPr>
        <w:t>, including</w:t>
      </w:r>
      <w:r>
        <w:rPr>
          <w:rFonts w:eastAsiaTheme="minorHAnsi"/>
          <w:i/>
          <w:lang w:val="en-US"/>
        </w:rPr>
        <w:t xml:space="preserve"> </w:t>
      </w:r>
      <w:r w:rsidRPr="00E136FE">
        <w:rPr>
          <w:rFonts w:eastAsiaTheme="minorHAnsi"/>
          <w:lang w:val="en-US"/>
        </w:rPr>
        <w:t>grouping approaches</w:t>
      </w:r>
      <w:r>
        <w:rPr>
          <w:rFonts w:eastAsiaTheme="minorHAnsi"/>
          <w:lang w:val="en-US"/>
        </w:rPr>
        <w:t>, QSARs and read-across,</w:t>
      </w:r>
      <w:r w:rsidRPr="00E136FE">
        <w:rPr>
          <w:rFonts w:eastAsiaTheme="minorHAnsi"/>
          <w:lang w:val="en-US"/>
        </w:rPr>
        <w:t xml:space="preserve"> that could be useful for GHS hazard classification</w:t>
      </w:r>
      <w:r>
        <w:rPr>
          <w:rFonts w:eastAsiaTheme="minorHAnsi"/>
          <w:lang w:val="en-US"/>
        </w:rPr>
        <w:t xml:space="preserve"> for health hazard and environmental hazard classes</w:t>
      </w:r>
      <w:r w:rsidRPr="00E136FE">
        <w:rPr>
          <w:rFonts w:eastAsiaTheme="minorHAnsi"/>
          <w:lang w:val="en-US"/>
        </w:rPr>
        <w:t>; and</w:t>
      </w:r>
    </w:p>
    <w:p w14:paraId="708FCF6B" w14:textId="77777777" w:rsidR="00D72782" w:rsidRPr="00E136FE" w:rsidRDefault="00D72782" w:rsidP="00D72782">
      <w:pPr>
        <w:pStyle w:val="SingleTxtG"/>
        <w:ind w:left="1843" w:hanging="425"/>
        <w:rPr>
          <w:rFonts w:eastAsiaTheme="minorHAnsi"/>
          <w:lang w:val="en-US"/>
        </w:rPr>
      </w:pPr>
      <w:r>
        <w:rPr>
          <w:rFonts w:eastAsiaTheme="minorHAnsi"/>
          <w:lang w:val="en-US"/>
        </w:rPr>
        <w:t>(b)</w:t>
      </w:r>
      <w:r>
        <w:rPr>
          <w:rFonts w:eastAsiaTheme="minorHAnsi"/>
          <w:lang w:val="en-US"/>
        </w:rPr>
        <w:tab/>
      </w:r>
      <w:r w:rsidRPr="00E136FE">
        <w:rPr>
          <w:rFonts w:eastAsiaTheme="minorHAnsi"/>
          <w:lang w:val="en-US"/>
        </w:rPr>
        <w:t>For each relevant GHS hazard class and category, assess:</w:t>
      </w:r>
    </w:p>
    <w:p w14:paraId="5815279E" w14:textId="77777777" w:rsidR="00D72782" w:rsidRPr="00E136FE" w:rsidRDefault="00D72782" w:rsidP="00D72782">
      <w:pPr>
        <w:pStyle w:val="SingleTxtG"/>
        <w:ind w:left="2268" w:hanging="425"/>
        <w:rPr>
          <w:rFonts w:eastAsiaTheme="minorHAnsi"/>
          <w:lang w:val="en-US"/>
        </w:rPr>
      </w:pPr>
      <w:r>
        <w:rPr>
          <w:rFonts w:eastAsiaTheme="minorHAnsi"/>
          <w:lang w:val="en-US"/>
        </w:rPr>
        <w:t>(i)</w:t>
      </w:r>
      <w:r>
        <w:rPr>
          <w:rFonts w:eastAsiaTheme="minorHAnsi"/>
          <w:lang w:val="en-US"/>
        </w:rPr>
        <w:tab/>
      </w:r>
      <w:r w:rsidRPr="00E136FE">
        <w:rPr>
          <w:rFonts w:eastAsiaTheme="minorHAnsi"/>
          <w:lang w:val="en-US"/>
        </w:rPr>
        <w:t xml:space="preserve">Where substances and mixtures may be classified using </w:t>
      </w:r>
      <w:r>
        <w:rPr>
          <w:rFonts w:eastAsiaTheme="minorHAnsi"/>
          <w:lang w:val="en-US"/>
        </w:rPr>
        <w:t xml:space="preserve">the results of non-animal methods </w:t>
      </w:r>
      <w:r w:rsidRPr="00E136FE">
        <w:rPr>
          <w:rFonts w:eastAsiaTheme="minorHAnsi"/>
          <w:lang w:val="en-US"/>
        </w:rPr>
        <w:t>taking into account all relevant scientific information; and whether new or amended GHS classification criteria are needed to facilitate the use of such methods for hazard classification, and</w:t>
      </w:r>
    </w:p>
    <w:p w14:paraId="3E9DBA08" w14:textId="77777777" w:rsidR="00D72782" w:rsidRPr="00E136FE" w:rsidRDefault="00D72782" w:rsidP="00D72782">
      <w:pPr>
        <w:pStyle w:val="SingleTxtG"/>
        <w:ind w:left="2268" w:hanging="425"/>
        <w:rPr>
          <w:rFonts w:eastAsiaTheme="minorHAnsi"/>
          <w:lang w:val="en-US"/>
        </w:rPr>
      </w:pPr>
      <w:r>
        <w:rPr>
          <w:rFonts w:eastAsiaTheme="minorHAnsi"/>
          <w:lang w:val="en-US"/>
        </w:rPr>
        <w:t>(ii)</w:t>
      </w:r>
      <w:r>
        <w:rPr>
          <w:rFonts w:eastAsiaTheme="minorHAnsi"/>
          <w:lang w:val="en-US"/>
        </w:rPr>
        <w:tab/>
        <w:t xml:space="preserve">whether an integrated or tiered evaluation approach taking into account all relevant scientific information and combination of methods </w:t>
      </w:r>
      <w:r w:rsidRPr="00E136FE">
        <w:rPr>
          <w:rFonts w:eastAsiaTheme="minorHAnsi"/>
          <w:lang w:val="en-US"/>
        </w:rPr>
        <w:t>for hazard classification</w:t>
      </w:r>
      <w:r>
        <w:rPr>
          <w:rFonts w:eastAsiaTheme="minorHAnsi"/>
          <w:lang w:val="en-US"/>
        </w:rPr>
        <w:t xml:space="preserve"> should be developed</w:t>
      </w:r>
      <w:r w:rsidRPr="00E136FE">
        <w:rPr>
          <w:rFonts w:eastAsiaTheme="minorHAnsi"/>
          <w:lang w:val="en-US"/>
        </w:rPr>
        <w:t>.</w:t>
      </w:r>
    </w:p>
    <w:p w14:paraId="43F69262" w14:textId="77777777" w:rsidR="00D72782" w:rsidRPr="000E5D24" w:rsidRDefault="00D72782" w:rsidP="00D72782">
      <w:pPr>
        <w:pStyle w:val="SingleTxtG"/>
        <w:ind w:left="1843" w:hanging="425"/>
        <w:rPr>
          <w:rFonts w:eastAsiaTheme="minorHAnsi"/>
          <w:lang w:val="en-US"/>
        </w:rPr>
      </w:pPr>
      <w:r>
        <w:rPr>
          <w:rFonts w:eastAsiaTheme="minorHAnsi"/>
          <w:lang w:val="en-US"/>
        </w:rPr>
        <w:lastRenderedPageBreak/>
        <w:t>(c)</w:t>
      </w:r>
      <w:r>
        <w:rPr>
          <w:rFonts w:eastAsiaTheme="minorHAnsi"/>
          <w:lang w:val="en-US"/>
        </w:rPr>
        <w:tab/>
      </w:r>
      <w:r w:rsidRPr="00E136FE">
        <w:rPr>
          <w:rFonts w:eastAsiaTheme="minorHAnsi"/>
          <w:lang w:val="en-US"/>
        </w:rPr>
        <w:t xml:space="preserve">Prepare draft amendments and additions to the GHS to facilitate hazard classification using </w:t>
      </w:r>
      <w:r>
        <w:rPr>
          <w:rFonts w:eastAsiaTheme="minorHAnsi"/>
          <w:lang w:val="en-US"/>
        </w:rPr>
        <w:t>non-animal methods which</w:t>
      </w:r>
      <w:r w:rsidRPr="00E136FE">
        <w:rPr>
          <w:rFonts w:eastAsiaTheme="minorHAnsi"/>
          <w:lang w:val="en-US"/>
        </w:rPr>
        <w:t xml:space="preserve"> should</w:t>
      </w:r>
      <w:r>
        <w:rPr>
          <w:rFonts w:eastAsiaTheme="minorHAnsi"/>
          <w:lang w:val="en-US"/>
        </w:rPr>
        <w:t>,</w:t>
      </w:r>
      <w:r w:rsidRPr="004F6B84">
        <w:rPr>
          <w:rFonts w:eastAsiaTheme="minorHAnsi"/>
          <w:lang w:val="en-US"/>
        </w:rPr>
        <w:t xml:space="preserve"> </w:t>
      </w:r>
      <w:r w:rsidRPr="00E136FE">
        <w:rPr>
          <w:rFonts w:eastAsiaTheme="minorHAnsi"/>
          <w:lang w:val="en-US"/>
        </w:rPr>
        <w:t>so far as possible</w:t>
      </w:r>
      <w:r>
        <w:rPr>
          <w:rFonts w:eastAsiaTheme="minorHAnsi"/>
          <w:lang w:val="en-US"/>
        </w:rPr>
        <w:t>,</w:t>
      </w:r>
      <w:r w:rsidRPr="00E136FE">
        <w:rPr>
          <w:rFonts w:eastAsiaTheme="minorHAnsi"/>
          <w:lang w:val="en-US"/>
        </w:rPr>
        <w:t xml:space="preserve"> provide a consistent approach across the different hazard classes.</w:t>
      </w:r>
      <w:r>
        <w:rPr>
          <w:rFonts w:eastAsiaTheme="minorHAnsi"/>
          <w:lang w:val="en-US"/>
        </w:rPr>
        <w:t xml:space="preserve">  </w:t>
      </w:r>
    </w:p>
    <w:p w14:paraId="655A8C65" w14:textId="015DAC26" w:rsidR="00D72782" w:rsidRPr="00D72782" w:rsidRDefault="00D72782" w:rsidP="00D72782">
      <w:pPr>
        <w:pStyle w:val="SingleTxtG"/>
        <w:ind w:left="1843" w:hanging="425"/>
        <w:rPr>
          <w:rFonts w:eastAsiaTheme="minorHAnsi"/>
          <w:lang w:val="en-US"/>
        </w:rPr>
      </w:pPr>
      <w:r w:rsidRPr="000E5D24">
        <w:rPr>
          <w:rFonts w:eastAsiaTheme="minorHAnsi"/>
          <w:lang w:val="en-US"/>
        </w:rPr>
        <w:t>(d)</w:t>
      </w:r>
      <w:r w:rsidRPr="000E5D24">
        <w:rPr>
          <w:rFonts w:eastAsiaTheme="minorHAnsi"/>
          <w:lang w:val="en-US"/>
        </w:rPr>
        <w:tab/>
      </w:r>
      <w:r w:rsidRPr="00D72782">
        <w:rPr>
          <w:rFonts w:eastAsiaTheme="minorHAnsi"/>
          <w:lang w:val="en-US"/>
        </w:rPr>
        <w:t>To identify technical errors</w:t>
      </w:r>
      <w:r w:rsidRPr="00D72782" w:rsidDel="00C7259D">
        <w:rPr>
          <w:rFonts w:eastAsiaTheme="minorHAnsi"/>
          <w:lang w:val="en-US"/>
        </w:rPr>
        <w:t xml:space="preserve"> </w:t>
      </w:r>
      <w:r w:rsidRPr="00D72782">
        <w:rPr>
          <w:rFonts w:eastAsiaTheme="minorHAnsi"/>
          <w:lang w:val="en-US"/>
        </w:rPr>
        <w:t xml:space="preserve">and/or editorial improvements during the review of chapters that are not related to non-animal criteria and send them to the appropriate </w:t>
      </w:r>
      <w:r>
        <w:rPr>
          <w:rFonts w:eastAsiaTheme="minorHAnsi"/>
          <w:lang w:val="en-US"/>
        </w:rPr>
        <w:t>informal working group</w:t>
      </w:r>
      <w:r w:rsidRPr="00D72782">
        <w:rPr>
          <w:rFonts w:eastAsiaTheme="minorHAnsi"/>
          <w:lang w:val="en-US"/>
        </w:rPr>
        <w:t xml:space="preserve"> (e.g. </w:t>
      </w:r>
      <w:r>
        <w:rPr>
          <w:rFonts w:eastAsiaTheme="minorHAnsi"/>
          <w:lang w:val="en-US"/>
        </w:rPr>
        <w:t>the practical classification issues (PCI) informal working group</w:t>
      </w:r>
      <w:r w:rsidR="00A44E8F">
        <w:rPr>
          <w:rFonts w:eastAsiaTheme="minorHAnsi"/>
          <w:lang w:val="en-US"/>
        </w:rPr>
        <w:t>)</w:t>
      </w:r>
      <w:r>
        <w:rPr>
          <w:rFonts w:eastAsiaTheme="minorHAnsi"/>
          <w:lang w:val="en-US"/>
        </w:rPr>
        <w:t xml:space="preserve"> </w:t>
      </w:r>
      <w:r w:rsidRPr="00D72782">
        <w:rPr>
          <w:rFonts w:eastAsiaTheme="minorHAnsi"/>
          <w:lang w:val="en-US"/>
        </w:rPr>
        <w:t>for implementation or present them in a working paper directly to the Sub-Committee.</w:t>
      </w:r>
    </w:p>
    <w:p w14:paraId="5DC8F3E1" w14:textId="77777777" w:rsidR="00D72782" w:rsidRPr="000E5D24" w:rsidRDefault="00D72782" w:rsidP="00D72782">
      <w:pPr>
        <w:pStyle w:val="SingleTxtG"/>
        <w:ind w:left="1843" w:hanging="425"/>
        <w:rPr>
          <w:rFonts w:eastAsiaTheme="minorHAnsi"/>
          <w:lang w:val="en-US"/>
        </w:rPr>
      </w:pPr>
      <w:r w:rsidRPr="000E5D24">
        <w:rPr>
          <w:rFonts w:eastAsiaTheme="minorHAnsi"/>
          <w:lang w:val="en-US"/>
        </w:rPr>
        <w:t>(e)</w:t>
      </w:r>
      <w:r w:rsidRPr="000E5D24">
        <w:rPr>
          <w:rFonts w:eastAsiaTheme="minorHAnsi"/>
          <w:lang w:val="en-US"/>
        </w:rPr>
        <w:tab/>
        <w:t>Report progress to the GHS Sub-Committee as appropriate.</w:t>
      </w:r>
    </w:p>
    <w:p w14:paraId="303FF1C0" w14:textId="4A60070A" w:rsidR="00D72782" w:rsidRDefault="00D72782" w:rsidP="00D72782">
      <w:pPr>
        <w:spacing w:after="120"/>
        <w:ind w:left="1134" w:right="1134"/>
        <w:jc w:val="both"/>
      </w:pPr>
      <w:r w:rsidRPr="007F446A">
        <w:t>2.</w:t>
      </w:r>
      <w:r w:rsidRPr="007F446A">
        <w:tab/>
      </w:r>
      <w:r w:rsidRPr="006F7F90">
        <w:t xml:space="preserve">The </w:t>
      </w:r>
      <w:r>
        <w:t>informal working g</w:t>
      </w:r>
      <w:r w:rsidRPr="006F7F90">
        <w:t xml:space="preserve">roup has </w:t>
      </w:r>
      <w:r>
        <w:t>around</w:t>
      </w:r>
      <w:r w:rsidRPr="006F7F90">
        <w:t xml:space="preserve"> </w:t>
      </w:r>
      <w:r w:rsidRPr="0053556C">
        <w:t>60</w:t>
      </w:r>
      <w:r w:rsidRPr="006F7F90">
        <w:t xml:space="preserve"> members, reflecting </w:t>
      </w:r>
      <w:r>
        <w:t xml:space="preserve">the </w:t>
      </w:r>
      <w:r w:rsidRPr="006F7F90">
        <w:t>interest in its work</w:t>
      </w:r>
      <w:r>
        <w:t xml:space="preserve">. </w:t>
      </w:r>
      <w:r w:rsidRPr="003E3CD4">
        <w:t>The latest status update</w:t>
      </w:r>
      <w:r>
        <w:t xml:space="preserve"> is provided in</w:t>
      </w:r>
      <w:r w:rsidRPr="003E3CD4">
        <w:t xml:space="preserve"> informal document </w:t>
      </w:r>
      <w:r>
        <w:rPr>
          <w:bCs/>
          <w:szCs w:val="18"/>
        </w:rPr>
        <w:t>INF</w:t>
      </w:r>
      <w:r>
        <w:t>.</w:t>
      </w:r>
      <w:r w:rsidR="003256B7">
        <w:t>13</w:t>
      </w:r>
      <w:r>
        <w:t xml:space="preserve"> at this</w:t>
      </w:r>
      <w:r w:rsidRPr="003E3CD4">
        <w:t xml:space="preserve"> session.</w:t>
      </w:r>
    </w:p>
    <w:p w14:paraId="202A1045" w14:textId="77777777" w:rsidR="00D72782" w:rsidRDefault="00D72782" w:rsidP="00D72782">
      <w:pPr>
        <w:spacing w:after="120"/>
        <w:ind w:left="1134" w:right="1134"/>
        <w:jc w:val="both"/>
        <w:rPr>
          <w:rFonts w:eastAsiaTheme="minorHAnsi"/>
          <w:lang w:val="en-US"/>
        </w:rPr>
      </w:pPr>
      <w:r>
        <w:t>3.</w:t>
      </w:r>
      <w:r>
        <w:tab/>
      </w:r>
      <w:r>
        <w:rPr>
          <w:rFonts w:eastAsiaTheme="minorHAnsi"/>
          <w:lang w:val="en-US"/>
        </w:rPr>
        <w:t>During the current biennium the informal working group has worked hard to complete the revision of Chapter 3.3 of the GHS which was adopted at the fortieth session</w:t>
      </w:r>
      <w:r>
        <w:rPr>
          <w:rStyle w:val="FootnoteReference"/>
          <w:rFonts w:eastAsiaTheme="minorHAnsi"/>
          <w:lang w:val="en-US"/>
        </w:rPr>
        <w:footnoteReference w:id="4"/>
      </w:r>
      <w:r>
        <w:rPr>
          <w:rFonts w:eastAsiaTheme="minorHAnsi"/>
          <w:lang w:val="en-US"/>
        </w:rPr>
        <w:t>, as detailed in the group’s 2021-2022 work plan</w:t>
      </w:r>
      <w:r>
        <w:rPr>
          <w:rStyle w:val="FootnoteReference"/>
          <w:rFonts w:eastAsiaTheme="minorHAnsi"/>
          <w:lang w:val="en-US"/>
        </w:rPr>
        <w:footnoteReference w:id="5"/>
      </w:r>
      <w:r>
        <w:rPr>
          <w:rFonts w:eastAsiaTheme="minorHAnsi"/>
          <w:lang w:val="en-US"/>
        </w:rPr>
        <w:t>. Although the revision of Chapter 3.4 for skin sensitization has not been completed this biennium, proposals in relation to the skin sensitization substance sections within the chapter are provided for the consideration of the Sub-Committee at this session. Further, the group continues to work very hard towards completing the revision of Chapter 3.4 and intends to present a formal proposal in relation to the skin sensitization mixtures sections within the chapter for the consideration of the Sub-Committee at its July 2023 meeting.</w:t>
      </w:r>
    </w:p>
    <w:p w14:paraId="08BEEAEB" w14:textId="77777777" w:rsidR="00D72782" w:rsidRPr="003233D2" w:rsidRDefault="00D72782" w:rsidP="00D72782">
      <w:pPr>
        <w:pStyle w:val="HChG"/>
      </w:pPr>
      <w:r>
        <w:tab/>
      </w:r>
      <w:r>
        <w:tab/>
      </w:r>
      <w:r w:rsidRPr="003233D2">
        <w:t>Proposal</w:t>
      </w:r>
    </w:p>
    <w:p w14:paraId="1F46EBEA" w14:textId="77777777" w:rsidR="00D72782" w:rsidRDefault="00D72782" w:rsidP="00D72782">
      <w:pPr>
        <w:pStyle w:val="SingleTxtG"/>
      </w:pPr>
      <w:r>
        <w:t>4</w:t>
      </w:r>
      <w:r w:rsidRPr="00707534">
        <w:t>.</w:t>
      </w:r>
      <w:r w:rsidRPr="00707534">
        <w:tab/>
      </w:r>
      <w:r>
        <w:t xml:space="preserve">If the Sub-Committee is generally content with its approach, the informal working group proposes to continue working in a stepwise manner and build on the work undertaken so far. </w:t>
      </w:r>
    </w:p>
    <w:p w14:paraId="7ED5241E" w14:textId="77777777" w:rsidR="00D72782" w:rsidRDefault="00D72782" w:rsidP="00D72782">
      <w:pPr>
        <w:pStyle w:val="SingleTxtG"/>
      </w:pPr>
      <w:r>
        <w:t>5.</w:t>
      </w:r>
      <w:r>
        <w:tab/>
        <w:t>Taking into account the general state of developments in non-animal testing methods and approaches, the working group proposes to address the following specific workstreams in 2023-2024 within its terms of reference (as summarised in paragraph 1 above):</w:t>
      </w:r>
    </w:p>
    <w:p w14:paraId="51D78C9E" w14:textId="77777777" w:rsidR="00D72782" w:rsidRDefault="00D72782" w:rsidP="00D72782">
      <w:pPr>
        <w:pStyle w:val="Bullet1G"/>
        <w:numPr>
          <w:ilvl w:val="0"/>
          <w:numId w:val="3"/>
        </w:numPr>
      </w:pPr>
      <w:r w:rsidRPr="00807966">
        <w:rPr>
          <w:b/>
          <w:bCs/>
        </w:rPr>
        <w:t>Workstream 1</w:t>
      </w:r>
      <w:r>
        <w:t>: To continue to review and revise Chapter 3.4, for skin sensitisation in relation to mixtures, following as appropriate the work already done on chapters 3.2 and 3.3.</w:t>
      </w:r>
    </w:p>
    <w:p w14:paraId="553A796A" w14:textId="77777777" w:rsidR="00D72782" w:rsidRDefault="00D72782" w:rsidP="00D72782">
      <w:pPr>
        <w:pStyle w:val="Bullet1G"/>
        <w:numPr>
          <w:ilvl w:val="0"/>
          <w:numId w:val="3"/>
        </w:numPr>
      </w:pPr>
      <w:r w:rsidRPr="00807966">
        <w:rPr>
          <w:b/>
          <w:bCs/>
        </w:rPr>
        <w:t>Workstream 2</w:t>
      </w:r>
      <w:r>
        <w:t>: To review and, when possible, revise Chapter 3.4 for respiratory sensitisation. Identify and revise a different hazard class if revision of Chapter 3.4 for respiratory sensitisation is not possible.</w:t>
      </w:r>
    </w:p>
    <w:p w14:paraId="3F50C68D" w14:textId="77777777" w:rsidR="00D72782" w:rsidRDefault="00D72782" w:rsidP="00D72782">
      <w:pPr>
        <w:pStyle w:val="Bullet1G"/>
        <w:numPr>
          <w:ilvl w:val="0"/>
          <w:numId w:val="3"/>
        </w:numPr>
      </w:pPr>
      <w:r w:rsidRPr="00807966">
        <w:rPr>
          <w:b/>
          <w:bCs/>
        </w:rPr>
        <w:t>Workstream 3</w:t>
      </w:r>
      <w:r>
        <w:t>: To consider whether updates are needed in chapters 1.3, 3.2 and 3.3 as a result of the group’s work on Chapter 3.4.</w:t>
      </w:r>
    </w:p>
    <w:p w14:paraId="18DDF068" w14:textId="77777777" w:rsidR="00D72782" w:rsidRDefault="00D72782" w:rsidP="00D72782">
      <w:pPr>
        <w:pStyle w:val="SingleTxtG"/>
      </w:pPr>
      <w:r>
        <w:t>6.</w:t>
      </w:r>
      <w:r>
        <w:tab/>
      </w:r>
      <w:r w:rsidRPr="000657C6">
        <w:t xml:space="preserve">The Sub-Committee is invited to </w:t>
      </w:r>
      <w:r>
        <w:t>agree</w:t>
      </w:r>
      <w:r w:rsidRPr="000657C6">
        <w:t xml:space="preserve"> the </w:t>
      </w:r>
      <w:r>
        <w:t>work programme for 2023 - 2024 proposed in paragraph 5 above for the informal working group on non-animal testing</w:t>
      </w:r>
      <w:r w:rsidRPr="000657C6">
        <w:t>.</w:t>
      </w:r>
    </w:p>
    <w:p w14:paraId="63EFEF3A" w14:textId="4D9F646C" w:rsidR="00760F29" w:rsidRPr="00760F29" w:rsidRDefault="00D72782" w:rsidP="00FD4C23">
      <w:pPr>
        <w:pStyle w:val="SingleTxtG"/>
        <w:spacing w:before="240" w:after="0"/>
        <w:jc w:val="center"/>
        <w:rPr>
          <w:u w:val="single"/>
        </w:rPr>
      </w:pPr>
      <w:r>
        <w:rPr>
          <w:u w:val="single"/>
        </w:rPr>
        <w:tab/>
      </w:r>
      <w:r>
        <w:rPr>
          <w:u w:val="single"/>
        </w:rPr>
        <w:tab/>
      </w:r>
      <w:r>
        <w:rPr>
          <w:u w:val="single"/>
        </w:rPr>
        <w:tab/>
      </w:r>
    </w:p>
    <w:sectPr w:rsidR="00760F29" w:rsidRPr="00760F29" w:rsidSect="00D57610">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7327" w14:textId="77777777" w:rsidR="001F22D9" w:rsidRDefault="001F22D9" w:rsidP="00760F29">
      <w:pPr>
        <w:spacing w:line="240" w:lineRule="auto"/>
      </w:pPr>
      <w:r>
        <w:separator/>
      </w:r>
    </w:p>
  </w:endnote>
  <w:endnote w:type="continuationSeparator" w:id="0">
    <w:p w14:paraId="05E2D22A" w14:textId="77777777" w:rsidR="001F22D9" w:rsidRDefault="001F22D9" w:rsidP="00760F29">
      <w:pPr>
        <w:spacing w:line="240" w:lineRule="auto"/>
      </w:pPr>
      <w:r>
        <w:continuationSeparator/>
      </w:r>
    </w:p>
  </w:endnote>
  <w:endnote w:type="continuationNotice" w:id="1">
    <w:p w14:paraId="0714ACC1" w14:textId="77777777" w:rsidR="001F22D9" w:rsidRDefault="001F22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p w14:paraId="0BBA00FE" w14:textId="77777777" w:rsidR="009E7178" w:rsidRDefault="009E7178"/>
  <w:p w14:paraId="0557C469" w14:textId="77777777" w:rsidR="009E7178" w:rsidRDefault="009E71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p w14:paraId="29C5B1D1" w14:textId="77777777" w:rsidR="009E7178" w:rsidRDefault="009E7178"/>
  <w:p w14:paraId="2D1265E8" w14:textId="77777777" w:rsidR="009E7178" w:rsidRDefault="009E71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3E72" w14:textId="77777777" w:rsidR="001F22D9" w:rsidRDefault="001F22D9" w:rsidP="00760F29">
      <w:pPr>
        <w:spacing w:line="240" w:lineRule="auto"/>
      </w:pPr>
      <w:r>
        <w:separator/>
      </w:r>
    </w:p>
  </w:footnote>
  <w:footnote w:type="continuationSeparator" w:id="0">
    <w:p w14:paraId="697C6A68" w14:textId="77777777" w:rsidR="001F22D9" w:rsidRDefault="001F22D9" w:rsidP="00760F29">
      <w:pPr>
        <w:spacing w:line="240" w:lineRule="auto"/>
      </w:pPr>
      <w:r>
        <w:continuationSeparator/>
      </w:r>
    </w:p>
  </w:footnote>
  <w:footnote w:type="continuationNotice" w:id="1">
    <w:p w14:paraId="73D804E8" w14:textId="77777777" w:rsidR="001F22D9" w:rsidRDefault="001F22D9">
      <w:pPr>
        <w:spacing w:line="240" w:lineRule="auto"/>
      </w:pPr>
    </w:p>
  </w:footnote>
  <w:footnote w:id="2">
    <w:p w14:paraId="69D776EB" w14:textId="77777777" w:rsidR="00D72782" w:rsidRDefault="00D72782" w:rsidP="00D72782">
      <w:pPr>
        <w:pStyle w:val="FootnoteText"/>
        <w:tabs>
          <w:tab w:val="clear" w:pos="1021"/>
        </w:tabs>
        <w:ind w:left="1418" w:right="992" w:hanging="283"/>
      </w:pPr>
      <w:r>
        <w:rPr>
          <w:rStyle w:val="FootnoteReference"/>
        </w:rPr>
        <w:footnoteRef/>
      </w:r>
      <w:r>
        <w:t xml:space="preserve"> </w:t>
      </w:r>
      <w:r>
        <w:tab/>
        <w:t xml:space="preserve">See ST/SG/AC.10/C.4/78 and informal document </w:t>
      </w:r>
      <w:r>
        <w:rPr>
          <w:bCs/>
          <w:szCs w:val="18"/>
        </w:rPr>
        <w:t>INF</w:t>
      </w:r>
      <w:r>
        <w:t>.26 (thirty-ninth session).</w:t>
      </w:r>
    </w:p>
  </w:footnote>
  <w:footnote w:id="3">
    <w:p w14:paraId="09FA15A7" w14:textId="77777777" w:rsidR="00D72782" w:rsidRPr="0001631B" w:rsidRDefault="00D72782" w:rsidP="00D72782">
      <w:pPr>
        <w:pStyle w:val="FootnoteText"/>
        <w:tabs>
          <w:tab w:val="clear" w:pos="1021"/>
        </w:tabs>
        <w:ind w:left="1418" w:hanging="284"/>
        <w:jc w:val="both"/>
        <w:rPr>
          <w:lang w:val="en-US"/>
        </w:rPr>
      </w:pPr>
      <w:r>
        <w:rPr>
          <w:rStyle w:val="FootnoteReference"/>
        </w:rPr>
        <w:footnoteRef/>
      </w:r>
      <w:r>
        <w:tab/>
      </w:r>
      <w:r w:rsidRPr="00833BC9">
        <w:t>It is not foreseen to have a complete evaluation of all existing guidance or to cover all new developments. The work by the informal working group should focus on relevant information in relation</w:t>
      </w:r>
      <w:r>
        <w:t xml:space="preserve"> to</w:t>
      </w:r>
      <w:r w:rsidRPr="00833BC9">
        <w:t xml:space="preserve"> the possible amendments or additions to GHS classification.</w:t>
      </w:r>
    </w:p>
  </w:footnote>
  <w:footnote w:id="4">
    <w:p w14:paraId="5A1D59F2" w14:textId="71B8A3A2" w:rsidR="00D72782" w:rsidRDefault="00D72782" w:rsidP="00D72782">
      <w:pPr>
        <w:pStyle w:val="FootnoteText"/>
        <w:tabs>
          <w:tab w:val="clear" w:pos="1021"/>
          <w:tab w:val="left" w:pos="1418"/>
        </w:tabs>
        <w:ind w:right="992" w:firstLine="0"/>
      </w:pPr>
      <w:r>
        <w:rPr>
          <w:rStyle w:val="FootnoteReference"/>
        </w:rPr>
        <w:footnoteRef/>
      </w:r>
      <w:r>
        <w:tab/>
        <w:t xml:space="preserve">see </w:t>
      </w:r>
      <w:r w:rsidRPr="004746CD">
        <w:t>ST</w:t>
      </w:r>
      <w:r>
        <w:t>/</w:t>
      </w:r>
      <w:r w:rsidRPr="004746CD">
        <w:t>SG</w:t>
      </w:r>
      <w:r>
        <w:t>/</w:t>
      </w:r>
      <w:r w:rsidRPr="004746CD">
        <w:t>AC</w:t>
      </w:r>
      <w:r>
        <w:t>.</w:t>
      </w:r>
      <w:r w:rsidRPr="004746CD">
        <w:t>10</w:t>
      </w:r>
      <w:r>
        <w:t>/</w:t>
      </w:r>
      <w:r w:rsidRPr="004746CD">
        <w:t>C4</w:t>
      </w:r>
      <w:r>
        <w:t>/</w:t>
      </w:r>
      <w:r w:rsidRPr="004746CD">
        <w:t>80</w:t>
      </w:r>
      <w:r w:rsidR="00196192">
        <w:t>,</w:t>
      </w:r>
      <w:r w:rsidRPr="004746CD">
        <w:t xml:space="preserve"> </w:t>
      </w:r>
      <w:r w:rsidRPr="001938EF">
        <w:t>ST</w:t>
      </w:r>
      <w:r>
        <w:t>/</w:t>
      </w:r>
      <w:r w:rsidRPr="001938EF">
        <w:t>SG</w:t>
      </w:r>
      <w:r>
        <w:t>/</w:t>
      </w:r>
      <w:r w:rsidRPr="001938EF">
        <w:t>AC</w:t>
      </w:r>
      <w:r>
        <w:t>.</w:t>
      </w:r>
      <w:r w:rsidRPr="001938EF">
        <w:t>10</w:t>
      </w:r>
      <w:r>
        <w:t>/</w:t>
      </w:r>
      <w:r w:rsidRPr="001938EF">
        <w:t>C4</w:t>
      </w:r>
      <w:r>
        <w:t>/</w:t>
      </w:r>
      <w:r w:rsidRPr="001938EF">
        <w:t>2021</w:t>
      </w:r>
      <w:r>
        <w:t>/</w:t>
      </w:r>
      <w:r w:rsidRPr="001938EF">
        <w:t>4</w:t>
      </w:r>
      <w:r>
        <w:t xml:space="preserve">; and </w:t>
      </w:r>
      <w:r w:rsidRPr="00807966">
        <w:t xml:space="preserve">informal document </w:t>
      </w:r>
      <w:r w:rsidRPr="00E8492E">
        <w:t>INF</w:t>
      </w:r>
      <w:r>
        <w:t>.</w:t>
      </w:r>
      <w:r w:rsidRPr="00E8492E">
        <w:t>3</w:t>
      </w:r>
      <w:r w:rsidR="00196192">
        <w:t xml:space="preserve"> (fortieth session).</w:t>
      </w:r>
      <w:r>
        <w:t xml:space="preserve"> </w:t>
      </w:r>
    </w:p>
  </w:footnote>
  <w:footnote w:id="5">
    <w:p w14:paraId="33106E2F" w14:textId="170D3BB7" w:rsidR="00D72782" w:rsidRDefault="00D72782" w:rsidP="00D72782">
      <w:pPr>
        <w:pStyle w:val="FootnoteText"/>
        <w:tabs>
          <w:tab w:val="clear" w:pos="1021"/>
          <w:tab w:val="left" w:pos="1418"/>
        </w:tabs>
        <w:ind w:firstLine="0"/>
      </w:pPr>
      <w:r w:rsidRPr="006F63C6">
        <w:rPr>
          <w:rStyle w:val="FootnoteReference"/>
        </w:rPr>
        <w:footnoteRef/>
      </w:r>
      <w:r>
        <w:tab/>
      </w:r>
      <w:r w:rsidRPr="00807966">
        <w:t>see ST/SG/AC.10/C.4/</w:t>
      </w:r>
      <w:r>
        <w:t>78</w:t>
      </w:r>
      <w:r w:rsidRPr="00807966">
        <w:t xml:space="preserve"> and informal document </w:t>
      </w:r>
      <w:r w:rsidRPr="00807966">
        <w:rPr>
          <w:bCs/>
          <w:szCs w:val="18"/>
        </w:rPr>
        <w:t>INF</w:t>
      </w:r>
      <w:r w:rsidRPr="00807966">
        <w:t>.</w:t>
      </w:r>
      <w:r>
        <w:t>27</w:t>
      </w:r>
      <w:r w:rsidR="00196192">
        <w:t xml:space="preserve"> (thirty-ninth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9B4" w14:textId="6AC31D7F" w:rsidR="009E7178" w:rsidRDefault="00574027" w:rsidP="005B0AF4">
    <w:pPr>
      <w:pStyle w:val="Header"/>
    </w:pPr>
    <w:r w:rsidRPr="00237F0F">
      <w:rPr>
        <w:szCs w:val="18"/>
      </w:rPr>
      <w:t>UN/SCE</w:t>
    </w:r>
    <w:r w:rsidR="00F47212" w:rsidRPr="00237F0F">
      <w:rPr>
        <w:szCs w:val="18"/>
      </w:rPr>
      <w:t>GHS</w:t>
    </w:r>
    <w:r w:rsidRPr="00237F0F">
      <w:rPr>
        <w:szCs w:val="18"/>
      </w:rPr>
      <w:t>/4</w:t>
    </w:r>
    <w:r w:rsidR="00101999" w:rsidRPr="00237F0F">
      <w:rPr>
        <w:szCs w:val="18"/>
      </w:rPr>
      <w:t>3/</w:t>
    </w:r>
    <w:r w:rsidRPr="00237F0F">
      <w:rPr>
        <w:szCs w:val="18"/>
      </w:rPr>
      <w:t>INF.</w:t>
    </w:r>
    <w:r w:rsidR="00237F0F" w:rsidRPr="00237F0F">
      <w:rPr>
        <w:szCs w:val="18"/>
      </w:rPr>
      <w:t>16</w:t>
    </w:r>
    <w:r>
      <w:rPr>
        <w:noProof/>
        <w:lang w:eastAsia="en-GB"/>
      </w:rPr>
      <mc:AlternateContent>
        <mc:Choice Requires="wps">
          <w:drawing>
            <wp:anchor distT="0" distB="0" distL="114300" distR="114300" simplePos="0" relativeHeight="251658241"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UN/SCETDG/49/INF.xx</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77777777"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D660CB">
      <w:rPr>
        <w:szCs w:val="18"/>
      </w:rPr>
      <w:t>33</w:t>
    </w:r>
    <w:r w:rsidRPr="00CE031D">
      <w:rPr>
        <w:szCs w:val="18"/>
      </w:rPr>
      <w:t>/INF.</w:t>
    </w:r>
    <w:r w:rsidR="00D660CB">
      <w:rPr>
        <w:szCs w:val="18"/>
      </w:rPr>
      <w:t>xx</w:t>
    </w:r>
  </w:p>
  <w:p w14:paraId="2A0AEDCB"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8240"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UN/SCETDG/49/INF.xx</w:t>
                    </w:r>
                  </w:p>
                </w:txbxContent>
              </v:textbox>
              <w10:wrap anchorx="page" anchory="margin"/>
            </v:shape>
          </w:pict>
        </mc:Fallback>
      </mc:AlternateContent>
    </w:r>
  </w:p>
  <w:p w14:paraId="26990627" w14:textId="77777777" w:rsidR="009E7178" w:rsidRDefault="009E7178"/>
  <w:p w14:paraId="03F28A43" w14:textId="77777777" w:rsidR="009E7178" w:rsidRDefault="009E71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4"/>
  </w:num>
  <w:num w:numId="6">
    <w:abstractNumId w:val="3"/>
  </w:num>
  <w:num w:numId="7">
    <w:abstractNumId w:val="1"/>
  </w:num>
  <w:num w:numId="8">
    <w:abstractNumId w:val="6"/>
  </w:num>
  <w:num w:numId="9">
    <w:abstractNumId w:val="2"/>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214BC"/>
    <w:rsid w:val="0003079A"/>
    <w:rsid w:val="0006039D"/>
    <w:rsid w:val="000B6ACF"/>
    <w:rsid w:val="000F5997"/>
    <w:rsid w:val="00101999"/>
    <w:rsid w:val="00196192"/>
    <w:rsid w:val="001B057F"/>
    <w:rsid w:val="001C5FE4"/>
    <w:rsid w:val="001F22D9"/>
    <w:rsid w:val="00223F9F"/>
    <w:rsid w:val="00225747"/>
    <w:rsid w:val="00226CEA"/>
    <w:rsid w:val="00236385"/>
    <w:rsid w:val="00237F0F"/>
    <w:rsid w:val="00244E9C"/>
    <w:rsid w:val="00260117"/>
    <w:rsid w:val="0028150B"/>
    <w:rsid w:val="003256B7"/>
    <w:rsid w:val="0036256E"/>
    <w:rsid w:val="00371089"/>
    <w:rsid w:val="003A2A96"/>
    <w:rsid w:val="003A3245"/>
    <w:rsid w:val="003B2653"/>
    <w:rsid w:val="003C10B9"/>
    <w:rsid w:val="003C425A"/>
    <w:rsid w:val="003D74EA"/>
    <w:rsid w:val="003E64B9"/>
    <w:rsid w:val="00406A6B"/>
    <w:rsid w:val="004108A7"/>
    <w:rsid w:val="004B5A77"/>
    <w:rsid w:val="004E7435"/>
    <w:rsid w:val="00512E3F"/>
    <w:rsid w:val="005214E7"/>
    <w:rsid w:val="00522D72"/>
    <w:rsid w:val="00574027"/>
    <w:rsid w:val="00592369"/>
    <w:rsid w:val="005B0AF4"/>
    <w:rsid w:val="005C0B65"/>
    <w:rsid w:val="005E56FB"/>
    <w:rsid w:val="005E79BB"/>
    <w:rsid w:val="005F7AE9"/>
    <w:rsid w:val="0062617C"/>
    <w:rsid w:val="00630265"/>
    <w:rsid w:val="00633F54"/>
    <w:rsid w:val="00647244"/>
    <w:rsid w:val="00686B73"/>
    <w:rsid w:val="006A2C7D"/>
    <w:rsid w:val="006D3E76"/>
    <w:rsid w:val="006D4473"/>
    <w:rsid w:val="00717408"/>
    <w:rsid w:val="00760F29"/>
    <w:rsid w:val="007A5031"/>
    <w:rsid w:val="007C1E4D"/>
    <w:rsid w:val="007C61DB"/>
    <w:rsid w:val="007D47BB"/>
    <w:rsid w:val="007E0B86"/>
    <w:rsid w:val="007F1D3F"/>
    <w:rsid w:val="00822F3B"/>
    <w:rsid w:val="008D54D0"/>
    <w:rsid w:val="00930F93"/>
    <w:rsid w:val="0094551F"/>
    <w:rsid w:val="009855D0"/>
    <w:rsid w:val="009B11B2"/>
    <w:rsid w:val="009E1F11"/>
    <w:rsid w:val="009E245E"/>
    <w:rsid w:val="009E42E4"/>
    <w:rsid w:val="009E7178"/>
    <w:rsid w:val="009F552B"/>
    <w:rsid w:val="00A44E8F"/>
    <w:rsid w:val="00A55BFD"/>
    <w:rsid w:val="00A57ACB"/>
    <w:rsid w:val="00A83A4A"/>
    <w:rsid w:val="00A91B52"/>
    <w:rsid w:val="00AA3D2B"/>
    <w:rsid w:val="00AA6BD9"/>
    <w:rsid w:val="00AD6475"/>
    <w:rsid w:val="00B50EE5"/>
    <w:rsid w:val="00B64854"/>
    <w:rsid w:val="00B77E3D"/>
    <w:rsid w:val="00B85035"/>
    <w:rsid w:val="00BF0E50"/>
    <w:rsid w:val="00C13576"/>
    <w:rsid w:val="00C13F89"/>
    <w:rsid w:val="00C21DFE"/>
    <w:rsid w:val="00C60AE5"/>
    <w:rsid w:val="00C64CCA"/>
    <w:rsid w:val="00C65283"/>
    <w:rsid w:val="00C97ECF"/>
    <w:rsid w:val="00CA28D8"/>
    <w:rsid w:val="00CA3BB9"/>
    <w:rsid w:val="00CA5128"/>
    <w:rsid w:val="00CE031D"/>
    <w:rsid w:val="00D57610"/>
    <w:rsid w:val="00D660CB"/>
    <w:rsid w:val="00D72782"/>
    <w:rsid w:val="00D841B8"/>
    <w:rsid w:val="00DB521F"/>
    <w:rsid w:val="00DD396E"/>
    <w:rsid w:val="00E15AE8"/>
    <w:rsid w:val="00E1727E"/>
    <w:rsid w:val="00E7454A"/>
    <w:rsid w:val="00E97BCE"/>
    <w:rsid w:val="00EA3F81"/>
    <w:rsid w:val="00EA5B52"/>
    <w:rsid w:val="00F22714"/>
    <w:rsid w:val="00F27F2C"/>
    <w:rsid w:val="00F41B6B"/>
    <w:rsid w:val="00F47212"/>
    <w:rsid w:val="00F84D75"/>
    <w:rsid w:val="00F970C4"/>
    <w:rsid w:val="00FA63B2"/>
    <w:rsid w:val="00FD4C23"/>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814967D-801F-4849-BAFC-2C529185C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40</cp:revision>
  <dcterms:created xsi:type="dcterms:W3CDTF">2016-08-19T14:48:00Z</dcterms:created>
  <dcterms:modified xsi:type="dcterms:W3CDTF">2022-11-21T10:25:00Z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