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60D23" w14:paraId="733BC40E" w14:textId="77777777" w:rsidTr="00FA63B2">
        <w:trPr>
          <w:cantSplit/>
          <w:trHeight w:hRule="exact" w:val="851"/>
        </w:trPr>
        <w:tc>
          <w:tcPr>
            <w:tcW w:w="9072" w:type="dxa"/>
            <w:tcBorders>
              <w:bottom w:val="single" w:sz="4" w:space="0" w:color="auto"/>
            </w:tcBorders>
            <w:vAlign w:val="bottom"/>
          </w:tcPr>
          <w:p w14:paraId="30457239" w14:textId="1BE736C5" w:rsidR="00717408" w:rsidRPr="00060D23" w:rsidRDefault="00FA63B2" w:rsidP="00D660CB">
            <w:pPr>
              <w:jc w:val="right"/>
              <w:rPr>
                <w:b/>
                <w:sz w:val="40"/>
                <w:szCs w:val="40"/>
              </w:rPr>
            </w:pPr>
            <w:r w:rsidRPr="00060D23">
              <w:rPr>
                <w:b/>
                <w:sz w:val="40"/>
                <w:szCs w:val="40"/>
              </w:rPr>
              <w:t>UN/SCEGHS/</w:t>
            </w:r>
            <w:r w:rsidR="00260117" w:rsidRPr="00060D23">
              <w:rPr>
                <w:b/>
                <w:sz w:val="40"/>
                <w:szCs w:val="40"/>
              </w:rPr>
              <w:t>4</w:t>
            </w:r>
            <w:r w:rsidR="00647244" w:rsidRPr="00060D23">
              <w:rPr>
                <w:b/>
                <w:sz w:val="40"/>
                <w:szCs w:val="40"/>
              </w:rPr>
              <w:t>3</w:t>
            </w:r>
            <w:r w:rsidRPr="00060D23">
              <w:rPr>
                <w:b/>
                <w:sz w:val="40"/>
                <w:szCs w:val="40"/>
              </w:rPr>
              <w:t>/INF.</w:t>
            </w:r>
            <w:r w:rsidR="00060D23" w:rsidRPr="00060D23">
              <w:rPr>
                <w:b/>
                <w:sz w:val="40"/>
                <w:szCs w:val="40"/>
              </w:rPr>
              <w:t>15</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FA7A66C" w:rsidR="00717408" w:rsidRPr="00951EBC" w:rsidRDefault="00FA63B2" w:rsidP="004108A7">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060D23" w:rsidRPr="00060D23">
              <w:rPr>
                <w:b/>
                <w:bCs/>
              </w:rPr>
              <w:t xml:space="preserve">21 November </w:t>
            </w:r>
            <w:r w:rsidR="009B11B2" w:rsidRPr="00060D23">
              <w:rPr>
                <w:b/>
                <w:bCs/>
              </w:rPr>
              <w:t>202</w:t>
            </w:r>
            <w:r w:rsidR="004108A7" w:rsidRPr="00060D23">
              <w:rPr>
                <w:b/>
                <w:bCs/>
              </w:rPr>
              <w:t>2</w:t>
            </w:r>
          </w:p>
          <w:p w14:paraId="0333227A" w14:textId="77777777" w:rsidR="00101999" w:rsidRDefault="00101999" w:rsidP="00101999">
            <w:pPr>
              <w:spacing w:before="120"/>
              <w:rPr>
                <w:b/>
              </w:rPr>
            </w:pPr>
            <w:r>
              <w:rPr>
                <w:b/>
              </w:rPr>
              <w:t>Forty-third session</w:t>
            </w:r>
          </w:p>
          <w:p w14:paraId="5BBE5CB0" w14:textId="77777777" w:rsidR="00101999" w:rsidRDefault="00101999" w:rsidP="00101999">
            <w:r w:rsidRPr="009B4D10">
              <w:t xml:space="preserve">Geneva, </w:t>
            </w:r>
            <w:r>
              <w:t>7</w:t>
            </w:r>
            <w:r w:rsidRPr="009B4D10">
              <w:t>-</w:t>
            </w:r>
            <w:r>
              <w:t>9</w:t>
            </w:r>
            <w:r w:rsidRPr="009B4D10">
              <w:t xml:space="preserve"> </w:t>
            </w:r>
            <w:r>
              <w:t xml:space="preserve">December </w:t>
            </w:r>
            <w:r w:rsidRPr="009B4D10">
              <w:t>2022</w:t>
            </w:r>
            <w:r>
              <w:t xml:space="preserve"> </w:t>
            </w:r>
          </w:p>
          <w:p w14:paraId="77A2D7C4" w14:textId="77777777" w:rsidR="00B653A7" w:rsidRPr="00655BD4" w:rsidRDefault="00B653A7" w:rsidP="00B653A7">
            <w:r w:rsidRPr="00655BD4">
              <w:t>Item</w:t>
            </w:r>
            <w:r>
              <w:t xml:space="preserve"> 2</w:t>
            </w:r>
            <w:r w:rsidRPr="00655BD4">
              <w:t xml:space="preserve"> of the provisional agenda</w:t>
            </w:r>
          </w:p>
          <w:p w14:paraId="3D3C6DF8" w14:textId="77777777" w:rsidR="00B653A7" w:rsidRPr="002F3C76" w:rsidRDefault="00B653A7" w:rsidP="00B653A7">
            <w:pPr>
              <w:spacing w:line="240" w:lineRule="exact"/>
              <w:rPr>
                <w:b/>
                <w:bCs/>
              </w:rPr>
            </w:pPr>
            <w:r w:rsidRPr="002F3C76">
              <w:rPr>
                <w:b/>
                <w:bCs/>
              </w:rPr>
              <w:t xml:space="preserve">Recommendations made by the Sub-Committee </w:t>
            </w:r>
          </w:p>
          <w:p w14:paraId="7F67E7DF" w14:textId="52538EFF" w:rsidR="00717408" w:rsidRDefault="00B653A7" w:rsidP="00B653A7">
            <w:pPr>
              <w:spacing w:line="240" w:lineRule="exact"/>
            </w:pPr>
            <w:r w:rsidRPr="002F3C76">
              <w:rPr>
                <w:b/>
                <w:bCs/>
              </w:rPr>
              <w:t>at its fortieth, forty-first and forty-second sessions</w:t>
            </w:r>
          </w:p>
        </w:tc>
      </w:tr>
    </w:tbl>
    <w:p w14:paraId="0CFD6F9F" w14:textId="77777777" w:rsidR="00C62CEC" w:rsidRPr="00CB7CF2" w:rsidRDefault="00760F29" w:rsidP="00665572">
      <w:pPr>
        <w:pStyle w:val="HChG"/>
        <w:rPr>
          <w:rFonts w:eastAsia="MS Mincho"/>
          <w:lang w:eastAsia="ja-JP"/>
        </w:rPr>
      </w:pPr>
      <w:r w:rsidRPr="009E7ABD">
        <w:rPr>
          <w:rFonts w:eastAsia="MS Mincho"/>
          <w:lang w:val="en-US" w:eastAsia="ja-JP"/>
        </w:rPr>
        <w:tab/>
      </w:r>
      <w:r w:rsidR="00E97BCE" w:rsidRPr="009103F3">
        <w:rPr>
          <w:rFonts w:eastAsia="MS Mincho"/>
          <w:lang w:eastAsia="ja-JP"/>
        </w:rPr>
        <w:tab/>
      </w:r>
      <w:r w:rsidR="00C62CEC">
        <w:rPr>
          <w:rFonts w:eastAsia="MS Mincho"/>
          <w:lang w:eastAsia="ja-JP"/>
        </w:rPr>
        <w:t xml:space="preserve">Correction to </w:t>
      </w:r>
      <w:r w:rsidR="00C62CEC" w:rsidRPr="003A57D5">
        <w:t xml:space="preserve">ST/SG/AC.10/C.4/2022/13 </w:t>
      </w:r>
      <w:r w:rsidR="00C62CEC">
        <w:rPr>
          <w:rFonts w:eastAsia="MS Mincho"/>
          <w:lang w:eastAsia="ja-JP"/>
        </w:rPr>
        <w:t xml:space="preserve"> </w:t>
      </w:r>
    </w:p>
    <w:p w14:paraId="71AFE938" w14:textId="15F64F00" w:rsidR="00C62CEC" w:rsidRPr="00665572" w:rsidRDefault="00C62CEC" w:rsidP="00665572">
      <w:pPr>
        <w:pStyle w:val="H1G"/>
      </w:pPr>
      <w:r w:rsidRPr="00CB7CF2">
        <w:tab/>
      </w:r>
      <w:r w:rsidRPr="00665572">
        <w:tab/>
        <w:t xml:space="preserve">Transmitted by the experts from the United Kingdom and the Netherlands on behalf of the informal working group on the use of non-animal test methods for classification of health hazards </w:t>
      </w:r>
    </w:p>
    <w:p w14:paraId="10BE6E41" w14:textId="77777777" w:rsidR="00665572" w:rsidRPr="00665572" w:rsidRDefault="00665572" w:rsidP="00665572">
      <w:pPr>
        <w:pStyle w:val="SingleTxtG"/>
        <w:tabs>
          <w:tab w:val="left" w:pos="1418"/>
        </w:tabs>
      </w:pPr>
      <w:r w:rsidRPr="00665572">
        <w:t>1.</w:t>
      </w:r>
      <w:r w:rsidRPr="00665572">
        <w:tab/>
        <w:t>Document ST/SG/AC.10/C.4/2022/13 contains the consolidated list of draft amendments adopted by the Sub-Committee at its fortieth and forty-second sessions. The amendments listed in that document accurately reflect the decisions taken by the Sub-Committee based on the official proposals submitted for its consideration. However, our attention has been brought to an amendment to Chapter 3.2 that was agreed by the informal working group but was inadvertently omitted in the proposal included in the original official document considered by the Sub-Committee at its fortieth session.</w:t>
      </w:r>
    </w:p>
    <w:p w14:paraId="749870E7" w14:textId="77777777" w:rsidR="00665572" w:rsidRPr="0053764E" w:rsidRDefault="00665572" w:rsidP="00665572">
      <w:pPr>
        <w:pStyle w:val="SingleTxtG"/>
      </w:pPr>
      <w:r w:rsidRPr="0053764E">
        <w:t>2.</w:t>
      </w:r>
      <w:r w:rsidRPr="0053764E">
        <w:tab/>
        <w:t>At its fortieth session, the Sub-Committee considered proposals for amendment to Chapter 3.4 and consequential amendments to chapters 1.2 and 3.2 as follows:</w:t>
      </w:r>
    </w:p>
    <w:p w14:paraId="17303E17" w14:textId="77777777" w:rsidR="00665572" w:rsidRPr="00665572" w:rsidRDefault="00665572" w:rsidP="00665572">
      <w:pPr>
        <w:pStyle w:val="Bullet1G"/>
      </w:pPr>
      <w:r w:rsidRPr="00665572">
        <w:t xml:space="preserve">ST/SG/AC.10/C.4/2021/4 supplemented with INF.3 (showing the proposed changes to the text of Chapter 3.4) </w:t>
      </w:r>
    </w:p>
    <w:p w14:paraId="30CAA8AF" w14:textId="77777777" w:rsidR="00665572" w:rsidRPr="00665572" w:rsidRDefault="00665572" w:rsidP="00665572">
      <w:pPr>
        <w:pStyle w:val="Bullet1G"/>
      </w:pPr>
      <w:r w:rsidRPr="00665572">
        <w:t>ST/SG/AC.10/C.4/2021/5 supplemented with INF.4 (showing the proposed changes in the current text of the GHS for chapters 1.2 and 3.2).  </w:t>
      </w:r>
    </w:p>
    <w:p w14:paraId="69B6217B" w14:textId="77777777" w:rsidR="00665572" w:rsidRPr="0053764E" w:rsidRDefault="00665572" w:rsidP="00665572">
      <w:pPr>
        <w:pStyle w:val="SingleTxtG"/>
      </w:pPr>
      <w:r w:rsidRPr="0053764E">
        <w:t>3.</w:t>
      </w:r>
      <w:r w:rsidRPr="0053764E">
        <w:tab/>
        <w:t xml:space="preserve">The first sentence of paragraph 3.3.2.9.1 was amended in ST/SG/AC.10/C.4/2021/4 (as shown in its accompanying INF.3) to read: </w:t>
      </w:r>
    </w:p>
    <w:p w14:paraId="0B2F58B5" w14:textId="77777777" w:rsidR="00665572" w:rsidRPr="0053764E" w:rsidRDefault="00665572" w:rsidP="00665572">
      <w:pPr>
        <w:pStyle w:val="SingleTxtG"/>
        <w:ind w:left="1560"/>
      </w:pPr>
      <w:r w:rsidRPr="0053764E">
        <w:t>“3.3.2.9.1 An overall weight of evidence assessment </w:t>
      </w:r>
      <w:r w:rsidRPr="00665572">
        <w:rPr>
          <w:color w:val="FF0000"/>
        </w:rPr>
        <w:t>using expert judgement </w:t>
      </w:r>
      <w:r w:rsidRPr="0053764E">
        <w:t xml:space="preserve">is indicated where none of the previous tiers resulted in a definitive conclusion on classification.”. </w:t>
      </w:r>
    </w:p>
    <w:p w14:paraId="326AD63F" w14:textId="77777777" w:rsidR="00665572" w:rsidRPr="0053764E" w:rsidRDefault="00665572" w:rsidP="00665572">
      <w:pPr>
        <w:pStyle w:val="SingleTxtG"/>
        <w:ind w:right="521"/>
      </w:pPr>
      <w:r w:rsidRPr="0053764E">
        <w:t>4.</w:t>
      </w:r>
      <w:r w:rsidRPr="0053764E">
        <w:tab/>
        <w:t xml:space="preserve">The amendment to 3.3.2.9.1 is accurately reflected in ST/SG/AC.10/C.4/2022/13. </w:t>
      </w:r>
    </w:p>
    <w:p w14:paraId="47A9F518" w14:textId="77777777" w:rsidR="00665572" w:rsidRPr="0053764E" w:rsidRDefault="00665572" w:rsidP="00665572">
      <w:pPr>
        <w:pStyle w:val="SingleTxtG"/>
      </w:pPr>
      <w:r w:rsidRPr="0053764E">
        <w:t>5.</w:t>
      </w:r>
      <w:r w:rsidRPr="0053764E">
        <w:tab/>
        <w:t xml:space="preserve">The same amendment was shown in informal document INF.4 in relation to paragraph 3.2.2.7.1 but was inadvertently omitted in the list of amendments to chapter 3.2 in ST/SG/AC.10/C.4/2021/5 and consequently does not appear in the consolidated list in ST/SG/AC.10/C.4/2022/13. </w:t>
      </w:r>
    </w:p>
    <w:p w14:paraId="5E2C7B20" w14:textId="77777777" w:rsidR="00665572" w:rsidRPr="0053764E" w:rsidRDefault="00665572" w:rsidP="00665572">
      <w:pPr>
        <w:pStyle w:val="SingleTxtG"/>
      </w:pPr>
      <w:r w:rsidRPr="0053764E">
        <w:t>6.</w:t>
      </w:r>
      <w:r w:rsidRPr="0053764E">
        <w:tab/>
        <w:t>The Sub-Committee is invited to consider the correction below to address this issue.</w:t>
      </w:r>
    </w:p>
    <w:p w14:paraId="6B7C598F" w14:textId="77777777" w:rsidR="00665572" w:rsidRDefault="00665572" w:rsidP="00665572">
      <w:pPr>
        <w:pStyle w:val="HChG"/>
        <w:ind w:right="521"/>
      </w:pPr>
      <w:r>
        <w:lastRenderedPageBreak/>
        <w:tab/>
      </w:r>
      <w:r>
        <w:tab/>
        <w:t>Proposal</w:t>
      </w:r>
    </w:p>
    <w:p w14:paraId="1C84A21C" w14:textId="77777777" w:rsidR="00665572" w:rsidRPr="002C699E" w:rsidRDefault="00665572" w:rsidP="00665572">
      <w:pPr>
        <w:pStyle w:val="SingleTxtG"/>
        <w:keepNext/>
        <w:keepLines/>
      </w:pPr>
      <w:r>
        <w:t>6.</w:t>
      </w:r>
      <w:r>
        <w:tab/>
        <w:t>In document S</w:t>
      </w:r>
      <w:r w:rsidRPr="003A57D5">
        <w:t>T/SG/AC.10/C.4/2022/13</w:t>
      </w:r>
      <w:r>
        <w:t xml:space="preserve">, correct the text for 3.2.2.7.1 as follows (new text is shown in </w:t>
      </w:r>
      <w:r w:rsidRPr="00665572">
        <w:rPr>
          <w:color w:val="FF0000"/>
        </w:rPr>
        <w:t>red</w:t>
      </w:r>
      <w:r>
        <w:t xml:space="preserve">): </w:t>
      </w:r>
    </w:p>
    <w:p w14:paraId="274BDA06" w14:textId="77777777" w:rsidR="00665572" w:rsidRDefault="00665572" w:rsidP="00665572">
      <w:pPr>
        <w:pStyle w:val="SingleTxtG"/>
      </w:pPr>
      <w:r>
        <w:t xml:space="preserve">“3.2.2.7.1 </w:t>
      </w:r>
      <w:r>
        <w:tab/>
        <w:t xml:space="preserve">An overall weight of evidence assessment </w:t>
      </w:r>
      <w:r w:rsidRPr="00665572">
        <w:rPr>
          <w:color w:val="FF0000"/>
        </w:rPr>
        <w:t xml:space="preserve">using expert judgement </w:t>
      </w:r>
      <w:r>
        <w:t>is indicated where none of the previous tiers resulted in a definitive conclusion on classification.”.</w:t>
      </w:r>
    </w:p>
    <w:p w14:paraId="63EFEF3A" w14:textId="3FDCCC21" w:rsidR="00760F29" w:rsidRPr="00760F29" w:rsidRDefault="00665572" w:rsidP="005D3891">
      <w:pPr>
        <w:spacing w:before="240"/>
        <w:jc w:val="center"/>
        <w:rPr>
          <w:u w:val="single"/>
        </w:rPr>
      </w:pPr>
      <w:r>
        <w:rPr>
          <w:u w:val="single"/>
        </w:rPr>
        <w:tab/>
      </w:r>
      <w:r>
        <w:rPr>
          <w:u w:val="single"/>
        </w:rPr>
        <w:tab/>
      </w:r>
      <w:r>
        <w:rPr>
          <w:u w:val="single"/>
        </w:rPr>
        <w:tab/>
      </w:r>
    </w:p>
    <w:sectPr w:rsidR="00760F29" w:rsidRPr="00760F29"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0B1A" w14:textId="77777777" w:rsidR="005214E7" w:rsidRDefault="005214E7" w:rsidP="00760F29">
      <w:pPr>
        <w:spacing w:line="240" w:lineRule="auto"/>
      </w:pPr>
      <w:r>
        <w:separator/>
      </w:r>
    </w:p>
  </w:endnote>
  <w:endnote w:type="continuationSeparator" w:id="0">
    <w:p w14:paraId="2C7BDF03" w14:textId="77777777" w:rsidR="005214E7" w:rsidRDefault="005214E7"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BBA00FE" w14:textId="77777777" w:rsidR="00D22A18" w:rsidRDefault="00D22A18"/>
  <w:p w14:paraId="0557C469" w14:textId="77777777" w:rsidR="00D22A18" w:rsidRDefault="00D22A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D22A18" w:rsidRDefault="00D22A18"/>
  <w:p w14:paraId="2D1265E8" w14:textId="77777777" w:rsidR="00D22A18" w:rsidRDefault="00D22A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4F50" w14:textId="77777777" w:rsidR="005214E7" w:rsidRDefault="005214E7" w:rsidP="00760F29">
      <w:pPr>
        <w:spacing w:line="240" w:lineRule="auto"/>
      </w:pPr>
      <w:r>
        <w:separator/>
      </w:r>
    </w:p>
  </w:footnote>
  <w:footnote w:type="continuationSeparator" w:id="0">
    <w:p w14:paraId="29E403CC" w14:textId="77777777" w:rsidR="005214E7" w:rsidRDefault="005214E7"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66B8D485" w:rsidR="00574027" w:rsidRPr="00CE031D" w:rsidRDefault="00574027" w:rsidP="00AA3D2B">
    <w:pPr>
      <w:pStyle w:val="Header"/>
      <w:rPr>
        <w:szCs w:val="18"/>
      </w:rPr>
    </w:pPr>
    <w:r w:rsidRPr="00665572">
      <w:rPr>
        <w:szCs w:val="18"/>
      </w:rPr>
      <w:t>UN/SCE</w:t>
    </w:r>
    <w:r w:rsidR="00F47212" w:rsidRPr="00665572">
      <w:rPr>
        <w:szCs w:val="18"/>
      </w:rPr>
      <w:t>GHS</w:t>
    </w:r>
    <w:r w:rsidRPr="00665572">
      <w:rPr>
        <w:szCs w:val="18"/>
      </w:rPr>
      <w:t>/4</w:t>
    </w:r>
    <w:r w:rsidR="00101999" w:rsidRPr="00665572">
      <w:rPr>
        <w:szCs w:val="18"/>
      </w:rPr>
      <w:t>3/</w:t>
    </w:r>
    <w:r w:rsidRPr="00665572">
      <w:rPr>
        <w:szCs w:val="18"/>
      </w:rPr>
      <w:t>INF.</w:t>
    </w:r>
    <w:r w:rsidR="00665572" w:rsidRPr="00665572">
      <w:rPr>
        <w:szCs w:val="18"/>
      </w:rPr>
      <w:t>15</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p w14:paraId="68C38276" w14:textId="77777777" w:rsidR="00D22A18" w:rsidRDefault="00D22A18"/>
  <w:p w14:paraId="1965A9B4" w14:textId="77777777" w:rsidR="00D22A18" w:rsidRDefault="00D22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w:t>
    </w:r>
    <w:proofErr w:type="spellStart"/>
    <w:r w:rsidRPr="00CE031D">
      <w:rPr>
        <w:szCs w:val="18"/>
      </w:rPr>
      <w:t>INF.</w:t>
    </w:r>
    <w:r w:rsidR="00D660CB">
      <w:rPr>
        <w:szCs w:val="18"/>
      </w:rPr>
      <w:t>xx</w:t>
    </w:r>
    <w:proofErr w:type="spellEnd"/>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056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p w14:paraId="26990627" w14:textId="77777777" w:rsidR="00D22A18" w:rsidRDefault="00D22A18"/>
  <w:p w14:paraId="03F28A43" w14:textId="77777777" w:rsidR="00D22A18" w:rsidRDefault="00D22A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3048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5ED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421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E2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2AD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A87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A1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C80A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AC1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AB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0"/>
  </w:num>
  <w:num w:numId="4">
    <w:abstractNumId w:val="17"/>
  </w:num>
  <w:num w:numId="5">
    <w:abstractNumId w:val="14"/>
  </w:num>
  <w:num w:numId="6">
    <w:abstractNumId w:val="13"/>
  </w:num>
  <w:num w:numId="7">
    <w:abstractNumId w:val="11"/>
  </w:num>
  <w:num w:numId="8">
    <w:abstractNumId w:val="16"/>
  </w:num>
  <w:num w:numId="9">
    <w:abstractNumId w:val="12"/>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3079A"/>
    <w:rsid w:val="0006039D"/>
    <w:rsid w:val="00060D23"/>
    <w:rsid w:val="000B6ACF"/>
    <w:rsid w:val="000F5997"/>
    <w:rsid w:val="00101999"/>
    <w:rsid w:val="001B057F"/>
    <w:rsid w:val="001C5FE4"/>
    <w:rsid w:val="00223F9F"/>
    <w:rsid w:val="00225747"/>
    <w:rsid w:val="00226CEA"/>
    <w:rsid w:val="00236385"/>
    <w:rsid w:val="00244E9C"/>
    <w:rsid w:val="00260117"/>
    <w:rsid w:val="0028150B"/>
    <w:rsid w:val="00371089"/>
    <w:rsid w:val="003A2A96"/>
    <w:rsid w:val="003A3245"/>
    <w:rsid w:val="003B2653"/>
    <w:rsid w:val="003C10B9"/>
    <w:rsid w:val="003C425A"/>
    <w:rsid w:val="003D74EA"/>
    <w:rsid w:val="003E64B9"/>
    <w:rsid w:val="00406A6B"/>
    <w:rsid w:val="004108A7"/>
    <w:rsid w:val="004B5A77"/>
    <w:rsid w:val="004E7435"/>
    <w:rsid w:val="00512E3F"/>
    <w:rsid w:val="005214E7"/>
    <w:rsid w:val="00522D72"/>
    <w:rsid w:val="00574027"/>
    <w:rsid w:val="00592369"/>
    <w:rsid w:val="005C0B65"/>
    <w:rsid w:val="005D3891"/>
    <w:rsid w:val="005E79BB"/>
    <w:rsid w:val="005F7AE9"/>
    <w:rsid w:val="0062617C"/>
    <w:rsid w:val="00630265"/>
    <w:rsid w:val="00633F54"/>
    <w:rsid w:val="00647244"/>
    <w:rsid w:val="00665572"/>
    <w:rsid w:val="00686B73"/>
    <w:rsid w:val="006A2C7D"/>
    <w:rsid w:val="006D3E76"/>
    <w:rsid w:val="00717408"/>
    <w:rsid w:val="00760F29"/>
    <w:rsid w:val="007A5031"/>
    <w:rsid w:val="007C1E4D"/>
    <w:rsid w:val="007C61DB"/>
    <w:rsid w:val="007D47BB"/>
    <w:rsid w:val="007E0B86"/>
    <w:rsid w:val="007F1D3F"/>
    <w:rsid w:val="00822F3B"/>
    <w:rsid w:val="008D54D0"/>
    <w:rsid w:val="00930F93"/>
    <w:rsid w:val="0094551F"/>
    <w:rsid w:val="009855D0"/>
    <w:rsid w:val="009B11B2"/>
    <w:rsid w:val="009E1F11"/>
    <w:rsid w:val="009E245E"/>
    <w:rsid w:val="009E42E4"/>
    <w:rsid w:val="009F552B"/>
    <w:rsid w:val="00A55BFD"/>
    <w:rsid w:val="00A57ACB"/>
    <w:rsid w:val="00A83A4A"/>
    <w:rsid w:val="00A91B52"/>
    <w:rsid w:val="00AA3D2B"/>
    <w:rsid w:val="00AA6BD9"/>
    <w:rsid w:val="00AD6475"/>
    <w:rsid w:val="00B64854"/>
    <w:rsid w:val="00B653A7"/>
    <w:rsid w:val="00B77E3D"/>
    <w:rsid w:val="00B85035"/>
    <w:rsid w:val="00BF0E50"/>
    <w:rsid w:val="00C13576"/>
    <w:rsid w:val="00C13F89"/>
    <w:rsid w:val="00C21DFE"/>
    <w:rsid w:val="00C60AE5"/>
    <w:rsid w:val="00C62CEC"/>
    <w:rsid w:val="00C64CCA"/>
    <w:rsid w:val="00C65283"/>
    <w:rsid w:val="00C97ECF"/>
    <w:rsid w:val="00CA28D8"/>
    <w:rsid w:val="00CA3BB9"/>
    <w:rsid w:val="00CA5128"/>
    <w:rsid w:val="00CE031D"/>
    <w:rsid w:val="00D22A18"/>
    <w:rsid w:val="00D57610"/>
    <w:rsid w:val="00D660CB"/>
    <w:rsid w:val="00D841B8"/>
    <w:rsid w:val="00DB521F"/>
    <w:rsid w:val="00DD396E"/>
    <w:rsid w:val="00E15AE8"/>
    <w:rsid w:val="00E1727E"/>
    <w:rsid w:val="00E7454A"/>
    <w:rsid w:val="00E97BCE"/>
    <w:rsid w:val="00EA3F81"/>
    <w:rsid w:val="00EA5B52"/>
    <w:rsid w:val="00F22714"/>
    <w:rsid w:val="00F27F2C"/>
    <w:rsid w:val="00F41B6B"/>
    <w:rsid w:val="00F47212"/>
    <w:rsid w:val="00F84D75"/>
    <w:rsid w:val="00F970C4"/>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35</cp:revision>
  <dcterms:created xsi:type="dcterms:W3CDTF">2016-08-19T14:48:00Z</dcterms:created>
  <dcterms:modified xsi:type="dcterms:W3CDTF">2022-11-21T09:33:00Z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