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0B85DB02" w:rsidR="00717408" w:rsidRPr="00FA0F0E" w:rsidRDefault="00FA63B2" w:rsidP="00D660CB">
            <w:pPr>
              <w:jc w:val="right"/>
              <w:rPr>
                <w:b/>
                <w:sz w:val="40"/>
                <w:szCs w:val="40"/>
              </w:rPr>
            </w:pPr>
            <w:r w:rsidRPr="00FA0F0E">
              <w:rPr>
                <w:b/>
                <w:sz w:val="40"/>
                <w:szCs w:val="40"/>
              </w:rPr>
              <w:t>UN/SCEGHS/</w:t>
            </w:r>
            <w:r w:rsidR="00DF225F" w:rsidRPr="00FA0F0E">
              <w:rPr>
                <w:b/>
                <w:sz w:val="40"/>
                <w:szCs w:val="40"/>
              </w:rPr>
              <w:t>4</w:t>
            </w:r>
            <w:r w:rsidR="00DF225F">
              <w:rPr>
                <w:b/>
                <w:sz w:val="40"/>
                <w:szCs w:val="40"/>
              </w:rPr>
              <w:t>3</w:t>
            </w:r>
            <w:r w:rsidRPr="00FA0F0E">
              <w:rPr>
                <w:b/>
                <w:sz w:val="40"/>
                <w:szCs w:val="40"/>
              </w:rPr>
              <w:t>/INF.</w:t>
            </w:r>
            <w:r w:rsidR="00074E2A">
              <w:rPr>
                <w:b/>
                <w:sz w:val="40"/>
                <w:szCs w:val="40"/>
              </w:rPr>
              <w:t>8</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6585B5A0" w:rsidR="00717408" w:rsidRPr="00951EBC" w:rsidRDefault="00FA63B2" w:rsidP="00DF225F">
            <w:pPr>
              <w:tabs>
                <w:tab w:val="left" w:pos="7371"/>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730445">
              <w:rPr>
                <w:b/>
                <w:bCs/>
              </w:rPr>
              <w:t>10</w:t>
            </w:r>
            <w:r w:rsidR="005A26A3">
              <w:rPr>
                <w:b/>
                <w:bCs/>
              </w:rPr>
              <w:t xml:space="preserve"> </w:t>
            </w:r>
            <w:r w:rsidR="00DF225F">
              <w:rPr>
                <w:b/>
                <w:bCs/>
              </w:rPr>
              <w:t>November</w:t>
            </w:r>
            <w:r w:rsidR="00717408" w:rsidRPr="00764A83">
              <w:rPr>
                <w:b/>
                <w:bCs/>
              </w:rPr>
              <w:t xml:space="preserve"> </w:t>
            </w:r>
            <w:r w:rsidR="009B11B2" w:rsidRPr="00764A83">
              <w:rPr>
                <w:b/>
                <w:bCs/>
              </w:rPr>
              <w:t>202</w:t>
            </w:r>
            <w:r w:rsidR="00DF225F">
              <w:rPr>
                <w:b/>
                <w:bCs/>
              </w:rPr>
              <w:t>2</w:t>
            </w:r>
          </w:p>
          <w:p w14:paraId="2461E4DA" w14:textId="77777777" w:rsidR="00B8470F" w:rsidRPr="00655BD4" w:rsidRDefault="00B8470F" w:rsidP="00B8470F">
            <w:pPr>
              <w:spacing w:before="120"/>
              <w:rPr>
                <w:b/>
              </w:rPr>
            </w:pPr>
            <w:r w:rsidRPr="00655BD4">
              <w:rPr>
                <w:b/>
              </w:rPr>
              <w:t>Forty-third session</w:t>
            </w:r>
          </w:p>
          <w:p w14:paraId="5A9534C5" w14:textId="77777777" w:rsidR="00B8470F" w:rsidRPr="00655BD4" w:rsidRDefault="00B8470F" w:rsidP="00B8470F">
            <w:r w:rsidRPr="00655BD4">
              <w:t xml:space="preserve">Geneva, 7-9 December 2022 </w:t>
            </w:r>
          </w:p>
          <w:p w14:paraId="29163E89" w14:textId="77777777" w:rsidR="00B8470F" w:rsidRPr="00655BD4" w:rsidRDefault="00B8470F" w:rsidP="00B8470F">
            <w:r w:rsidRPr="00655BD4">
              <w:t>Item 3 (c) of the provisional agenda</w:t>
            </w:r>
          </w:p>
          <w:p w14:paraId="7F67E7DF" w14:textId="5569E6DC" w:rsidR="00717408" w:rsidRPr="00AC7597" w:rsidRDefault="00B8470F" w:rsidP="00B8470F">
            <w:pPr>
              <w:spacing w:line="240" w:lineRule="exact"/>
              <w:rPr>
                <w:b/>
                <w:bCs/>
              </w:rPr>
            </w:pPr>
            <w:r w:rsidRPr="00655BD4">
              <w:rPr>
                <w:b/>
              </w:rPr>
              <w:t xml:space="preserve">Work on the Globally Harmonized System of Classification and </w:t>
            </w:r>
            <w:r w:rsidRPr="00655BD4">
              <w:rPr>
                <w:b/>
              </w:rPr>
              <w:br/>
              <w:t xml:space="preserve">Labelling of Chemicals: use of non-animal testing methods </w:t>
            </w:r>
            <w:r w:rsidRPr="00655BD4">
              <w:rPr>
                <w:b/>
              </w:rPr>
              <w:br/>
              <w:t>for classification of health hazards</w:t>
            </w:r>
          </w:p>
        </w:tc>
      </w:tr>
    </w:tbl>
    <w:p w14:paraId="28164E0B" w14:textId="10BF511F" w:rsidR="00932AAB" w:rsidRPr="003D3ADE" w:rsidRDefault="00932AAB" w:rsidP="003D3ADE">
      <w:pPr>
        <w:pStyle w:val="HChG"/>
        <w:ind w:right="-188"/>
        <w:rPr>
          <w:sz w:val="27"/>
          <w:szCs w:val="27"/>
        </w:rPr>
      </w:pPr>
      <w:r w:rsidRPr="009E7ABD">
        <w:rPr>
          <w:rFonts w:eastAsia="MS Mincho"/>
          <w:lang w:val="en-US" w:eastAsia="ja-JP"/>
        </w:rPr>
        <w:tab/>
      </w:r>
      <w:r>
        <w:rPr>
          <w:rFonts w:eastAsia="MS Mincho"/>
          <w:lang w:val="en-US" w:eastAsia="ja-JP"/>
        </w:rPr>
        <w:tab/>
      </w:r>
      <w:r w:rsidR="00AA4176" w:rsidRPr="003D3ADE">
        <w:rPr>
          <w:rFonts w:eastAsia="MS Mincho"/>
          <w:sz w:val="27"/>
          <w:szCs w:val="27"/>
          <w:lang w:val="en-US" w:eastAsia="ja-JP"/>
        </w:rPr>
        <w:t>A</w:t>
      </w:r>
      <w:r w:rsidR="00A65C57" w:rsidRPr="003D3ADE">
        <w:rPr>
          <w:rFonts w:eastAsia="MS Mincho"/>
          <w:sz w:val="27"/>
          <w:szCs w:val="27"/>
          <w:lang w:val="en-US" w:eastAsia="ja-JP"/>
        </w:rPr>
        <w:t>mendment</w:t>
      </w:r>
      <w:r w:rsidR="003279EE" w:rsidRPr="003D3ADE">
        <w:rPr>
          <w:rFonts w:eastAsia="MS Mincho"/>
          <w:sz w:val="27"/>
          <w:szCs w:val="27"/>
          <w:lang w:val="en-US" w:eastAsia="ja-JP"/>
        </w:rPr>
        <w:t>s</w:t>
      </w:r>
      <w:r w:rsidR="00A65C57" w:rsidRPr="003D3ADE">
        <w:rPr>
          <w:rFonts w:eastAsia="MS Mincho"/>
          <w:sz w:val="27"/>
          <w:szCs w:val="27"/>
          <w:lang w:val="en-US" w:eastAsia="ja-JP"/>
        </w:rPr>
        <w:t xml:space="preserve"> to</w:t>
      </w:r>
      <w:r w:rsidR="00A65C57" w:rsidRPr="003D3ADE">
        <w:rPr>
          <w:sz w:val="27"/>
          <w:szCs w:val="27"/>
        </w:rPr>
        <w:t xml:space="preserve"> </w:t>
      </w:r>
      <w:r w:rsidR="006E2FFA">
        <w:rPr>
          <w:sz w:val="27"/>
          <w:szCs w:val="27"/>
        </w:rPr>
        <w:t xml:space="preserve">the proposal </w:t>
      </w:r>
      <w:r w:rsidR="007E440B" w:rsidRPr="003D3ADE">
        <w:rPr>
          <w:sz w:val="27"/>
          <w:szCs w:val="27"/>
        </w:rPr>
        <w:t xml:space="preserve">in </w:t>
      </w:r>
      <w:r w:rsidR="00AA4176" w:rsidRPr="003D3ADE">
        <w:rPr>
          <w:sz w:val="27"/>
          <w:szCs w:val="27"/>
        </w:rPr>
        <w:t>ST/SG/AC.10/</w:t>
      </w:r>
      <w:r w:rsidR="006B4086" w:rsidRPr="003D3ADE">
        <w:rPr>
          <w:sz w:val="27"/>
          <w:szCs w:val="27"/>
        </w:rPr>
        <w:t>2022</w:t>
      </w:r>
      <w:r w:rsidR="007E440B" w:rsidRPr="003D3ADE">
        <w:rPr>
          <w:sz w:val="27"/>
          <w:szCs w:val="27"/>
        </w:rPr>
        <w:t>/</w:t>
      </w:r>
      <w:r w:rsidR="006B4086" w:rsidRPr="003D3ADE">
        <w:rPr>
          <w:sz w:val="27"/>
          <w:szCs w:val="27"/>
        </w:rPr>
        <w:t xml:space="preserve">14 </w:t>
      </w:r>
    </w:p>
    <w:p w14:paraId="7ABCC86B" w14:textId="79D0CCE7" w:rsidR="00932AAB" w:rsidRDefault="00932AAB" w:rsidP="00D90ACE">
      <w:pPr>
        <w:pStyle w:val="H1G"/>
        <w:ind w:right="237"/>
        <w:jc w:val="both"/>
      </w:pPr>
      <w:r>
        <w:tab/>
      </w:r>
      <w:r>
        <w:tab/>
      </w:r>
      <w:r w:rsidRPr="00AE4DC1">
        <w:t xml:space="preserve">Transmitted by </w:t>
      </w:r>
      <w:r w:rsidRPr="00AE4DC1">
        <w:rPr>
          <w:lang w:eastAsia="ja-JP"/>
        </w:rPr>
        <w:t>the expert</w:t>
      </w:r>
      <w:r>
        <w:rPr>
          <w:lang w:eastAsia="ja-JP"/>
        </w:rPr>
        <w:t>s</w:t>
      </w:r>
      <w:r w:rsidRPr="00AE4DC1">
        <w:rPr>
          <w:lang w:eastAsia="ja-JP"/>
        </w:rPr>
        <w:t xml:space="preserve"> </w:t>
      </w:r>
      <w:r w:rsidRPr="00AE4DC1">
        <w:t xml:space="preserve">from the United </w:t>
      </w:r>
      <w:r w:rsidRPr="0064644C">
        <w:t>Kingdom</w:t>
      </w:r>
      <w:r>
        <w:t xml:space="preserve"> and the Netherlands</w:t>
      </w:r>
      <w:r w:rsidRPr="00AE4DC1">
        <w:t xml:space="preserve"> </w:t>
      </w:r>
      <w:r w:rsidRPr="00AE4DC1">
        <w:rPr>
          <w:lang w:eastAsia="de-DE"/>
        </w:rPr>
        <w:t xml:space="preserve">on behalf of the informal </w:t>
      </w:r>
      <w:r>
        <w:rPr>
          <w:lang w:eastAsia="de-DE"/>
        </w:rPr>
        <w:t>working</w:t>
      </w:r>
      <w:r w:rsidRPr="00AE4DC1">
        <w:rPr>
          <w:lang w:eastAsia="de-DE"/>
        </w:rPr>
        <w:t xml:space="preserve"> </w:t>
      </w:r>
      <w:r w:rsidRPr="0097163C">
        <w:t>group</w:t>
      </w:r>
      <w:r w:rsidR="00CB162B">
        <w:t xml:space="preserve"> </w:t>
      </w:r>
      <w:r w:rsidR="00CB162B" w:rsidRPr="00DA7696">
        <w:t>on the use of non-animal testing methods for classification of health and environmental hazards</w:t>
      </w:r>
    </w:p>
    <w:p w14:paraId="3761BB90" w14:textId="77777777" w:rsidR="00932AAB" w:rsidRDefault="00932AAB" w:rsidP="00932AAB">
      <w:pPr>
        <w:pStyle w:val="HChG"/>
      </w:pPr>
      <w:r>
        <w:tab/>
      </w:r>
      <w:r>
        <w:tab/>
        <w:t>Introduction</w:t>
      </w:r>
    </w:p>
    <w:p w14:paraId="60BA6869" w14:textId="74949225" w:rsidR="008309AD" w:rsidRDefault="00CB345A" w:rsidP="00A62449">
      <w:pPr>
        <w:pStyle w:val="SingleTxtG"/>
        <w:tabs>
          <w:tab w:val="left" w:pos="1843"/>
        </w:tabs>
        <w:ind w:right="237"/>
      </w:pPr>
      <w:r>
        <w:t>1.</w:t>
      </w:r>
      <w:r>
        <w:tab/>
      </w:r>
      <w:r w:rsidR="007D15C1">
        <w:t>T</w:t>
      </w:r>
      <w:r w:rsidR="00772B95">
        <w:t xml:space="preserve">his </w:t>
      </w:r>
      <w:proofErr w:type="spellStart"/>
      <w:r w:rsidR="00772B95" w:rsidRPr="00772B95">
        <w:rPr>
          <w:lang w:val="fr-CH"/>
        </w:rPr>
        <w:t>informal</w:t>
      </w:r>
      <w:proofErr w:type="spellEnd"/>
      <w:r w:rsidR="00772B95" w:rsidRPr="00772B95">
        <w:rPr>
          <w:lang w:val="fr-CH"/>
        </w:rPr>
        <w:t xml:space="preserve"> document</w:t>
      </w:r>
      <w:r w:rsidR="00772B95">
        <w:t xml:space="preserve"> </w:t>
      </w:r>
      <w:r w:rsidR="007A06F5">
        <w:t xml:space="preserve">proposes </w:t>
      </w:r>
      <w:r w:rsidR="005D6E2B">
        <w:t xml:space="preserve">revised </w:t>
      </w:r>
      <w:r w:rsidR="008309AD">
        <w:t xml:space="preserve">paragraphs and </w:t>
      </w:r>
      <w:r w:rsidR="004A002C">
        <w:t>section</w:t>
      </w:r>
      <w:r w:rsidR="0026153E">
        <w:t>s</w:t>
      </w:r>
      <w:r w:rsidR="004A002C">
        <w:t xml:space="preserve"> </w:t>
      </w:r>
      <w:r w:rsidR="00CC69C0">
        <w:t>following the outcome of the discussions of the informal working group</w:t>
      </w:r>
      <w:r w:rsidR="00B23245">
        <w:t xml:space="preserve"> on the proposed revision of Chapter 3.</w:t>
      </w:r>
      <w:r w:rsidR="00C33D50">
        <w:t>4</w:t>
      </w:r>
      <w:r w:rsidR="008110FA">
        <w:t xml:space="preserve"> (document </w:t>
      </w:r>
      <w:r w:rsidR="008110FA" w:rsidRPr="00380718">
        <w:rPr>
          <w:rFonts w:eastAsia="MS Mincho"/>
          <w:lang w:val="en-US" w:eastAsia="ja-JP"/>
        </w:rPr>
        <w:t>ST/SG/AC.10/C.4/202</w:t>
      </w:r>
      <w:r w:rsidR="008110FA">
        <w:rPr>
          <w:rFonts w:eastAsia="MS Mincho"/>
          <w:lang w:val="en-US" w:eastAsia="ja-JP"/>
        </w:rPr>
        <w:t>2</w:t>
      </w:r>
      <w:r w:rsidR="008110FA" w:rsidRPr="00380718">
        <w:rPr>
          <w:rFonts w:eastAsia="MS Mincho"/>
          <w:lang w:val="en-US" w:eastAsia="ja-JP"/>
        </w:rPr>
        <w:t>/</w:t>
      </w:r>
      <w:r w:rsidR="008110FA">
        <w:rPr>
          <w:rFonts w:eastAsia="MS Mincho"/>
          <w:lang w:val="en-US" w:eastAsia="ja-JP"/>
        </w:rPr>
        <w:t>14 and INF.</w:t>
      </w:r>
      <w:r w:rsidR="00613317">
        <w:rPr>
          <w:rFonts w:eastAsia="MS Mincho"/>
          <w:lang w:val="en-US" w:eastAsia="ja-JP"/>
        </w:rPr>
        <w:t>3)</w:t>
      </w:r>
      <w:r w:rsidR="00B23245">
        <w:t xml:space="preserve"> </w:t>
      </w:r>
      <w:r w:rsidR="00A23E8E">
        <w:t>to incorporate non-animal testing methods for skin sensiti</w:t>
      </w:r>
      <w:r w:rsidR="007935C2">
        <w:t>zation</w:t>
      </w:r>
      <w:r w:rsidR="00CC69C0">
        <w:t xml:space="preserve">. </w:t>
      </w:r>
    </w:p>
    <w:p w14:paraId="3B65658B" w14:textId="35FF42B1" w:rsidR="00932AAB" w:rsidRDefault="008309AD" w:rsidP="00A62449">
      <w:pPr>
        <w:pStyle w:val="SingleTxtG"/>
        <w:tabs>
          <w:tab w:val="left" w:pos="1843"/>
        </w:tabs>
        <w:ind w:right="237"/>
      </w:pPr>
      <w:r>
        <w:t>2.</w:t>
      </w:r>
      <w:r>
        <w:tab/>
      </w:r>
      <w:r w:rsidR="00CC69C0">
        <w:t>The</w:t>
      </w:r>
      <w:r w:rsidR="00226EA2">
        <w:t xml:space="preserve"> amendments </w:t>
      </w:r>
      <w:r w:rsidR="00044E23">
        <w:t>listed under</w:t>
      </w:r>
      <w:r w:rsidR="00BB1BD6">
        <w:t xml:space="preserve"> paragraph </w:t>
      </w:r>
      <w:r w:rsidRPr="005A26A3">
        <w:t>1</w:t>
      </w:r>
      <w:r w:rsidR="00404F50" w:rsidRPr="005A26A3">
        <w:t>3</w:t>
      </w:r>
      <w:r w:rsidRPr="005A26A3">
        <w:t xml:space="preserve"> </w:t>
      </w:r>
      <w:r w:rsidR="00795DAB" w:rsidRPr="005A26A3">
        <w:t>o</w:t>
      </w:r>
      <w:r w:rsidR="00795DAB">
        <w:t xml:space="preserve">f this document </w:t>
      </w:r>
      <w:r w:rsidR="00BA02A2">
        <w:t xml:space="preserve">address additional changes to the text </w:t>
      </w:r>
      <w:r w:rsidR="00D509E4">
        <w:t xml:space="preserve">proposed </w:t>
      </w:r>
      <w:r w:rsidR="00CC69C0">
        <w:t xml:space="preserve">in </w:t>
      </w:r>
      <w:r w:rsidR="00CC69C0" w:rsidRPr="00380718">
        <w:rPr>
          <w:rFonts w:eastAsia="MS Mincho"/>
          <w:lang w:val="en-US" w:eastAsia="ja-JP"/>
        </w:rPr>
        <w:t>ST/SG/AC.10/C.4/</w:t>
      </w:r>
      <w:r w:rsidR="00C439EA" w:rsidRPr="00380718">
        <w:rPr>
          <w:rFonts w:eastAsia="MS Mincho"/>
          <w:lang w:val="en-US" w:eastAsia="ja-JP"/>
        </w:rPr>
        <w:t>202</w:t>
      </w:r>
      <w:r w:rsidR="00C439EA">
        <w:rPr>
          <w:rFonts w:eastAsia="MS Mincho"/>
          <w:lang w:val="en-US" w:eastAsia="ja-JP"/>
        </w:rPr>
        <w:t>2</w:t>
      </w:r>
      <w:r w:rsidR="00CC69C0" w:rsidRPr="00380718">
        <w:rPr>
          <w:rFonts w:eastAsia="MS Mincho"/>
          <w:lang w:val="en-US" w:eastAsia="ja-JP"/>
        </w:rPr>
        <w:t>/</w:t>
      </w:r>
      <w:r w:rsidR="00C439EA">
        <w:rPr>
          <w:rFonts w:eastAsia="MS Mincho"/>
          <w:lang w:val="en-US" w:eastAsia="ja-JP"/>
        </w:rPr>
        <w:t xml:space="preserve">14 </w:t>
      </w:r>
      <w:r w:rsidR="008032FE">
        <w:rPr>
          <w:rFonts w:eastAsia="MS Mincho"/>
          <w:lang w:val="en-US" w:eastAsia="ja-JP"/>
        </w:rPr>
        <w:t xml:space="preserve">for </w:t>
      </w:r>
      <w:r w:rsidR="00B33910">
        <w:rPr>
          <w:rFonts w:eastAsia="MS Mincho"/>
          <w:lang w:val="en-US" w:eastAsia="ja-JP"/>
        </w:rPr>
        <w:t>the following</w:t>
      </w:r>
      <w:r w:rsidR="00E51F65">
        <w:rPr>
          <w:rFonts w:eastAsia="MS Mincho"/>
          <w:lang w:val="en-US" w:eastAsia="ja-JP"/>
        </w:rPr>
        <w:t xml:space="preserve"> </w:t>
      </w:r>
      <w:r w:rsidR="00B33910">
        <w:t>paragraph</w:t>
      </w:r>
      <w:r w:rsidR="00717AF4">
        <w:t>s, sections</w:t>
      </w:r>
      <w:r w:rsidR="008A65DF">
        <w:t>,</w:t>
      </w:r>
      <w:r w:rsidR="00717AF4">
        <w:t xml:space="preserve"> figure</w:t>
      </w:r>
      <w:r w:rsidR="006120F6">
        <w:t>,</w:t>
      </w:r>
      <w:r w:rsidR="008830EF">
        <w:t xml:space="preserve"> </w:t>
      </w:r>
      <w:r w:rsidR="00C921CF">
        <w:t>decision logic</w:t>
      </w:r>
      <w:r w:rsidR="008830EF">
        <w:t>, table and reference list</w:t>
      </w:r>
      <w:r w:rsidR="00717AF4">
        <w:t>:</w:t>
      </w:r>
      <w:r w:rsidR="00B33910">
        <w:t xml:space="preserve"> 3.4.2.2.1.4; </w:t>
      </w:r>
      <w:r w:rsidR="00134235">
        <w:t>3.4.</w:t>
      </w:r>
      <w:r w:rsidR="00BA44E3">
        <w:t>2.2.</w:t>
      </w:r>
      <w:r w:rsidR="00C354F0">
        <w:t>4</w:t>
      </w:r>
      <w:r w:rsidR="00BA44E3">
        <w:t xml:space="preserve"> (</w:t>
      </w:r>
      <w:r w:rsidR="00F77B2F">
        <w:t>3.4.2.2.4.</w:t>
      </w:r>
      <w:r w:rsidR="000F3169">
        <w:t>1</w:t>
      </w:r>
      <w:r w:rsidR="00BA44E3">
        <w:t xml:space="preserve"> to</w:t>
      </w:r>
      <w:r w:rsidR="00F77B2F">
        <w:t xml:space="preserve"> </w:t>
      </w:r>
      <w:r w:rsidR="00B33910">
        <w:t>3.4.2.2.4.3</w:t>
      </w:r>
      <w:r w:rsidR="00BA44E3">
        <w:t>)</w:t>
      </w:r>
      <w:r w:rsidR="00B33910">
        <w:t xml:space="preserve">; </w:t>
      </w:r>
      <w:r w:rsidR="004445D7">
        <w:t>3.4.2.2.5 (</w:t>
      </w:r>
      <w:r w:rsidR="00F068CC" w:rsidRPr="00182DCF">
        <w:t>3.4.2.2.5.</w:t>
      </w:r>
      <w:r w:rsidR="00F068CC">
        <w:t xml:space="preserve">1 to </w:t>
      </w:r>
      <w:r w:rsidR="00B33910" w:rsidRPr="00182DCF">
        <w:t>3</w:t>
      </w:r>
      <w:r w:rsidR="00B33910" w:rsidRPr="00204A3C">
        <w:t>.4.2.2.5.</w:t>
      </w:r>
      <w:r w:rsidR="00204A3C">
        <w:t>3</w:t>
      </w:r>
      <w:r w:rsidR="004445D7">
        <w:t>)</w:t>
      </w:r>
      <w:r w:rsidR="00B33910">
        <w:t xml:space="preserve">; </w:t>
      </w:r>
      <w:r w:rsidR="00B33910" w:rsidRPr="00182DCF">
        <w:t>3.4.2.2.6.1</w:t>
      </w:r>
      <w:r w:rsidR="00B33910">
        <w:t>; 3.4.2.</w:t>
      </w:r>
      <w:r w:rsidR="00B33910" w:rsidRPr="009B00D4">
        <w:t>2.7</w:t>
      </w:r>
      <w:r w:rsidR="00A108A6" w:rsidRPr="009B00D4">
        <w:t xml:space="preserve"> (</w:t>
      </w:r>
      <w:r w:rsidR="0013721D" w:rsidRPr="009B00D4">
        <w:t>3.4.2.2.7.3 to 3.4.2.2.7.7</w:t>
      </w:r>
      <w:r w:rsidR="00A108A6" w:rsidRPr="009B00D4">
        <w:t>)</w:t>
      </w:r>
      <w:r w:rsidR="00B33910" w:rsidRPr="009B00D4">
        <w:t xml:space="preserve">; Figure 3.4.1; </w:t>
      </w:r>
      <w:r w:rsidR="00CD6413" w:rsidRPr="009B00D4">
        <w:t xml:space="preserve">Decision logic </w:t>
      </w:r>
      <w:r w:rsidR="008A67F0" w:rsidRPr="009B00D4">
        <w:t>3.4.</w:t>
      </w:r>
      <w:r w:rsidR="00B8609B" w:rsidRPr="009B00D4">
        <w:t xml:space="preserve">2; </w:t>
      </w:r>
      <w:r w:rsidR="00AB0376" w:rsidRPr="00B64D0F">
        <w:t>3.4.5.3.</w:t>
      </w:r>
      <w:r w:rsidR="00A322EE">
        <w:t>1</w:t>
      </w:r>
      <w:r w:rsidR="00AB0376">
        <w:t xml:space="preserve">; </w:t>
      </w:r>
      <w:r w:rsidR="00B33910" w:rsidRPr="009B00D4">
        <w:t>3.4.5.3.2</w:t>
      </w:r>
      <w:r w:rsidR="008A6C46" w:rsidRPr="0037659D">
        <w:t xml:space="preserve"> (</w:t>
      </w:r>
      <w:r w:rsidR="00134235" w:rsidRPr="002739B6">
        <w:t>3.4.5.3.2.1 to 3.4.5.3.2.4</w:t>
      </w:r>
      <w:r w:rsidR="00214E4B" w:rsidRPr="002739B6">
        <w:t>; 3.4.5.</w:t>
      </w:r>
      <w:r w:rsidR="007C4159" w:rsidRPr="003E075C">
        <w:t xml:space="preserve">3.2.6 to </w:t>
      </w:r>
      <w:r w:rsidR="007C4159" w:rsidRPr="00025929">
        <w:t>3.4.5.</w:t>
      </w:r>
      <w:r w:rsidR="007C4159" w:rsidRPr="00890FC5">
        <w:t>3.2.</w:t>
      </w:r>
      <w:r w:rsidR="007C4159" w:rsidRPr="002057FF">
        <w:t>7</w:t>
      </w:r>
      <w:r w:rsidR="008A6C46" w:rsidRPr="002057FF">
        <w:t>)</w:t>
      </w:r>
      <w:r w:rsidR="00B33910" w:rsidRPr="00253716">
        <w:t xml:space="preserve">; </w:t>
      </w:r>
      <w:r w:rsidR="00B33910" w:rsidRPr="009B00D4">
        <w:t>3.4.5.3.3; 3.4.5.3.5; 3.4.5.3.6.1;</w:t>
      </w:r>
      <w:r w:rsidR="00F22851" w:rsidRPr="009B00D4">
        <w:t xml:space="preserve"> </w:t>
      </w:r>
      <w:r w:rsidR="00B33910" w:rsidRPr="009B00D4">
        <w:t>3.4.5.3.7</w:t>
      </w:r>
      <w:r w:rsidR="0053002D" w:rsidRPr="009B00D4">
        <w:t>;</w:t>
      </w:r>
      <w:r w:rsidR="00E36278" w:rsidRPr="009B00D4">
        <w:t xml:space="preserve"> </w:t>
      </w:r>
      <w:r w:rsidR="006120F6" w:rsidRPr="009B00D4">
        <w:t xml:space="preserve">Table 3.4.7; </w:t>
      </w:r>
      <w:r w:rsidR="00E36278" w:rsidRPr="009B00D4">
        <w:t>and</w:t>
      </w:r>
      <w:r w:rsidR="00E36278">
        <w:t xml:space="preserve"> the reference list</w:t>
      </w:r>
      <w:r w:rsidR="00932AAB">
        <w:t>.</w:t>
      </w:r>
      <w:r w:rsidR="006A714C">
        <w:t xml:space="preserve"> </w:t>
      </w:r>
      <w:r w:rsidR="003D3ADE">
        <w:t xml:space="preserve">The </w:t>
      </w:r>
      <w:r w:rsidR="00A91F89">
        <w:t xml:space="preserve">revised text of </w:t>
      </w:r>
      <w:r w:rsidR="003D3ADE">
        <w:t xml:space="preserve">Chapter 3.4, including </w:t>
      </w:r>
      <w:r w:rsidR="00F25946">
        <w:t xml:space="preserve">the amendments listed in </w:t>
      </w:r>
      <w:r w:rsidR="00F25946" w:rsidRPr="00380718">
        <w:rPr>
          <w:rFonts w:eastAsia="MS Mincho"/>
          <w:lang w:val="en-US" w:eastAsia="ja-JP"/>
        </w:rPr>
        <w:t>ST/SG/AC.10/C.4/202</w:t>
      </w:r>
      <w:r w:rsidR="00F25946">
        <w:rPr>
          <w:rFonts w:eastAsia="MS Mincho"/>
          <w:lang w:val="en-US" w:eastAsia="ja-JP"/>
        </w:rPr>
        <w:t>2</w:t>
      </w:r>
      <w:r w:rsidR="00F25946" w:rsidRPr="00380718">
        <w:rPr>
          <w:rFonts w:eastAsia="MS Mincho"/>
          <w:lang w:val="en-US" w:eastAsia="ja-JP"/>
        </w:rPr>
        <w:t>/</w:t>
      </w:r>
      <w:r w:rsidR="00F25946">
        <w:rPr>
          <w:rFonts w:eastAsia="MS Mincho"/>
          <w:lang w:val="en-US" w:eastAsia="ja-JP"/>
        </w:rPr>
        <w:t xml:space="preserve">14, as modified by </w:t>
      </w:r>
      <w:r w:rsidR="003D3ADE">
        <w:t xml:space="preserve">those proposed within this document, are provided in informal document </w:t>
      </w:r>
      <w:r w:rsidR="003D3ADE" w:rsidRPr="00FA67E2">
        <w:t>INF.3/Rev.1</w:t>
      </w:r>
      <w:r w:rsidR="003D3ADE">
        <w:t>.</w:t>
      </w:r>
    </w:p>
    <w:p w14:paraId="3BF5645B" w14:textId="3CADEDAC" w:rsidR="00932AAB" w:rsidRDefault="00932AAB" w:rsidP="0064644C">
      <w:pPr>
        <w:pStyle w:val="HChG"/>
        <w:rPr>
          <w:highlight w:val="lightGray"/>
        </w:rPr>
      </w:pPr>
      <w:r>
        <w:tab/>
      </w:r>
      <w:r w:rsidR="0064644C">
        <w:tab/>
      </w:r>
      <w:r>
        <w:t>Background</w:t>
      </w:r>
    </w:p>
    <w:p w14:paraId="0A77F211" w14:textId="6741AA2F" w:rsidR="009023A0" w:rsidRDefault="008309AD" w:rsidP="00A62449">
      <w:pPr>
        <w:pStyle w:val="SingleTxtG"/>
        <w:tabs>
          <w:tab w:val="left" w:pos="1843"/>
        </w:tabs>
        <w:ind w:right="237"/>
      </w:pPr>
      <w:r>
        <w:t>3</w:t>
      </w:r>
      <w:r w:rsidR="009023A0">
        <w:t xml:space="preserve">. </w:t>
      </w:r>
      <w:r w:rsidR="009023A0">
        <w:tab/>
        <w:t xml:space="preserve">As planned, the informal working group held </w:t>
      </w:r>
      <w:r w:rsidR="0099540D">
        <w:t>meeting</w:t>
      </w:r>
      <w:r w:rsidR="00287E63">
        <w:t>s</w:t>
      </w:r>
      <w:r w:rsidR="009023A0">
        <w:t xml:space="preserve"> on </w:t>
      </w:r>
      <w:r w:rsidR="00161BFE">
        <w:t>1 September, 6 October and 2 November</w:t>
      </w:r>
      <w:r w:rsidR="000F059F">
        <w:t xml:space="preserve"> 202</w:t>
      </w:r>
      <w:r w:rsidR="003D2885">
        <w:t>2</w:t>
      </w:r>
      <w:r w:rsidR="009023A0">
        <w:t xml:space="preserve"> after</w:t>
      </w:r>
      <w:r w:rsidR="009B7A43">
        <w:t xml:space="preserve"> the </w:t>
      </w:r>
      <w:r w:rsidR="009F4551">
        <w:t>formal proposals to revise Chapter 3.</w:t>
      </w:r>
      <w:r w:rsidR="00D23E22">
        <w:t>4</w:t>
      </w:r>
      <w:r w:rsidR="002244AB">
        <w:t xml:space="preserve"> (document</w:t>
      </w:r>
      <w:r w:rsidR="00EF5871">
        <w:t>s</w:t>
      </w:r>
      <w:r w:rsidR="002244AB">
        <w:t xml:space="preserve"> ST/SG/AC.10/C.4/2022/14</w:t>
      </w:r>
      <w:r w:rsidR="00EF5871">
        <w:t xml:space="preserve"> and INF.</w:t>
      </w:r>
      <w:r w:rsidR="00581FD2">
        <w:t>3</w:t>
      </w:r>
      <w:r w:rsidR="002244AB">
        <w:t>)</w:t>
      </w:r>
      <w:r w:rsidR="00737044">
        <w:t xml:space="preserve"> </w:t>
      </w:r>
      <w:r w:rsidR="00690B7F">
        <w:t xml:space="preserve">and the consequential amendments to </w:t>
      </w:r>
      <w:r w:rsidR="00C52351">
        <w:t>c</w:t>
      </w:r>
      <w:r w:rsidR="00690B7F">
        <w:t>hapter</w:t>
      </w:r>
      <w:r w:rsidR="00D23E22">
        <w:t>s</w:t>
      </w:r>
      <w:r w:rsidR="00690B7F">
        <w:t xml:space="preserve"> 1.2</w:t>
      </w:r>
      <w:r w:rsidR="009F5734">
        <w:t>, 3.2</w:t>
      </w:r>
      <w:r w:rsidR="00690B7F">
        <w:t xml:space="preserve"> and 3.</w:t>
      </w:r>
      <w:r w:rsidR="009F5734">
        <w:t>3</w:t>
      </w:r>
      <w:r w:rsidR="002244AB">
        <w:t xml:space="preserve"> (document ST/SG/AC.10/C.4/2022/15)</w:t>
      </w:r>
      <w:r w:rsidR="00690B7F">
        <w:t xml:space="preserve"> </w:t>
      </w:r>
      <w:r w:rsidR="009023A0">
        <w:t xml:space="preserve">had been submitted for discussion at </w:t>
      </w:r>
      <w:r w:rsidR="00EF6435">
        <w:t>th</w:t>
      </w:r>
      <w:r w:rsidR="009D36CA">
        <w:t xml:space="preserve">e </w:t>
      </w:r>
      <w:r w:rsidR="005D70C8">
        <w:t xml:space="preserve">forty-third </w:t>
      </w:r>
      <w:r w:rsidR="009023A0">
        <w:t xml:space="preserve">session. </w:t>
      </w:r>
      <w:r w:rsidR="00C07ABD">
        <w:t xml:space="preserve"> </w:t>
      </w:r>
      <w:r w:rsidR="00047E8B">
        <w:t xml:space="preserve">A </w:t>
      </w:r>
      <w:r w:rsidR="00780DFC">
        <w:t>key</w:t>
      </w:r>
      <w:r w:rsidR="00047E8B">
        <w:t xml:space="preserve"> </w:t>
      </w:r>
      <w:r w:rsidR="009023A0">
        <w:t xml:space="preserve">purpose </w:t>
      </w:r>
      <w:r w:rsidR="00047E8B">
        <w:t>of the</w:t>
      </w:r>
      <w:r w:rsidR="00891C27">
        <w:t>se</w:t>
      </w:r>
      <w:r w:rsidR="00047E8B">
        <w:t xml:space="preserve"> meeting</w:t>
      </w:r>
      <w:r w:rsidR="00AB6AAE">
        <w:t>s</w:t>
      </w:r>
      <w:r w:rsidR="00047E8B">
        <w:t xml:space="preserve"> </w:t>
      </w:r>
      <w:r w:rsidR="009023A0">
        <w:t>was to undertake a final review of the</w:t>
      </w:r>
      <w:r w:rsidR="0092071D">
        <w:t>se</w:t>
      </w:r>
      <w:r w:rsidR="009023A0">
        <w:t xml:space="preserve"> </w:t>
      </w:r>
      <w:r w:rsidR="002958B1">
        <w:t>documents</w:t>
      </w:r>
      <w:r w:rsidR="00FB6AC4">
        <w:t xml:space="preserve"> and </w:t>
      </w:r>
      <w:r w:rsidR="00A931D8">
        <w:t xml:space="preserve">to </w:t>
      </w:r>
      <w:r w:rsidR="00FB6AC4">
        <w:t xml:space="preserve">continue the </w:t>
      </w:r>
      <w:r w:rsidR="00AB6AAE">
        <w:t xml:space="preserve">discussions on </w:t>
      </w:r>
      <w:r w:rsidR="001A1EC5">
        <w:t xml:space="preserve">skin sensitization mixtures sections of </w:t>
      </w:r>
      <w:r w:rsidR="0092071D">
        <w:t>C</w:t>
      </w:r>
      <w:r w:rsidR="001A1EC5">
        <w:t xml:space="preserve">hapter </w:t>
      </w:r>
      <w:r w:rsidR="0092071D">
        <w:t xml:space="preserve">3.4 </w:t>
      </w:r>
      <w:r w:rsidR="00546E76">
        <w:t xml:space="preserve">in preparation for formal proposals on </w:t>
      </w:r>
      <w:r w:rsidR="00A931D8">
        <w:t>these issues early in the next biennium</w:t>
      </w:r>
      <w:r w:rsidR="009023A0">
        <w:t>.</w:t>
      </w:r>
    </w:p>
    <w:p w14:paraId="5282ECAF" w14:textId="041E81D7" w:rsidR="00FA7237" w:rsidRDefault="008309AD" w:rsidP="005B17DB">
      <w:pPr>
        <w:pStyle w:val="SingleTxtG"/>
        <w:tabs>
          <w:tab w:val="left" w:pos="1843"/>
        </w:tabs>
        <w:ind w:right="237"/>
      </w:pPr>
      <w:r>
        <w:t>4</w:t>
      </w:r>
      <w:r w:rsidR="009023A0">
        <w:t xml:space="preserve">. </w:t>
      </w:r>
      <w:r w:rsidR="009023A0">
        <w:tab/>
      </w:r>
      <w:r w:rsidR="00662F59">
        <w:t xml:space="preserve">However, </w:t>
      </w:r>
      <w:r w:rsidR="00E54691">
        <w:t>a</w:t>
      </w:r>
      <w:r w:rsidR="009023A0">
        <w:t xml:space="preserve"> </w:t>
      </w:r>
      <w:r>
        <w:t>number of</w:t>
      </w:r>
      <w:r w:rsidR="009023A0">
        <w:t xml:space="preserve"> minor editorial changes </w:t>
      </w:r>
      <w:r w:rsidR="003C7A93">
        <w:t xml:space="preserve">to </w:t>
      </w:r>
      <w:r w:rsidR="00FB6240">
        <w:t xml:space="preserve">the </w:t>
      </w:r>
      <w:r>
        <w:t xml:space="preserve">paragraphs </w:t>
      </w:r>
      <w:r w:rsidRPr="008309AD">
        <w:t xml:space="preserve">and </w:t>
      </w:r>
      <w:r w:rsidR="0096175A" w:rsidRPr="008309AD">
        <w:t>section</w:t>
      </w:r>
      <w:r w:rsidR="00FB6AC4" w:rsidRPr="008309AD">
        <w:t>s</w:t>
      </w:r>
      <w:r w:rsidR="0096175A" w:rsidRPr="008309AD">
        <w:t xml:space="preserve"> </w:t>
      </w:r>
      <w:r w:rsidRPr="008309AD">
        <w:t xml:space="preserve">listed in </w:t>
      </w:r>
      <w:r w:rsidR="00FB6240">
        <w:t xml:space="preserve">paragraph </w:t>
      </w:r>
      <w:r w:rsidR="00FB6240" w:rsidRPr="00FA67E2">
        <w:t>2</w:t>
      </w:r>
      <w:r w:rsidR="00FB6240">
        <w:t xml:space="preserve"> </w:t>
      </w:r>
      <w:r w:rsidRPr="008309AD">
        <w:t>of this document,</w:t>
      </w:r>
      <w:r w:rsidR="0096175A" w:rsidRPr="008309AD">
        <w:t xml:space="preserve"> </w:t>
      </w:r>
      <w:r w:rsidR="009023A0" w:rsidRPr="008309AD">
        <w:t>were agreed</w:t>
      </w:r>
      <w:r w:rsidRPr="008309AD">
        <w:t xml:space="preserve"> to improve the clarity and readability of the proposed changes to Chapter 3.4</w:t>
      </w:r>
      <w:r w:rsidR="00AF7049">
        <w:t>.</w:t>
      </w:r>
      <w:r w:rsidR="000934B1">
        <w:t xml:space="preserve"> </w:t>
      </w:r>
      <w:r w:rsidR="005A2461">
        <w:t xml:space="preserve"> </w:t>
      </w:r>
    </w:p>
    <w:p w14:paraId="11B035DC" w14:textId="38544311" w:rsidR="006E6FA9" w:rsidRDefault="008309AD" w:rsidP="007F3611">
      <w:pPr>
        <w:pStyle w:val="SingleTxtG"/>
        <w:tabs>
          <w:tab w:val="left" w:pos="1843"/>
        </w:tabs>
        <w:ind w:right="237"/>
      </w:pPr>
      <w:r>
        <w:t>5</w:t>
      </w:r>
      <w:r w:rsidR="00DC1C96" w:rsidRPr="00121585">
        <w:t>.</w:t>
      </w:r>
      <w:r w:rsidR="00DC1C96" w:rsidRPr="00121585">
        <w:tab/>
      </w:r>
      <w:r w:rsidR="005B17DB">
        <w:t>The r</w:t>
      </w:r>
      <w:r w:rsidR="00F9607C" w:rsidRPr="00121585">
        <w:t xml:space="preserve">evised </w:t>
      </w:r>
      <w:r w:rsidR="00BB1F87" w:rsidRPr="00121585">
        <w:t xml:space="preserve">text </w:t>
      </w:r>
      <w:r w:rsidR="00F9607C" w:rsidRPr="00121585">
        <w:t>for</w:t>
      </w:r>
      <w:r w:rsidR="00BB1F87" w:rsidRPr="00121585">
        <w:t xml:space="preserve"> </w:t>
      </w:r>
      <w:r w:rsidR="00F9607C" w:rsidRPr="00121585">
        <w:t xml:space="preserve">the </w:t>
      </w:r>
      <w:r w:rsidR="006E6FA9" w:rsidRPr="00121585">
        <w:t xml:space="preserve">proposed </w:t>
      </w:r>
      <w:r w:rsidR="00F9607C" w:rsidRPr="00121585">
        <w:t xml:space="preserve">new </w:t>
      </w:r>
      <w:r w:rsidR="00BB1F87" w:rsidRPr="00121585">
        <w:t xml:space="preserve">paragraph </w:t>
      </w:r>
      <w:r w:rsidR="00F9607C" w:rsidRPr="00121585">
        <w:t xml:space="preserve">3.4.2.2.4.3 </w:t>
      </w:r>
      <w:r w:rsidR="00F9607C">
        <w:t>provide</w:t>
      </w:r>
      <w:r w:rsidR="006E6FA9">
        <w:t>s</w:t>
      </w:r>
      <w:r w:rsidR="00F9607C">
        <w:t xml:space="preserve"> improved clarity </w:t>
      </w:r>
      <w:r w:rsidR="005B17DB">
        <w:t>regarding when</w:t>
      </w:r>
      <w:r w:rsidR="00F9607C">
        <w:t xml:space="preserve"> evidence that has already been used in a defined approach </w:t>
      </w:r>
      <w:r w:rsidR="006E6FA9">
        <w:t>cannot then also be used as additional evidence in a weight of evidence assessment</w:t>
      </w:r>
      <w:r w:rsidR="006E6FA9" w:rsidRPr="006E6FA9">
        <w:t xml:space="preserve"> </w:t>
      </w:r>
      <w:r w:rsidR="006E6FA9">
        <w:t>for skin sensitization classification for a particular substance</w:t>
      </w:r>
      <w:r w:rsidR="007F43A0">
        <w:t>.</w:t>
      </w:r>
      <w:r w:rsidR="005C57D8">
        <w:t xml:space="preserve"> </w:t>
      </w:r>
      <w:r w:rsidR="006E6FA9">
        <w:t>In addition, th</w:t>
      </w:r>
      <w:r w:rsidR="005C57D8">
        <w:t xml:space="preserve">e </w:t>
      </w:r>
      <w:r w:rsidR="00121585">
        <w:t>revised</w:t>
      </w:r>
      <w:r w:rsidR="006E6FA9">
        <w:t xml:space="preserve"> text means that the related </w:t>
      </w:r>
      <w:r w:rsidR="006E6FA9">
        <w:lastRenderedPageBreak/>
        <w:t xml:space="preserve">last sentence in 3.4.2.2.5.2 and the second sentence in 3.4.2.2.6.1 </w:t>
      </w:r>
      <w:r w:rsidR="00A11CCB">
        <w:t xml:space="preserve">(as initially proposed in ST/SG/AC.10/C.4/2022/14) </w:t>
      </w:r>
      <w:r w:rsidR="006E6FA9">
        <w:t xml:space="preserve">can now both be deleted as they are no longer required. </w:t>
      </w:r>
    </w:p>
    <w:p w14:paraId="5F8FCD38" w14:textId="418964D5" w:rsidR="006E6FA9" w:rsidRDefault="00687D31" w:rsidP="007B0719">
      <w:pPr>
        <w:pStyle w:val="SingleTxtG"/>
        <w:tabs>
          <w:tab w:val="left" w:pos="1843"/>
        </w:tabs>
        <w:ind w:right="237"/>
      </w:pPr>
      <w:r>
        <w:t>6</w:t>
      </w:r>
      <w:r w:rsidR="00746878">
        <w:t>.</w:t>
      </w:r>
      <w:r w:rsidR="00746878">
        <w:tab/>
      </w:r>
      <w:r w:rsidR="006E6FA9">
        <w:t xml:space="preserve">Furthermore, </w:t>
      </w:r>
      <w:r w:rsidR="0055461D">
        <w:t xml:space="preserve">the revised new text for </w:t>
      </w:r>
      <w:r w:rsidR="0055461D" w:rsidRPr="00121585">
        <w:t xml:space="preserve">the proposed paragraph </w:t>
      </w:r>
      <w:r w:rsidR="0055461D">
        <w:t>3.4.2.2.4.3 means that the related proposed consequential changes to Chapter 3.3 as provided in paragraphs 4, 5 and</w:t>
      </w:r>
      <w:r w:rsidR="00F12746">
        <w:t> </w:t>
      </w:r>
      <w:r w:rsidR="0055461D">
        <w:t xml:space="preserve">6 in </w:t>
      </w:r>
      <w:r w:rsidR="0055461D" w:rsidRPr="00121585">
        <w:rPr>
          <w:rFonts w:eastAsia="MS Mincho"/>
          <w:lang w:val="en-US" w:eastAsia="ja-JP"/>
        </w:rPr>
        <w:t>ST/</w:t>
      </w:r>
      <w:r w:rsidR="0055461D" w:rsidRPr="00380718">
        <w:rPr>
          <w:rFonts w:eastAsia="MS Mincho"/>
          <w:lang w:val="en-US" w:eastAsia="ja-JP"/>
        </w:rPr>
        <w:t>SG/AC.10/C.4/202</w:t>
      </w:r>
      <w:r w:rsidR="0055461D">
        <w:rPr>
          <w:rFonts w:eastAsia="MS Mincho"/>
          <w:lang w:val="en-US" w:eastAsia="ja-JP"/>
        </w:rPr>
        <w:t>2</w:t>
      </w:r>
      <w:r w:rsidR="0055461D" w:rsidRPr="00380718">
        <w:rPr>
          <w:rFonts w:eastAsia="MS Mincho"/>
          <w:lang w:val="en-US" w:eastAsia="ja-JP"/>
        </w:rPr>
        <w:t>/</w:t>
      </w:r>
      <w:r w:rsidR="0055461D">
        <w:rPr>
          <w:rFonts w:eastAsia="MS Mincho"/>
          <w:lang w:val="en-US" w:eastAsia="ja-JP"/>
        </w:rPr>
        <w:t>15 are required to be amended</w:t>
      </w:r>
      <w:r w:rsidR="00BB7BEE">
        <w:rPr>
          <w:rFonts w:eastAsia="MS Mincho"/>
          <w:lang w:val="en-US" w:eastAsia="ja-JP"/>
        </w:rPr>
        <w:t>.</w:t>
      </w:r>
      <w:r w:rsidR="0055461D">
        <w:rPr>
          <w:rFonts w:eastAsia="MS Mincho"/>
          <w:lang w:val="en-US" w:eastAsia="ja-JP"/>
        </w:rPr>
        <w:t xml:space="preserve"> </w:t>
      </w:r>
      <w:r w:rsidR="00BB7BEE">
        <w:rPr>
          <w:rFonts w:eastAsia="MS Mincho"/>
          <w:lang w:val="en-US" w:eastAsia="ja-JP"/>
        </w:rPr>
        <w:t>T</w:t>
      </w:r>
      <w:r w:rsidR="0055461D">
        <w:rPr>
          <w:rFonts w:eastAsia="MS Mincho"/>
          <w:lang w:val="en-US" w:eastAsia="ja-JP"/>
        </w:rPr>
        <w:t xml:space="preserve">hese are provided in </w:t>
      </w:r>
      <w:r w:rsidR="0055461D" w:rsidRPr="002B12B6">
        <w:rPr>
          <w:rFonts w:eastAsia="MS Mincho"/>
          <w:lang w:val="en-US" w:eastAsia="ja-JP"/>
        </w:rPr>
        <w:t>INF.</w:t>
      </w:r>
      <w:r w:rsidR="00AE6CDB" w:rsidRPr="002B12B6">
        <w:rPr>
          <w:rFonts w:eastAsia="MS Mincho"/>
          <w:lang w:val="en-US" w:eastAsia="ja-JP"/>
        </w:rPr>
        <w:t>9</w:t>
      </w:r>
      <w:r w:rsidR="0055461D" w:rsidRPr="002B12B6">
        <w:rPr>
          <w:rFonts w:eastAsia="MS Mincho"/>
          <w:lang w:val="en-US" w:eastAsia="ja-JP"/>
        </w:rPr>
        <w:t>.</w:t>
      </w:r>
    </w:p>
    <w:p w14:paraId="3DC9AB3B" w14:textId="5E660897" w:rsidR="00746878" w:rsidRDefault="00687D31" w:rsidP="007B0719">
      <w:pPr>
        <w:pStyle w:val="SingleTxtG"/>
        <w:tabs>
          <w:tab w:val="left" w:pos="1843"/>
        </w:tabs>
        <w:ind w:right="237"/>
      </w:pPr>
      <w:r>
        <w:t>7</w:t>
      </w:r>
      <w:r w:rsidR="00746878" w:rsidRPr="00121585">
        <w:t>.</w:t>
      </w:r>
      <w:r w:rsidR="00746878" w:rsidRPr="00121585">
        <w:tab/>
      </w:r>
      <w:r w:rsidR="005B17DB">
        <w:t>The r</w:t>
      </w:r>
      <w:r w:rsidR="00746878" w:rsidRPr="00121585">
        <w:t xml:space="preserve">evised text for the </w:t>
      </w:r>
      <w:r w:rsidR="00746878">
        <w:t xml:space="preserve">last two sentences of the </w:t>
      </w:r>
      <w:r w:rsidR="00746878" w:rsidRPr="00121585">
        <w:t>proposed new paragraph 3.4.</w:t>
      </w:r>
      <w:r w:rsidR="00746878">
        <w:t>5.3.2.7</w:t>
      </w:r>
      <w:r w:rsidR="00746878" w:rsidRPr="00121585">
        <w:t xml:space="preserve"> in </w:t>
      </w:r>
      <w:r w:rsidR="0055461D">
        <w:t xml:space="preserve">also </w:t>
      </w:r>
      <w:r w:rsidR="00746878">
        <w:t>provides improved clarity from the originally proposed text</w:t>
      </w:r>
      <w:r w:rsidR="00B66F17">
        <w:t xml:space="preserve"> in </w:t>
      </w:r>
      <w:r w:rsidR="00B66F17" w:rsidRPr="00121585">
        <w:rPr>
          <w:rFonts w:eastAsia="MS Mincho"/>
          <w:lang w:val="en-US" w:eastAsia="ja-JP"/>
        </w:rPr>
        <w:t>ST/</w:t>
      </w:r>
      <w:r w:rsidR="00B66F17" w:rsidRPr="00380718">
        <w:rPr>
          <w:rFonts w:eastAsia="MS Mincho"/>
          <w:lang w:val="en-US" w:eastAsia="ja-JP"/>
        </w:rPr>
        <w:t>SG/AC.10/C.4/202</w:t>
      </w:r>
      <w:r w:rsidR="00B66F17">
        <w:rPr>
          <w:rFonts w:eastAsia="MS Mincho"/>
          <w:lang w:val="en-US" w:eastAsia="ja-JP"/>
        </w:rPr>
        <w:t>2</w:t>
      </w:r>
      <w:r w:rsidR="00B66F17" w:rsidRPr="00380718">
        <w:rPr>
          <w:rFonts w:eastAsia="MS Mincho"/>
          <w:lang w:val="en-US" w:eastAsia="ja-JP"/>
        </w:rPr>
        <w:t>/</w:t>
      </w:r>
      <w:r w:rsidR="00B66F17">
        <w:rPr>
          <w:rFonts w:eastAsia="MS Mincho"/>
          <w:lang w:val="en-US" w:eastAsia="ja-JP"/>
        </w:rPr>
        <w:t>14</w:t>
      </w:r>
      <w:r w:rsidR="00746878">
        <w:t>.</w:t>
      </w:r>
    </w:p>
    <w:p w14:paraId="6C6636A1" w14:textId="34B9060A" w:rsidR="0000752A" w:rsidRPr="002456E7" w:rsidRDefault="0000752A" w:rsidP="007B0719">
      <w:pPr>
        <w:pStyle w:val="SingleTxtG"/>
        <w:tabs>
          <w:tab w:val="left" w:pos="1843"/>
        </w:tabs>
        <w:ind w:right="237"/>
      </w:pPr>
      <w:r w:rsidRPr="002456E7">
        <w:t>8.</w:t>
      </w:r>
      <w:r w:rsidRPr="002456E7">
        <w:tab/>
      </w:r>
      <w:r w:rsidR="000311C6">
        <w:t>The r</w:t>
      </w:r>
      <w:r w:rsidR="00340BAC">
        <w:t>evised</w:t>
      </w:r>
      <w:r w:rsidR="000311C6">
        <w:t xml:space="preserve"> Figure 3.4.1 to remove reference to ‘low confidence/inconclusive results </w:t>
      </w:r>
      <w:r w:rsidR="006369F1">
        <w:t xml:space="preserve">from defined approaches’ in </w:t>
      </w:r>
      <w:r w:rsidR="00B333A5">
        <w:t xml:space="preserve">the </w:t>
      </w:r>
      <w:r w:rsidR="006369F1">
        <w:t>Tier 2</w:t>
      </w:r>
      <w:r w:rsidR="00874382">
        <w:t xml:space="preserve"> </w:t>
      </w:r>
      <w:r w:rsidR="0051175B">
        <w:t xml:space="preserve">text box </w:t>
      </w:r>
      <w:r w:rsidR="00874382">
        <w:t xml:space="preserve">on the grounds </w:t>
      </w:r>
      <w:r w:rsidR="00BE046E">
        <w:t>that</w:t>
      </w:r>
      <w:r w:rsidR="00874382">
        <w:t xml:space="preserve"> </w:t>
      </w:r>
      <w:r w:rsidR="00F237A6">
        <w:t xml:space="preserve">consideration of </w:t>
      </w:r>
      <w:r w:rsidR="00874382">
        <w:t xml:space="preserve">such results </w:t>
      </w:r>
      <w:r w:rsidR="00C63A74">
        <w:t>would</w:t>
      </w:r>
      <w:r w:rsidR="0051175B">
        <w:t xml:space="preserve"> be</w:t>
      </w:r>
      <w:r w:rsidR="007A1696">
        <w:t xml:space="preserve"> included </w:t>
      </w:r>
      <w:r w:rsidR="0051175B">
        <w:t>with</w:t>
      </w:r>
      <w:r w:rsidR="007A1696">
        <w:t xml:space="preserve">in </w:t>
      </w:r>
      <w:r w:rsidR="008D0C4B">
        <w:t xml:space="preserve">the assessment undertaken </w:t>
      </w:r>
      <w:r w:rsidR="0051175B">
        <w:t>under</w:t>
      </w:r>
      <w:r w:rsidR="008D0C4B">
        <w:t xml:space="preserve"> </w:t>
      </w:r>
      <w:r w:rsidR="007A1696">
        <w:t>Tier 1</w:t>
      </w:r>
      <w:r w:rsidR="006F595D">
        <w:t>.</w:t>
      </w:r>
      <w:r w:rsidR="00E15B1F">
        <w:t xml:space="preserve"> </w:t>
      </w:r>
      <w:r w:rsidR="00BE046E">
        <w:t>In addition, t</w:t>
      </w:r>
      <w:r w:rsidR="00E15B1F">
        <w:t xml:space="preserve">his </w:t>
      </w:r>
      <w:r w:rsidR="002C2E1A">
        <w:t xml:space="preserve">new </w:t>
      </w:r>
      <w:r w:rsidR="00E15B1F">
        <w:t xml:space="preserve">change </w:t>
      </w:r>
      <w:r w:rsidR="00813843">
        <w:t>requires further</w:t>
      </w:r>
      <w:r w:rsidR="00E15B1F">
        <w:t xml:space="preserve"> </w:t>
      </w:r>
      <w:r w:rsidR="00B3466F">
        <w:t xml:space="preserve">amendments to </w:t>
      </w:r>
      <w:r w:rsidR="00813843">
        <w:t xml:space="preserve">the proposed paragraphs </w:t>
      </w:r>
      <w:r w:rsidR="00B3466F">
        <w:t>3.4.2.2.7.3 and 3.4.2.2.7.5</w:t>
      </w:r>
      <w:r w:rsidR="003C30C9">
        <w:t xml:space="preserve"> </w:t>
      </w:r>
      <w:r w:rsidR="00E30EAB">
        <w:t>in</w:t>
      </w:r>
      <w:r w:rsidR="00E30EAB" w:rsidRPr="00242248">
        <w:t xml:space="preserve"> </w:t>
      </w:r>
      <w:r w:rsidR="00E30EAB" w:rsidRPr="00242248">
        <w:rPr>
          <w:rFonts w:eastAsia="MS Mincho"/>
          <w:lang w:val="en-US" w:eastAsia="ja-JP"/>
        </w:rPr>
        <w:t xml:space="preserve">ST/SG/AC.10/C.4/2022/14 and </w:t>
      </w:r>
      <w:r w:rsidR="00E30EAB" w:rsidRPr="00242248">
        <w:t>INF.3</w:t>
      </w:r>
      <w:r w:rsidR="00E30EAB">
        <w:t xml:space="preserve"> </w:t>
      </w:r>
      <w:r w:rsidR="00BE046E">
        <w:t xml:space="preserve">to remove reference to </w:t>
      </w:r>
      <w:r w:rsidR="003C30C9">
        <w:t>such results</w:t>
      </w:r>
      <w:r w:rsidR="00E30EAB">
        <w:t>.</w:t>
      </w:r>
      <w:r w:rsidR="003C30C9">
        <w:t xml:space="preserve"> </w:t>
      </w:r>
      <w:r w:rsidR="00340BAC">
        <w:t xml:space="preserve"> </w:t>
      </w:r>
    </w:p>
    <w:p w14:paraId="6A97BB7E" w14:textId="3CCE14CE" w:rsidR="009717A2" w:rsidRDefault="0000752A" w:rsidP="007B0719">
      <w:pPr>
        <w:pStyle w:val="SingleTxtG"/>
        <w:tabs>
          <w:tab w:val="left" w:pos="1843"/>
        </w:tabs>
        <w:ind w:right="237"/>
        <w:rPr>
          <w:highlight w:val="yellow"/>
        </w:rPr>
      </w:pPr>
      <w:r w:rsidRPr="00404F50">
        <w:t>9.</w:t>
      </w:r>
      <w:r w:rsidRPr="00404F50">
        <w:tab/>
      </w:r>
      <w:r w:rsidR="00030199" w:rsidRPr="00404F50">
        <w:t>The revised text for the proposed new paragraph</w:t>
      </w:r>
      <w:r w:rsidR="00404F50" w:rsidRPr="00404F50">
        <w:t>s</w:t>
      </w:r>
      <w:r w:rsidR="00030199" w:rsidRPr="00404F50">
        <w:t xml:space="preserve"> </w:t>
      </w:r>
      <w:r w:rsidR="00DA0F19" w:rsidRPr="00404F50">
        <w:t xml:space="preserve">3.4.5.3.3 </w:t>
      </w:r>
      <w:r w:rsidR="00404F50" w:rsidRPr="00404F50">
        <w:t>(</w:t>
      </w:r>
      <w:r w:rsidR="00AD08C3">
        <w:t>guidance</w:t>
      </w:r>
      <w:r w:rsidR="00AD08C3" w:rsidRPr="007E349C">
        <w:t xml:space="preserve"> </w:t>
      </w:r>
      <w:r w:rsidR="00AD08C3">
        <w:t xml:space="preserve">for </w:t>
      </w:r>
      <w:r w:rsidR="00AD08C3" w:rsidRPr="007E349C">
        <w:t>the use</w:t>
      </w:r>
      <w:r w:rsidR="00AD08C3">
        <w:t xml:space="preserve"> of standard animal data</w:t>
      </w:r>
      <w:r w:rsidR="00404F50">
        <w:t>)</w:t>
      </w:r>
      <w:r w:rsidR="00AD08C3">
        <w:t xml:space="preserve"> </w:t>
      </w:r>
      <w:r w:rsidR="00F42BF4">
        <w:t xml:space="preserve">and </w:t>
      </w:r>
      <w:r w:rsidR="00F42BF4" w:rsidRPr="007E349C">
        <w:t xml:space="preserve">3.4.5.3.7 </w:t>
      </w:r>
      <w:r w:rsidR="00404F50">
        <w:t>(</w:t>
      </w:r>
      <w:r w:rsidR="00F42BF4">
        <w:t>guidance</w:t>
      </w:r>
      <w:r w:rsidR="00F42BF4" w:rsidRPr="007E349C">
        <w:t xml:space="preserve"> </w:t>
      </w:r>
      <w:r w:rsidR="00F42BF4">
        <w:t xml:space="preserve">for </w:t>
      </w:r>
      <w:r w:rsidR="00F42BF4" w:rsidRPr="007E349C">
        <w:t>the use of weight of evidence assessments</w:t>
      </w:r>
      <w:r w:rsidR="00404F50">
        <w:t>)</w:t>
      </w:r>
      <w:r w:rsidR="00F42BF4" w:rsidRPr="007E349C">
        <w:t xml:space="preserve"> </w:t>
      </w:r>
      <w:r w:rsidR="00F42BF4">
        <w:t xml:space="preserve">both </w:t>
      </w:r>
      <w:r w:rsidR="00AD08C3" w:rsidRPr="007E349C">
        <w:t>provide</w:t>
      </w:r>
      <w:r w:rsidR="00AD08C3">
        <w:t xml:space="preserve"> improved clarity and detail</w:t>
      </w:r>
      <w:r w:rsidR="00404F50">
        <w:t>s</w:t>
      </w:r>
      <w:r w:rsidR="00AD08C3">
        <w:t xml:space="preserve"> from the originally proposed text in </w:t>
      </w:r>
      <w:r w:rsidR="00AD08C3" w:rsidRPr="00121585">
        <w:rPr>
          <w:rFonts w:eastAsia="MS Mincho"/>
          <w:lang w:val="en-US" w:eastAsia="ja-JP"/>
        </w:rPr>
        <w:t>ST/</w:t>
      </w:r>
      <w:r w:rsidR="00AD08C3" w:rsidRPr="00380718">
        <w:rPr>
          <w:rFonts w:eastAsia="MS Mincho"/>
          <w:lang w:val="en-US" w:eastAsia="ja-JP"/>
        </w:rPr>
        <w:t>SG/AC.10/C.4/202</w:t>
      </w:r>
      <w:r w:rsidR="00AD08C3">
        <w:rPr>
          <w:rFonts w:eastAsia="MS Mincho"/>
          <w:lang w:val="en-US" w:eastAsia="ja-JP"/>
        </w:rPr>
        <w:t>2</w:t>
      </w:r>
      <w:r w:rsidR="00AD08C3" w:rsidRPr="00380718">
        <w:rPr>
          <w:rFonts w:eastAsia="MS Mincho"/>
          <w:lang w:val="en-US" w:eastAsia="ja-JP"/>
        </w:rPr>
        <w:t>/</w:t>
      </w:r>
      <w:r w:rsidR="00AD08C3">
        <w:rPr>
          <w:rFonts w:eastAsia="MS Mincho"/>
          <w:lang w:val="en-US" w:eastAsia="ja-JP"/>
        </w:rPr>
        <w:t>14</w:t>
      </w:r>
      <w:r w:rsidR="00086DF6">
        <w:rPr>
          <w:rFonts w:eastAsia="MS Mincho"/>
          <w:lang w:val="en-US" w:eastAsia="ja-JP"/>
        </w:rPr>
        <w:t>.</w:t>
      </w:r>
    </w:p>
    <w:p w14:paraId="55551536" w14:textId="5129E0D5" w:rsidR="00AA2128" w:rsidRPr="00AC695F" w:rsidRDefault="000C1F24" w:rsidP="007B0719">
      <w:pPr>
        <w:pStyle w:val="SingleTxtG"/>
        <w:tabs>
          <w:tab w:val="left" w:pos="1843"/>
        </w:tabs>
        <w:ind w:right="237"/>
      </w:pPr>
      <w:r>
        <w:t>1</w:t>
      </w:r>
      <w:r w:rsidR="00404F50">
        <w:t>0</w:t>
      </w:r>
      <w:r w:rsidR="00932AAB" w:rsidRPr="00FD6FD0">
        <w:t>.</w:t>
      </w:r>
      <w:r w:rsidR="00932AAB" w:rsidRPr="00FD6FD0">
        <w:tab/>
      </w:r>
      <w:r w:rsidR="00B809D3" w:rsidRPr="00B15BE7">
        <w:t xml:space="preserve">In addition, </w:t>
      </w:r>
      <w:r w:rsidR="00D86BE3" w:rsidRPr="00B15BE7">
        <w:t>a number of typographical errors were identified</w:t>
      </w:r>
      <w:r w:rsidR="00AA2128" w:rsidRPr="00B15BE7">
        <w:t xml:space="preserve"> within the text previously proposed</w:t>
      </w:r>
      <w:r w:rsidR="00AA2128" w:rsidRPr="00242248">
        <w:t xml:space="preserve"> in </w:t>
      </w:r>
      <w:r w:rsidR="00AA2128" w:rsidRPr="00242248">
        <w:rPr>
          <w:rFonts w:eastAsia="MS Mincho"/>
          <w:lang w:val="en-US" w:eastAsia="ja-JP"/>
        </w:rPr>
        <w:t xml:space="preserve">ST/SG/AC.10/C.4/2022/14 and </w:t>
      </w:r>
      <w:r w:rsidR="00AA2128" w:rsidRPr="00242248">
        <w:t>INF.3</w:t>
      </w:r>
      <w:r w:rsidR="005A184F">
        <w:t>.</w:t>
      </w:r>
      <w:r w:rsidR="00511FB3" w:rsidRPr="00242248">
        <w:t xml:space="preserve"> </w:t>
      </w:r>
      <w:r w:rsidR="005A184F">
        <w:t>Hence, f</w:t>
      </w:r>
      <w:r w:rsidR="00511FB3" w:rsidRPr="00242248">
        <w:t>or consistency with other chapters in the GHS</w:t>
      </w:r>
      <w:r w:rsidR="00242248" w:rsidRPr="00AC695F">
        <w:t>:</w:t>
      </w:r>
    </w:p>
    <w:p w14:paraId="21CDAC53" w14:textId="10B06558" w:rsidR="00242248" w:rsidRPr="00AC695F" w:rsidRDefault="000D2B63" w:rsidP="00AA2128">
      <w:pPr>
        <w:pStyle w:val="SingleTxtG"/>
        <w:numPr>
          <w:ilvl w:val="0"/>
          <w:numId w:val="33"/>
        </w:numPr>
        <w:tabs>
          <w:tab w:val="left" w:pos="1418"/>
        </w:tabs>
        <w:ind w:right="237"/>
      </w:pPr>
      <w:r w:rsidRPr="00AC695F">
        <w:t>Where h</w:t>
      </w:r>
      <w:r w:rsidR="00D86BE3" w:rsidRPr="00AC695F">
        <w:t>yphens</w:t>
      </w:r>
      <w:r w:rsidR="00EA2057" w:rsidRPr="00AC695F">
        <w:t xml:space="preserve"> </w:t>
      </w:r>
      <w:r w:rsidRPr="00AC695F">
        <w:t xml:space="preserve">have been incorrectly used </w:t>
      </w:r>
      <w:r w:rsidR="00EA2057" w:rsidRPr="00AC695F">
        <w:t>in</w:t>
      </w:r>
      <w:r w:rsidR="00D86BE3" w:rsidRPr="00AC695F">
        <w:t xml:space="preserve"> </w:t>
      </w:r>
      <w:r w:rsidR="00EA2057" w:rsidRPr="00AC695F">
        <w:t>the term ‘weight of evidence’</w:t>
      </w:r>
      <w:r w:rsidRPr="00AC695F">
        <w:t>, these should be removed. This error has occurred in the following paragraphs: 3.4.2.2.1.4; 3.4.2.2.7.3; 3.4.2.2.7.5; 3.4.2.2.7.6</w:t>
      </w:r>
      <w:r w:rsidR="005F272F" w:rsidRPr="00AC695F">
        <w:t xml:space="preserve"> (error occurs twice)</w:t>
      </w:r>
      <w:r w:rsidRPr="00AC695F">
        <w:t xml:space="preserve">; </w:t>
      </w:r>
      <w:r w:rsidR="005F272F" w:rsidRPr="00AC695F">
        <w:t xml:space="preserve">Figure 3.4.1 (in Tier 3); </w:t>
      </w:r>
      <w:r w:rsidRPr="00AC695F">
        <w:t>3.4.5.3.5; 3.4.5.3.6.1; and 3.4.5.3.7</w:t>
      </w:r>
      <w:r w:rsidR="007A540E" w:rsidRPr="00AC695F">
        <w:t>.</w:t>
      </w:r>
      <w:r w:rsidRPr="00AC695F">
        <w:t xml:space="preserve"> </w:t>
      </w:r>
    </w:p>
    <w:p w14:paraId="5E7A250A" w14:textId="239847E1" w:rsidR="00242248" w:rsidRPr="00AC695F" w:rsidRDefault="000D2B63" w:rsidP="00242248">
      <w:pPr>
        <w:pStyle w:val="SingleTxtG"/>
        <w:numPr>
          <w:ilvl w:val="0"/>
          <w:numId w:val="33"/>
        </w:numPr>
        <w:tabs>
          <w:tab w:val="left" w:pos="1418"/>
        </w:tabs>
        <w:ind w:right="237"/>
      </w:pPr>
      <w:r w:rsidRPr="00AC695F">
        <w:t>Where hyphens have not been used in the term ‘stand-alone’</w:t>
      </w:r>
      <w:r w:rsidR="00242248" w:rsidRPr="00AC695F">
        <w:t>, these should be inserted. This error has occurred in the following paragraphs: 3.4.2.2.7.3</w:t>
      </w:r>
      <w:r w:rsidR="003013C4" w:rsidRPr="00AC695F">
        <w:t xml:space="preserve"> (error occurs twice)</w:t>
      </w:r>
      <w:r w:rsidR="00242248" w:rsidRPr="00AC695F">
        <w:t>; 3.4.2.2.7.4; 3.4.2.2.7.5</w:t>
      </w:r>
      <w:r w:rsidR="003013C4" w:rsidRPr="00AC695F">
        <w:t xml:space="preserve"> (error occurs twice)</w:t>
      </w:r>
      <w:r w:rsidR="00242248" w:rsidRPr="00AC695F">
        <w:t xml:space="preserve">; </w:t>
      </w:r>
      <w:r w:rsidR="005F272F" w:rsidRPr="00AC695F">
        <w:t>Figure 3.4.1 (in Tier 2)</w:t>
      </w:r>
      <w:r w:rsidR="00B15BE7" w:rsidRPr="00AC695F">
        <w:t xml:space="preserve"> </w:t>
      </w:r>
      <w:r w:rsidR="00242248" w:rsidRPr="00AC695F">
        <w:t xml:space="preserve">and 3.4.5.3.5. </w:t>
      </w:r>
    </w:p>
    <w:p w14:paraId="4A47E9E2" w14:textId="7C94F1C3" w:rsidR="003013C4" w:rsidRPr="00AC695F" w:rsidRDefault="000C1F24" w:rsidP="007B0719">
      <w:pPr>
        <w:pStyle w:val="SingleTxtG"/>
        <w:tabs>
          <w:tab w:val="left" w:pos="1843"/>
        </w:tabs>
        <w:ind w:right="237"/>
      </w:pPr>
      <w:r>
        <w:t>1</w:t>
      </w:r>
      <w:r w:rsidR="00404F50">
        <w:t>1</w:t>
      </w:r>
      <w:r w:rsidR="00704E2D">
        <w:t>.</w:t>
      </w:r>
      <w:r w:rsidR="0055461D">
        <w:tab/>
      </w:r>
      <w:r w:rsidR="00704E2D">
        <w:t>A number of o</w:t>
      </w:r>
      <w:r w:rsidR="003013C4">
        <w:t>ther</w:t>
      </w:r>
      <w:r w:rsidR="005A184F">
        <w:t xml:space="preserve"> minor</w:t>
      </w:r>
      <w:r w:rsidR="003013C4">
        <w:t xml:space="preserve"> typo</w:t>
      </w:r>
      <w:r w:rsidR="005A184F">
        <w:t>graphical errors were also identified where corrections are necessary to improve the clarity</w:t>
      </w:r>
      <w:r w:rsidR="00092643">
        <w:t>,</w:t>
      </w:r>
      <w:r w:rsidR="005A184F">
        <w:t xml:space="preserve"> readability of the text</w:t>
      </w:r>
      <w:r w:rsidR="00092643">
        <w:t xml:space="preserve"> and consistency with terms used elsewhere in the GHS</w:t>
      </w:r>
      <w:r w:rsidR="001C667B">
        <w:t xml:space="preserve"> and </w:t>
      </w:r>
      <w:r w:rsidR="005A184F" w:rsidRPr="00AC695F">
        <w:t>include</w:t>
      </w:r>
      <w:r w:rsidR="003013C4" w:rsidRPr="00AC695F">
        <w:t>:</w:t>
      </w:r>
    </w:p>
    <w:p w14:paraId="46B9C6F6" w14:textId="19EC3BA9" w:rsidR="003013C4" w:rsidRPr="00AC695F" w:rsidRDefault="00092643">
      <w:pPr>
        <w:pStyle w:val="SingleTxtG"/>
        <w:numPr>
          <w:ilvl w:val="0"/>
          <w:numId w:val="33"/>
        </w:numPr>
        <w:tabs>
          <w:tab w:val="left" w:pos="1418"/>
        </w:tabs>
        <w:ind w:right="237"/>
      </w:pPr>
      <w:r w:rsidRPr="00AC695F">
        <w:t>Inserting the word ‘assessment’ following the term ‘weight of evidence’ in</w:t>
      </w:r>
      <w:r w:rsidR="00C446FE" w:rsidRPr="00AC695F">
        <w:t xml:space="preserve"> </w:t>
      </w:r>
      <w:r w:rsidRPr="00AC695F">
        <w:t xml:space="preserve">paragraphs </w:t>
      </w:r>
      <w:r w:rsidR="003013C4" w:rsidRPr="00AC695F">
        <w:t>3.4.2.2.7.3</w:t>
      </w:r>
      <w:r w:rsidRPr="00AC695F">
        <w:t>;</w:t>
      </w:r>
      <w:r w:rsidR="007C009D" w:rsidRPr="00AC695F">
        <w:t xml:space="preserve"> 3.4.2.2.7.6</w:t>
      </w:r>
      <w:r w:rsidR="00C446FE" w:rsidRPr="00AC695F">
        <w:t>;</w:t>
      </w:r>
      <w:r w:rsidR="007C009D" w:rsidRPr="00AC695F">
        <w:t xml:space="preserve"> 3.4.2.2.7.7</w:t>
      </w:r>
      <w:r w:rsidR="00C446FE" w:rsidRPr="00AC695F">
        <w:t>;</w:t>
      </w:r>
      <w:r w:rsidR="007C009D" w:rsidRPr="00AC695F">
        <w:t xml:space="preserve"> 3.4.5.3.2.6</w:t>
      </w:r>
      <w:r w:rsidR="00C446FE" w:rsidRPr="00AC695F">
        <w:t>;</w:t>
      </w:r>
      <w:r w:rsidR="007C009D" w:rsidRPr="00AC695F">
        <w:t xml:space="preserve"> </w:t>
      </w:r>
      <w:r w:rsidRPr="00AC695F">
        <w:t xml:space="preserve">and </w:t>
      </w:r>
      <w:r w:rsidR="007C009D" w:rsidRPr="00AC695F">
        <w:t>3.4.5.3.5</w:t>
      </w:r>
      <w:r w:rsidR="00C30610">
        <w:t>.</w:t>
      </w:r>
    </w:p>
    <w:p w14:paraId="7DE1AB76" w14:textId="7A494DB3" w:rsidR="00C446FE" w:rsidRPr="00AC695F" w:rsidRDefault="00C446FE" w:rsidP="00092643">
      <w:pPr>
        <w:pStyle w:val="SingleTxtG"/>
        <w:numPr>
          <w:ilvl w:val="0"/>
          <w:numId w:val="33"/>
        </w:numPr>
        <w:tabs>
          <w:tab w:val="left" w:pos="1418"/>
        </w:tabs>
        <w:ind w:right="237"/>
      </w:pPr>
      <w:r w:rsidRPr="00AC695F">
        <w:t>Correcting the reference to WHO guidelines in 3.4.5.3.2.3</w:t>
      </w:r>
      <w:r w:rsidR="00C30610">
        <w:t>.</w:t>
      </w:r>
    </w:p>
    <w:p w14:paraId="3D6BF768" w14:textId="0D41AC22" w:rsidR="00C446FE" w:rsidRPr="00AC695F" w:rsidRDefault="001C667B" w:rsidP="00C446FE">
      <w:pPr>
        <w:pStyle w:val="SingleTxtG"/>
        <w:numPr>
          <w:ilvl w:val="0"/>
          <w:numId w:val="33"/>
        </w:numPr>
        <w:tabs>
          <w:tab w:val="left" w:pos="1418"/>
        </w:tabs>
        <w:ind w:right="237"/>
      </w:pPr>
      <w:r w:rsidRPr="00AC695F">
        <w:t>Correcting v</w:t>
      </w:r>
      <w:r w:rsidR="00C446FE" w:rsidRPr="00AC695F">
        <w:t xml:space="preserve">arious other minor </w:t>
      </w:r>
      <w:r w:rsidRPr="00AC695F">
        <w:t xml:space="preserve">errors </w:t>
      </w:r>
      <w:r w:rsidR="007C1AC1" w:rsidRPr="00AC695F">
        <w:t xml:space="preserve">or additional words </w:t>
      </w:r>
      <w:r w:rsidR="00C446FE" w:rsidRPr="00AC695F">
        <w:t xml:space="preserve">in paragraphs </w:t>
      </w:r>
      <w:r w:rsidR="00C446FE" w:rsidRPr="00AC695F">
        <w:rPr>
          <w:lang w:eastAsia="zh-CN"/>
        </w:rPr>
        <w:t>3.4.5.3.2.1;</w:t>
      </w:r>
      <w:r w:rsidR="00C446FE" w:rsidRPr="00AC695F">
        <w:t xml:space="preserve"> </w:t>
      </w:r>
      <w:r w:rsidR="00C446FE" w:rsidRPr="00AC695F">
        <w:rPr>
          <w:lang w:eastAsia="zh-CN"/>
        </w:rPr>
        <w:t>3.4.5.3.2.2;</w:t>
      </w:r>
      <w:r w:rsidR="00C446FE" w:rsidRPr="00AC695F">
        <w:t xml:space="preserve"> </w:t>
      </w:r>
      <w:r w:rsidR="00C446FE" w:rsidRPr="00AC695F">
        <w:rPr>
          <w:lang w:eastAsia="zh-CN"/>
        </w:rPr>
        <w:t>3.4.5.3.2.7;</w:t>
      </w:r>
      <w:r w:rsidR="00C446FE" w:rsidRPr="00AC695F">
        <w:t xml:space="preserve"> 3.4.5.3.5; and 3.4.5.3.6.1</w:t>
      </w:r>
      <w:r w:rsidRPr="00AC695F">
        <w:t>.</w:t>
      </w:r>
      <w:r w:rsidR="00C446FE" w:rsidRPr="00AC695F">
        <w:t xml:space="preserve"> </w:t>
      </w:r>
    </w:p>
    <w:p w14:paraId="5133FD49" w14:textId="1DF0BF42" w:rsidR="00963EFA" w:rsidRDefault="000C1F24" w:rsidP="000859CA">
      <w:pPr>
        <w:pStyle w:val="SingleTxtG"/>
        <w:tabs>
          <w:tab w:val="left" w:pos="1843"/>
        </w:tabs>
        <w:ind w:right="119"/>
      </w:pPr>
      <w:bookmarkStart w:id="0" w:name="_Hlk116637289"/>
      <w:r>
        <w:t>1</w:t>
      </w:r>
      <w:r w:rsidR="00404F50">
        <w:t>2</w:t>
      </w:r>
      <w:r w:rsidR="00963EFA">
        <w:t>.</w:t>
      </w:r>
      <w:r w:rsidR="00963EFA">
        <w:tab/>
        <w:t xml:space="preserve">These amendments are </w:t>
      </w:r>
      <w:r w:rsidR="0095753F">
        <w:t xml:space="preserve">listed under </w:t>
      </w:r>
      <w:r w:rsidR="00963EFA">
        <w:t xml:space="preserve">paragraph </w:t>
      </w:r>
      <w:r w:rsidR="00545BB3" w:rsidRPr="002B12B6">
        <w:t>13</w:t>
      </w:r>
      <w:r w:rsidR="009D7CDD" w:rsidRPr="002B12B6">
        <w:t xml:space="preserve">. </w:t>
      </w:r>
      <w:r w:rsidR="00C13089" w:rsidRPr="00FD29C3">
        <w:t xml:space="preserve">When applicable, </w:t>
      </w:r>
      <w:r w:rsidR="00963EFA">
        <w:t>n</w:t>
      </w:r>
      <w:r w:rsidR="00963EFA" w:rsidRPr="009103F3">
        <w:t xml:space="preserve">ew </w:t>
      </w:r>
      <w:r w:rsidR="00460B92">
        <w:t xml:space="preserve">or replacement </w:t>
      </w:r>
      <w:r w:rsidR="00963EFA" w:rsidRPr="009103F3">
        <w:t>text</w:t>
      </w:r>
      <w:r w:rsidR="009D236D">
        <w:t xml:space="preserve"> </w:t>
      </w:r>
      <w:r w:rsidR="002D259F">
        <w:t xml:space="preserve">is </w:t>
      </w:r>
      <w:r w:rsidR="00963EFA" w:rsidRPr="009103F3">
        <w:t xml:space="preserve">shown in </w:t>
      </w:r>
      <w:r w:rsidR="00201EF3" w:rsidRPr="00201EF3">
        <w:rPr>
          <w:b/>
          <w:bCs/>
        </w:rPr>
        <w:t xml:space="preserve">bold </w:t>
      </w:r>
      <w:r w:rsidR="0062655A" w:rsidRPr="00201EF3">
        <w:rPr>
          <w:b/>
          <w:bCs/>
        </w:rPr>
        <w:t>black</w:t>
      </w:r>
      <w:r w:rsidR="00201EF3" w:rsidRPr="00201EF3">
        <w:rPr>
          <w:b/>
          <w:bCs/>
        </w:rPr>
        <w:t xml:space="preserve"> </w:t>
      </w:r>
      <w:r w:rsidR="00201EF3" w:rsidRPr="002D259F">
        <w:t>and</w:t>
      </w:r>
      <w:r w:rsidR="0062655A" w:rsidRPr="002D259F">
        <w:t xml:space="preserve"> </w:t>
      </w:r>
      <w:r w:rsidR="00844E80" w:rsidRPr="002D259F">
        <w:rPr>
          <w:b/>
          <w:bCs/>
          <w:u w:val="single"/>
        </w:rPr>
        <w:t>underlined</w:t>
      </w:r>
      <w:r w:rsidR="00B149EE" w:rsidRPr="009D236D">
        <w:rPr>
          <w:noProof/>
        </w:rPr>
        <w:t xml:space="preserve">, </w:t>
      </w:r>
      <w:r w:rsidR="0094572E">
        <w:rPr>
          <w:noProof/>
        </w:rPr>
        <w:t xml:space="preserve">and </w:t>
      </w:r>
      <w:r w:rsidR="00B149EE">
        <w:t>d</w:t>
      </w:r>
      <w:r w:rsidR="00963EFA" w:rsidRPr="009103F3">
        <w:t>eleted text</w:t>
      </w:r>
      <w:r w:rsidR="00963EFA">
        <w:t xml:space="preserve"> (</w:t>
      </w:r>
      <w:r w:rsidR="00963EFA" w:rsidRPr="00182DCF">
        <w:rPr>
          <w:noProof/>
        </w:rPr>
        <w:t xml:space="preserve">from that proposed in </w:t>
      </w:r>
      <w:r w:rsidR="00963EFA" w:rsidRPr="00121585">
        <w:rPr>
          <w:rFonts w:eastAsia="MS Mincho"/>
          <w:lang w:val="en-US" w:eastAsia="ja-JP"/>
        </w:rPr>
        <w:t>ST/</w:t>
      </w:r>
      <w:r w:rsidR="00963EFA" w:rsidRPr="00380718">
        <w:rPr>
          <w:rFonts w:eastAsia="MS Mincho"/>
          <w:lang w:val="en-US" w:eastAsia="ja-JP"/>
        </w:rPr>
        <w:t>SG/AC.10/C.4/202</w:t>
      </w:r>
      <w:r w:rsidR="00963EFA">
        <w:rPr>
          <w:rFonts w:eastAsia="MS Mincho"/>
          <w:lang w:val="en-US" w:eastAsia="ja-JP"/>
        </w:rPr>
        <w:t>2</w:t>
      </w:r>
      <w:r w:rsidR="00963EFA" w:rsidRPr="00380718">
        <w:rPr>
          <w:rFonts w:eastAsia="MS Mincho"/>
          <w:lang w:val="en-US" w:eastAsia="ja-JP"/>
        </w:rPr>
        <w:t>/</w:t>
      </w:r>
      <w:r w:rsidR="00963EFA">
        <w:rPr>
          <w:rFonts w:eastAsia="MS Mincho"/>
          <w:lang w:val="en-US" w:eastAsia="ja-JP"/>
        </w:rPr>
        <w:t xml:space="preserve">14 </w:t>
      </w:r>
      <w:r w:rsidR="00963EFA" w:rsidRPr="00182DCF">
        <w:rPr>
          <w:noProof/>
        </w:rPr>
        <w:t>and INF.3</w:t>
      </w:r>
      <w:r w:rsidR="00963EFA">
        <w:t>)</w:t>
      </w:r>
      <w:r w:rsidR="00963EFA" w:rsidRPr="009103F3">
        <w:t xml:space="preserve"> </w:t>
      </w:r>
      <w:r w:rsidR="00963EFA">
        <w:t>i</w:t>
      </w:r>
      <w:r w:rsidR="00963EFA" w:rsidRPr="009103F3">
        <w:t xml:space="preserve">s </w:t>
      </w:r>
      <w:r w:rsidR="00963EFA" w:rsidRPr="00182DCF">
        <w:rPr>
          <w:noProof/>
        </w:rPr>
        <w:t xml:space="preserve">shown in underlined black </w:t>
      </w:r>
      <w:r w:rsidR="00963EFA" w:rsidRPr="00182DCF">
        <w:rPr>
          <w:strike/>
          <w:noProof/>
          <w:u w:val="single"/>
        </w:rPr>
        <w:t>strikethrough</w:t>
      </w:r>
      <w:r w:rsidR="00D94CE7">
        <w:rPr>
          <w:noProof/>
        </w:rPr>
        <w:t>.</w:t>
      </w:r>
      <w:r w:rsidR="00D94CE7">
        <w:t xml:space="preserve"> </w:t>
      </w:r>
      <w:r w:rsidR="00963EFA">
        <w:t xml:space="preserve">Text shown in </w:t>
      </w:r>
      <w:r w:rsidR="00D94CE7">
        <w:t>plain black</w:t>
      </w:r>
      <w:r w:rsidR="00963EFA">
        <w:t xml:space="preserve"> is the text previously proposed in </w:t>
      </w:r>
      <w:r w:rsidR="00963EFA" w:rsidRPr="00380718">
        <w:rPr>
          <w:rFonts w:eastAsia="MS Mincho"/>
          <w:lang w:val="en-US" w:eastAsia="ja-JP"/>
        </w:rPr>
        <w:t>ST/SG/AC.10/C.4/202</w:t>
      </w:r>
      <w:r w:rsidR="00963EFA">
        <w:rPr>
          <w:rFonts w:eastAsia="MS Mincho"/>
          <w:lang w:val="en-US" w:eastAsia="ja-JP"/>
        </w:rPr>
        <w:t>2</w:t>
      </w:r>
      <w:r w:rsidR="00963EFA" w:rsidRPr="00380718">
        <w:rPr>
          <w:rFonts w:eastAsia="MS Mincho"/>
          <w:lang w:val="en-US" w:eastAsia="ja-JP"/>
        </w:rPr>
        <w:t>/</w:t>
      </w:r>
      <w:r w:rsidR="00963EFA">
        <w:rPr>
          <w:rFonts w:eastAsia="MS Mincho"/>
          <w:lang w:val="en-US" w:eastAsia="ja-JP"/>
        </w:rPr>
        <w:t>14</w:t>
      </w:r>
      <w:r w:rsidR="00814E2C">
        <w:rPr>
          <w:rFonts w:eastAsia="MS Mincho"/>
          <w:lang w:val="en-US" w:eastAsia="ja-JP"/>
        </w:rPr>
        <w:t>,</w:t>
      </w:r>
      <w:r w:rsidR="00963EFA">
        <w:rPr>
          <w:rFonts w:eastAsia="MS Mincho"/>
          <w:lang w:val="en-US" w:eastAsia="ja-JP"/>
        </w:rPr>
        <w:t xml:space="preserve"> </w:t>
      </w:r>
      <w:r w:rsidR="00963EFA" w:rsidRPr="00510DB4">
        <w:rPr>
          <w:rFonts w:eastAsia="MS Mincho"/>
          <w:lang w:val="en-US" w:eastAsia="ja-JP"/>
        </w:rPr>
        <w:t xml:space="preserve">and </w:t>
      </w:r>
      <w:r w:rsidR="00814E2C">
        <w:rPr>
          <w:rFonts w:eastAsia="MS Mincho"/>
          <w:lang w:val="en-US" w:eastAsia="ja-JP"/>
        </w:rPr>
        <w:t xml:space="preserve">consolidated in </w:t>
      </w:r>
      <w:r w:rsidR="00963EFA" w:rsidRPr="00FD29C3">
        <w:t>INF.3/Rev.1</w:t>
      </w:r>
      <w:r w:rsidR="00814E2C">
        <w:t>,</w:t>
      </w:r>
      <w:r w:rsidR="00963EFA" w:rsidRPr="00510DB4">
        <w:t xml:space="preserve"> that</w:t>
      </w:r>
      <w:r w:rsidR="00963EFA">
        <w:t xml:space="preserve"> remains unchanged.</w:t>
      </w:r>
    </w:p>
    <w:p w14:paraId="0B8AFCAF" w14:textId="12317CFC" w:rsidR="00D90ACE" w:rsidRPr="00D23599" w:rsidRDefault="00D766EE" w:rsidP="00FF315A">
      <w:pPr>
        <w:pStyle w:val="SingleTxtG"/>
        <w:spacing w:before="360" w:after="240" w:line="270" w:lineRule="atLeast"/>
        <w:ind w:right="-46"/>
        <w:jc w:val="left"/>
        <w:rPr>
          <w:b/>
          <w:bCs/>
          <w:noProof/>
          <w:sz w:val="28"/>
          <w:szCs w:val="28"/>
        </w:rPr>
      </w:pPr>
      <w:r>
        <w:rPr>
          <w:b/>
          <w:bCs/>
          <w:noProof/>
          <w:sz w:val="28"/>
          <w:szCs w:val="28"/>
        </w:rPr>
        <w:t xml:space="preserve">Proposed </w:t>
      </w:r>
      <w:r w:rsidR="0051385E">
        <w:rPr>
          <w:b/>
          <w:bCs/>
          <w:noProof/>
          <w:sz w:val="28"/>
          <w:szCs w:val="28"/>
        </w:rPr>
        <w:t>amendments to</w:t>
      </w:r>
      <w:r w:rsidR="00D90ACE" w:rsidRPr="00D90ACE">
        <w:rPr>
          <w:b/>
          <w:bCs/>
          <w:sz w:val="28"/>
          <w:szCs w:val="28"/>
        </w:rPr>
        <w:t xml:space="preserve"> ST/SG/AC.10/2022/14</w:t>
      </w:r>
      <w:r w:rsidR="00D90ACE">
        <w:t xml:space="preserve"> </w:t>
      </w:r>
    </w:p>
    <w:p w14:paraId="56287A62" w14:textId="033A5BC4" w:rsidR="009E1F6D" w:rsidRDefault="000C1F24" w:rsidP="00FD29C3">
      <w:pPr>
        <w:pStyle w:val="SingleTxtG"/>
        <w:tabs>
          <w:tab w:val="left" w:pos="1843"/>
        </w:tabs>
        <w:ind w:right="237"/>
      </w:pPr>
      <w:r>
        <w:t>1</w:t>
      </w:r>
      <w:r w:rsidR="00404F50">
        <w:t>3</w:t>
      </w:r>
      <w:r w:rsidR="005E2DF5">
        <w:t>.</w:t>
      </w:r>
      <w:r w:rsidR="005E2DF5">
        <w:tab/>
      </w:r>
      <w:r w:rsidR="009E1F6D">
        <w:t xml:space="preserve">Amend the </w:t>
      </w:r>
      <w:r w:rsidR="00061A71">
        <w:t xml:space="preserve">proposals </w:t>
      </w:r>
      <w:r w:rsidR="009E1F6D">
        <w:t xml:space="preserve">in </w:t>
      </w:r>
      <w:r w:rsidR="00061A71" w:rsidRPr="00061A71">
        <w:t>ST/SG/AC.10/2022/14</w:t>
      </w:r>
      <w:r w:rsidR="00061A71">
        <w:t xml:space="preserve"> for the paragraphs below as follows: </w:t>
      </w:r>
    </w:p>
    <w:p w14:paraId="778BEA58" w14:textId="5C4B4753" w:rsidR="0028205C" w:rsidRDefault="00061A71" w:rsidP="003C36D3">
      <w:pPr>
        <w:pStyle w:val="SingleTxtG"/>
        <w:tabs>
          <w:tab w:val="left" w:pos="2552"/>
        </w:tabs>
        <w:ind w:right="237"/>
      </w:pPr>
      <w:r>
        <w:t xml:space="preserve">3.4.2.2.1.4 </w:t>
      </w:r>
      <w:r>
        <w:tab/>
        <w:t>R</w:t>
      </w:r>
      <w:r w:rsidR="00F95815">
        <w:t>eplace “weight-of-evidence” with “</w:t>
      </w:r>
      <w:r w:rsidR="00F95815" w:rsidRPr="00F87A03">
        <w:rPr>
          <w:b/>
          <w:bCs/>
          <w:u w:val="single"/>
        </w:rPr>
        <w:t>weight of evidence</w:t>
      </w:r>
      <w:r w:rsidR="00F95815">
        <w:t>”</w:t>
      </w:r>
      <w:r w:rsidR="006D2A61">
        <w:t xml:space="preserve">. </w:t>
      </w:r>
    </w:p>
    <w:p w14:paraId="1B183C81" w14:textId="2B3106F6" w:rsidR="009962C4" w:rsidRDefault="009962C4" w:rsidP="009A03C3">
      <w:pPr>
        <w:pStyle w:val="SingleTxtG"/>
        <w:tabs>
          <w:tab w:val="left" w:pos="2552"/>
        </w:tabs>
        <w:ind w:right="237"/>
      </w:pPr>
      <w:r w:rsidRPr="00890FC5">
        <w:t>3.4.2.2.4.</w:t>
      </w:r>
      <w:r w:rsidR="00CE50FD">
        <w:t>1</w:t>
      </w:r>
      <w:r>
        <w:tab/>
      </w:r>
      <w:r w:rsidR="00FB53FD">
        <w:t xml:space="preserve">In </w:t>
      </w:r>
      <w:r w:rsidR="004927DC">
        <w:t xml:space="preserve">the brackets of </w:t>
      </w:r>
      <w:r w:rsidR="00FB53FD">
        <w:t>footnote</w:t>
      </w:r>
      <w:r w:rsidR="0088320F">
        <w:t xml:space="preserve"> “3”</w:t>
      </w:r>
      <w:r w:rsidR="001E5344">
        <w:t xml:space="preserve"> </w:t>
      </w:r>
      <w:r w:rsidR="0035659B">
        <w:t xml:space="preserve">referenced </w:t>
      </w:r>
      <w:r w:rsidR="001E5344">
        <w:t>at the end of the fourth sentence,</w:t>
      </w:r>
      <w:r w:rsidR="00FB53FD">
        <w:t xml:space="preserve"> </w:t>
      </w:r>
      <w:r w:rsidR="001E5344">
        <w:t>r</w:t>
      </w:r>
      <w:r>
        <w:t xml:space="preserve">eplace </w:t>
      </w:r>
      <w:r w:rsidR="0088320F">
        <w:t>“OECD 2016b” with “</w:t>
      </w:r>
      <w:r w:rsidR="0088320F" w:rsidRPr="00EA3D72">
        <w:rPr>
          <w:b/>
          <w:bCs/>
          <w:u w:val="single"/>
        </w:rPr>
        <w:t xml:space="preserve">OECD </w:t>
      </w:r>
      <w:r w:rsidR="004927DC" w:rsidRPr="00EA3D72">
        <w:rPr>
          <w:b/>
          <w:bCs/>
          <w:u w:val="single"/>
        </w:rPr>
        <w:t>(</w:t>
      </w:r>
      <w:r w:rsidR="0088320F" w:rsidRPr="00EA3D72">
        <w:rPr>
          <w:b/>
          <w:bCs/>
          <w:u w:val="single"/>
        </w:rPr>
        <w:t>2017</w:t>
      </w:r>
      <w:r w:rsidR="004927DC" w:rsidRPr="00EA3D72">
        <w:rPr>
          <w:b/>
          <w:bCs/>
          <w:u w:val="single"/>
        </w:rPr>
        <w:t>)</w:t>
      </w:r>
      <w:r w:rsidR="0088320F">
        <w:t>”</w:t>
      </w:r>
    </w:p>
    <w:p w14:paraId="777DA585" w14:textId="1EC279F2" w:rsidR="009A03C3" w:rsidRPr="001C5873" w:rsidRDefault="009A03C3" w:rsidP="009A03C3">
      <w:pPr>
        <w:pStyle w:val="SingleTxtG"/>
        <w:tabs>
          <w:tab w:val="left" w:pos="2552"/>
        </w:tabs>
        <w:ind w:right="237"/>
      </w:pPr>
      <w:r w:rsidRPr="00890FC5">
        <w:lastRenderedPageBreak/>
        <w:t>3.4.2.2.4.2</w:t>
      </w:r>
      <w:r>
        <w:tab/>
        <w:t xml:space="preserve">After the </w:t>
      </w:r>
      <w:r w:rsidRPr="00B834EB">
        <w:t>words ‘…outcome of a defined approach’ i</w:t>
      </w:r>
      <w:r>
        <w:t>nsert the words: “</w:t>
      </w:r>
      <w:r w:rsidR="00E44E42" w:rsidRPr="000C54C0">
        <w:rPr>
          <w:b/>
          <w:bCs/>
          <w:u w:val="single"/>
        </w:rPr>
        <w:t xml:space="preserve">in Tier 1 </w:t>
      </w:r>
      <w:r w:rsidRPr="000C54C0">
        <w:rPr>
          <w:b/>
          <w:bCs/>
          <w:u w:val="single"/>
        </w:rPr>
        <w:t>is inconclusive and</w:t>
      </w:r>
      <w:r w:rsidR="00E44E42">
        <w:rPr>
          <w:b/>
          <w:bCs/>
          <w:u w:val="single"/>
        </w:rPr>
        <w:t xml:space="preserve"> thus</w:t>
      </w:r>
      <w:r w:rsidRPr="00B834EB">
        <w:t>”</w:t>
      </w:r>
      <w:r>
        <w:t>.</w:t>
      </w:r>
    </w:p>
    <w:p w14:paraId="395121A0" w14:textId="42EE5EBB" w:rsidR="008F59F4" w:rsidRPr="001C5873" w:rsidRDefault="00061A71" w:rsidP="003C36D3">
      <w:pPr>
        <w:pStyle w:val="SingleTxtG"/>
        <w:tabs>
          <w:tab w:val="left" w:pos="2552"/>
        </w:tabs>
        <w:ind w:right="237"/>
      </w:pPr>
      <w:r>
        <w:t>3.4.2.2.4.3</w:t>
      </w:r>
      <w:r>
        <w:tab/>
      </w:r>
      <w:r w:rsidR="008446FD">
        <w:t>Amend</w:t>
      </w:r>
      <w:r w:rsidR="008446FD" w:rsidRPr="001C5873">
        <w:t xml:space="preserve"> </w:t>
      </w:r>
      <w:r w:rsidR="008446FD">
        <w:t>as follows</w:t>
      </w:r>
      <w:r w:rsidR="00AC4652">
        <w:t>:</w:t>
      </w:r>
    </w:p>
    <w:p w14:paraId="353CA58A" w14:textId="4EA08540" w:rsidR="007038FB" w:rsidRPr="008F2E5A" w:rsidRDefault="001D7C60" w:rsidP="00DD6B90">
      <w:pPr>
        <w:pStyle w:val="Default"/>
        <w:tabs>
          <w:tab w:val="left" w:pos="2552"/>
        </w:tabs>
        <w:spacing w:after="120"/>
        <w:ind w:left="1134" w:right="-23"/>
        <w:jc w:val="both"/>
        <w:rPr>
          <w:color w:val="auto"/>
          <w:sz w:val="20"/>
          <w:szCs w:val="20"/>
        </w:rPr>
      </w:pPr>
      <w:r>
        <w:rPr>
          <w:color w:val="auto"/>
          <w:sz w:val="20"/>
          <w:szCs w:val="20"/>
        </w:rPr>
        <w:t>[</w:t>
      </w:r>
      <w:r w:rsidR="00166C83" w:rsidRPr="000C54C0">
        <w:rPr>
          <w:color w:val="auto"/>
          <w:sz w:val="20"/>
          <w:szCs w:val="20"/>
        </w:rPr>
        <w:t>“</w:t>
      </w:r>
      <w:r w:rsidR="007038FB" w:rsidRPr="000C54C0">
        <w:rPr>
          <w:color w:val="auto"/>
          <w:sz w:val="20"/>
          <w:szCs w:val="20"/>
        </w:rPr>
        <w:t>3.4.2.2.4.3</w:t>
      </w:r>
      <w:r w:rsidR="007038FB" w:rsidRPr="000C54C0">
        <w:rPr>
          <w:color w:val="auto"/>
          <w:sz w:val="20"/>
          <w:szCs w:val="20"/>
        </w:rPr>
        <w:tab/>
      </w:r>
      <w:r w:rsidR="007038FB" w:rsidRPr="00451B02">
        <w:rPr>
          <w:strike/>
          <w:color w:val="auto"/>
          <w:sz w:val="20"/>
          <w:szCs w:val="20"/>
          <w:u w:val="single"/>
        </w:rPr>
        <w:t>Some evidence can be used individually and in defined approaches.</w:t>
      </w:r>
      <w:r w:rsidR="007038FB" w:rsidRPr="00451B02">
        <w:rPr>
          <w:color w:val="auto"/>
          <w:sz w:val="20"/>
          <w:szCs w:val="20"/>
        </w:rPr>
        <w:t xml:space="preserve"> </w:t>
      </w:r>
      <w:r w:rsidR="007038FB" w:rsidRPr="000C54C0">
        <w:rPr>
          <w:b/>
          <w:bCs/>
          <w:color w:val="auto"/>
          <w:sz w:val="20"/>
          <w:szCs w:val="20"/>
          <w:u w:val="single"/>
        </w:rPr>
        <w:t>Individual</w:t>
      </w:r>
      <w:r w:rsidR="007038FB" w:rsidRPr="000C54C0">
        <w:rPr>
          <w:color w:val="auto"/>
          <w:sz w:val="20"/>
          <w:szCs w:val="20"/>
        </w:rPr>
        <w:t xml:space="preserve"> </w:t>
      </w:r>
      <w:r w:rsidR="007038FB" w:rsidRPr="000C54C0">
        <w:rPr>
          <w:b/>
          <w:bCs/>
          <w:color w:val="auto"/>
          <w:sz w:val="20"/>
          <w:szCs w:val="20"/>
          <w:u w:val="single"/>
        </w:rPr>
        <w:t>e</w:t>
      </w:r>
      <w:r w:rsidR="007038FB" w:rsidRPr="00451B02">
        <w:rPr>
          <w:strike/>
          <w:color w:val="auto"/>
          <w:sz w:val="20"/>
          <w:szCs w:val="20"/>
        </w:rPr>
        <w:t>E</w:t>
      </w:r>
      <w:r w:rsidR="007038FB" w:rsidRPr="000C54C0">
        <w:rPr>
          <w:color w:val="auto"/>
          <w:sz w:val="20"/>
          <w:szCs w:val="20"/>
        </w:rPr>
        <w:t xml:space="preserve">vidence </w:t>
      </w:r>
      <w:r w:rsidR="007038FB" w:rsidRPr="000C54C0">
        <w:rPr>
          <w:b/>
          <w:bCs/>
          <w:color w:val="auto"/>
          <w:sz w:val="20"/>
          <w:szCs w:val="20"/>
          <w:u w:val="single"/>
        </w:rPr>
        <w:t>considered</w:t>
      </w:r>
      <w:r w:rsidR="007038FB" w:rsidRPr="000C54C0">
        <w:rPr>
          <w:strike/>
          <w:color w:val="auto"/>
          <w:sz w:val="20"/>
          <w:szCs w:val="20"/>
        </w:rPr>
        <w:t xml:space="preserve"> </w:t>
      </w:r>
      <w:r w:rsidR="007038FB" w:rsidRPr="00451B02">
        <w:rPr>
          <w:strike/>
          <w:color w:val="auto"/>
          <w:sz w:val="20"/>
          <w:szCs w:val="20"/>
          <w:u w:val="single"/>
        </w:rPr>
        <w:t>used</w:t>
      </w:r>
      <w:r w:rsidR="007038FB" w:rsidRPr="00451B02">
        <w:rPr>
          <w:color w:val="auto"/>
          <w:sz w:val="20"/>
          <w:szCs w:val="20"/>
        </w:rPr>
        <w:t xml:space="preserve"> </w:t>
      </w:r>
      <w:r w:rsidR="007038FB" w:rsidRPr="000C54C0">
        <w:rPr>
          <w:color w:val="auto"/>
          <w:sz w:val="20"/>
          <w:szCs w:val="20"/>
        </w:rPr>
        <w:t xml:space="preserve">within </w:t>
      </w:r>
      <w:r w:rsidR="007038FB" w:rsidRPr="000C54C0">
        <w:rPr>
          <w:b/>
          <w:bCs/>
          <w:color w:val="auto"/>
          <w:sz w:val="20"/>
          <w:szCs w:val="20"/>
          <w:u w:val="single"/>
        </w:rPr>
        <w:t>a</w:t>
      </w:r>
      <w:r w:rsidR="007038FB" w:rsidRPr="000C54C0">
        <w:rPr>
          <w:color w:val="auto"/>
          <w:sz w:val="20"/>
          <w:szCs w:val="20"/>
        </w:rPr>
        <w:t xml:space="preserve"> defined approach</w:t>
      </w:r>
      <w:r w:rsidR="007038FB" w:rsidRPr="00451B02">
        <w:rPr>
          <w:strike/>
          <w:color w:val="auto"/>
          <w:sz w:val="20"/>
          <w:szCs w:val="20"/>
          <w:u w:val="single"/>
        </w:rPr>
        <w:t>es</w:t>
      </w:r>
      <w:r w:rsidR="007038FB" w:rsidRPr="000C54C0">
        <w:rPr>
          <w:color w:val="auto"/>
          <w:sz w:val="20"/>
          <w:szCs w:val="20"/>
        </w:rPr>
        <w:t xml:space="preserve"> should</w:t>
      </w:r>
      <w:r w:rsidR="007038FB" w:rsidRPr="00451B02">
        <w:rPr>
          <w:color w:val="auto"/>
          <w:sz w:val="20"/>
          <w:szCs w:val="20"/>
        </w:rPr>
        <w:t xml:space="preserve"> </w:t>
      </w:r>
      <w:r w:rsidR="007038FB" w:rsidRPr="00451B02">
        <w:rPr>
          <w:strike/>
          <w:color w:val="auto"/>
          <w:sz w:val="20"/>
          <w:szCs w:val="20"/>
          <w:u w:val="single"/>
        </w:rPr>
        <w:t>then</w:t>
      </w:r>
      <w:r w:rsidR="007038FB" w:rsidRPr="00451B02">
        <w:rPr>
          <w:strike/>
          <w:color w:val="auto"/>
          <w:sz w:val="20"/>
          <w:szCs w:val="20"/>
        </w:rPr>
        <w:t xml:space="preserve"> </w:t>
      </w:r>
      <w:r w:rsidR="007038FB" w:rsidRPr="000C54C0">
        <w:rPr>
          <w:color w:val="auto"/>
          <w:sz w:val="20"/>
          <w:szCs w:val="20"/>
        </w:rPr>
        <w:t xml:space="preserve">not </w:t>
      </w:r>
      <w:r w:rsidR="007038FB" w:rsidRPr="00451B02">
        <w:rPr>
          <w:strike/>
          <w:color w:val="auto"/>
          <w:sz w:val="20"/>
          <w:szCs w:val="20"/>
          <w:u w:val="single"/>
        </w:rPr>
        <w:t>also</w:t>
      </w:r>
      <w:r w:rsidR="007038FB" w:rsidRPr="000C54C0">
        <w:rPr>
          <w:strike/>
          <w:color w:val="auto"/>
          <w:sz w:val="20"/>
          <w:szCs w:val="20"/>
        </w:rPr>
        <w:t xml:space="preserve"> </w:t>
      </w:r>
      <w:r w:rsidR="007038FB" w:rsidRPr="000C54C0">
        <w:rPr>
          <w:color w:val="auto"/>
          <w:sz w:val="20"/>
          <w:szCs w:val="20"/>
        </w:rPr>
        <w:t xml:space="preserve">be </w:t>
      </w:r>
      <w:bookmarkStart w:id="1" w:name="_Hlk116634577"/>
      <w:r w:rsidR="007038FB" w:rsidRPr="000C54C0">
        <w:rPr>
          <w:b/>
          <w:bCs/>
          <w:color w:val="auto"/>
          <w:sz w:val="20"/>
          <w:szCs w:val="20"/>
          <w:u w:val="single"/>
        </w:rPr>
        <w:t>considered as an additional line of evidence</w:t>
      </w:r>
      <w:r w:rsidR="007038FB" w:rsidRPr="000C54C0">
        <w:rPr>
          <w:color w:val="auto"/>
          <w:sz w:val="20"/>
          <w:szCs w:val="20"/>
        </w:rPr>
        <w:t xml:space="preserve"> </w:t>
      </w:r>
      <w:bookmarkEnd w:id="1"/>
      <w:r w:rsidR="007038FB" w:rsidRPr="00451B02">
        <w:rPr>
          <w:strike/>
          <w:color w:val="auto"/>
          <w:sz w:val="20"/>
          <w:szCs w:val="20"/>
          <w:u w:val="single"/>
        </w:rPr>
        <w:t>used individually</w:t>
      </w:r>
      <w:r w:rsidR="007038FB" w:rsidRPr="00451B02">
        <w:rPr>
          <w:color w:val="auto"/>
        </w:rPr>
        <w:t xml:space="preserve"> </w:t>
      </w:r>
      <w:r w:rsidR="007038FB" w:rsidRPr="008F2E5A">
        <w:rPr>
          <w:color w:val="auto"/>
          <w:sz w:val="20"/>
          <w:szCs w:val="20"/>
        </w:rPr>
        <w:t>within a weight of evidence assessment.”</w:t>
      </w:r>
      <w:r>
        <w:rPr>
          <w:color w:val="auto"/>
          <w:sz w:val="20"/>
          <w:szCs w:val="20"/>
        </w:rPr>
        <w:t>]</w:t>
      </w:r>
    </w:p>
    <w:p w14:paraId="0A516A2A" w14:textId="5B8504B6" w:rsidR="00F7320D" w:rsidRPr="00A74149" w:rsidRDefault="00F7320D" w:rsidP="00DD6B90">
      <w:pPr>
        <w:pStyle w:val="SingleTxtG"/>
        <w:tabs>
          <w:tab w:val="left" w:pos="2552"/>
        </w:tabs>
        <w:ind w:right="-23"/>
      </w:pPr>
      <w:r w:rsidRPr="00A74149">
        <w:t>3.4.2.2.5.1</w:t>
      </w:r>
      <w:r w:rsidRPr="00A74149">
        <w:tab/>
        <w:t>Replace</w:t>
      </w:r>
      <w:r w:rsidR="0073161A" w:rsidRPr="00A74149">
        <w:t xml:space="preserve"> “see OECD, 2014” with “</w:t>
      </w:r>
      <w:r w:rsidR="0073161A" w:rsidRPr="00A74149">
        <w:rPr>
          <w:b/>
          <w:bCs/>
          <w:u w:val="single"/>
        </w:rPr>
        <w:t>see OECD (2014)</w:t>
      </w:r>
      <w:r w:rsidR="0073161A" w:rsidRPr="00A74149">
        <w:t>”.</w:t>
      </w:r>
    </w:p>
    <w:p w14:paraId="539C0150" w14:textId="57312A3F" w:rsidR="007038FB" w:rsidRPr="00A74149" w:rsidRDefault="00061A71" w:rsidP="00DD6B90">
      <w:pPr>
        <w:pStyle w:val="SingleTxtG"/>
        <w:tabs>
          <w:tab w:val="left" w:pos="2552"/>
        </w:tabs>
        <w:ind w:right="-23"/>
      </w:pPr>
      <w:r w:rsidRPr="00A74149">
        <w:t>3.4.2.2.5.2</w:t>
      </w:r>
      <w:r w:rsidRPr="00A74149">
        <w:tab/>
      </w:r>
      <w:r w:rsidR="00571716" w:rsidRPr="00A74149">
        <w:t>Replace “non-stand alone” with “</w:t>
      </w:r>
      <w:r w:rsidR="00571716" w:rsidRPr="00A74149">
        <w:rPr>
          <w:b/>
          <w:bCs/>
          <w:u w:val="single"/>
        </w:rPr>
        <w:t>non stand-alone</w:t>
      </w:r>
      <w:r w:rsidR="00571716" w:rsidRPr="00A74149">
        <w:t>"</w:t>
      </w:r>
      <w:r w:rsidR="001D3D75" w:rsidRPr="00A74149">
        <w:t>; and d</w:t>
      </w:r>
      <w:r w:rsidR="00022B9B" w:rsidRPr="00A74149">
        <w:t>elete the last sentence “When already… (see 3.4.2.2.7.4)”</w:t>
      </w:r>
      <w:r w:rsidR="00255E5F" w:rsidRPr="00A74149">
        <w:t>.</w:t>
      </w:r>
    </w:p>
    <w:p w14:paraId="2FC4C583" w14:textId="5D94E5FF" w:rsidR="0005522E" w:rsidRPr="00253488" w:rsidRDefault="008C7DBC" w:rsidP="00DD6B90">
      <w:pPr>
        <w:pStyle w:val="SingleTxtG"/>
        <w:tabs>
          <w:tab w:val="left" w:pos="2552"/>
        </w:tabs>
        <w:ind w:right="-23"/>
      </w:pPr>
      <w:r w:rsidRPr="00253488">
        <w:t xml:space="preserve">3.4.2.2.5.3 </w:t>
      </w:r>
      <w:r w:rsidRPr="00253488">
        <w:tab/>
        <w:t xml:space="preserve">Replace </w:t>
      </w:r>
      <w:r w:rsidR="002F4CD3" w:rsidRPr="00253488">
        <w:t>the reference “</w:t>
      </w:r>
      <w:r w:rsidRPr="00253488">
        <w:t>3.4.5.3.6.1</w:t>
      </w:r>
      <w:r w:rsidR="002F4CD3" w:rsidRPr="00253488">
        <w:t>”</w:t>
      </w:r>
      <w:r w:rsidRPr="00253488">
        <w:t xml:space="preserve"> with </w:t>
      </w:r>
      <w:r w:rsidR="002F4CD3" w:rsidRPr="00253488">
        <w:t>“</w:t>
      </w:r>
      <w:r w:rsidRPr="00253488">
        <w:rPr>
          <w:b/>
          <w:bCs/>
          <w:u w:val="single"/>
        </w:rPr>
        <w:t>3.4.5.3.6.2</w:t>
      </w:r>
      <w:r w:rsidR="002F4CD3" w:rsidRPr="00253488">
        <w:rPr>
          <w:b/>
          <w:bCs/>
        </w:rPr>
        <w:t>”</w:t>
      </w:r>
      <w:r w:rsidR="00667004">
        <w:rPr>
          <w:b/>
          <w:bCs/>
        </w:rPr>
        <w:t xml:space="preserve"> </w:t>
      </w:r>
      <w:r w:rsidR="00667004" w:rsidRPr="00DA7696">
        <w:t xml:space="preserve">(including </w:t>
      </w:r>
      <w:r w:rsidR="00667004">
        <w:t xml:space="preserve">in </w:t>
      </w:r>
      <w:r w:rsidR="00667004" w:rsidRPr="00DA7696">
        <w:t>the related new footnote 4)</w:t>
      </w:r>
      <w:r w:rsidR="002F4CD3" w:rsidRPr="00667004">
        <w:t>.</w:t>
      </w:r>
    </w:p>
    <w:p w14:paraId="1D504ADD" w14:textId="7113E51E" w:rsidR="00AB1E7F" w:rsidRPr="00A74149" w:rsidRDefault="000827A3" w:rsidP="00166C83">
      <w:pPr>
        <w:pStyle w:val="SingleTxtG"/>
        <w:tabs>
          <w:tab w:val="left" w:pos="2552"/>
        </w:tabs>
        <w:ind w:right="237"/>
      </w:pPr>
      <w:r w:rsidRPr="00A74149">
        <w:t>3.4.2.2.6.1</w:t>
      </w:r>
      <w:r w:rsidR="00AB1E7F" w:rsidRPr="00A74149">
        <w:tab/>
      </w:r>
      <w:r w:rsidRPr="00A74149">
        <w:t>D</w:t>
      </w:r>
      <w:r w:rsidR="00D810AF" w:rsidRPr="00A74149">
        <w:t>elete the second and third sentences “Specific non-test methods…(see 3.4.2.2.7.4)</w:t>
      </w:r>
      <w:r w:rsidR="00AE29E3" w:rsidRPr="00A74149">
        <w:t>”</w:t>
      </w:r>
      <w:r w:rsidR="00D810AF" w:rsidRPr="00A74149">
        <w:t>.</w:t>
      </w:r>
    </w:p>
    <w:p w14:paraId="1EB6F7C5" w14:textId="5930A575" w:rsidR="00946AE1" w:rsidRPr="00A74149" w:rsidRDefault="000827A3" w:rsidP="00DD6B90">
      <w:pPr>
        <w:keepNext/>
        <w:keepLines/>
        <w:tabs>
          <w:tab w:val="left" w:pos="2552"/>
        </w:tabs>
        <w:suppressAutoHyphens w:val="0"/>
        <w:spacing w:after="120" w:line="240" w:lineRule="auto"/>
        <w:ind w:left="1134" w:right="-23"/>
        <w:jc w:val="both"/>
        <w:rPr>
          <w:bCs/>
        </w:rPr>
      </w:pPr>
      <w:r w:rsidRPr="00A74149">
        <w:t>3.4.2.2.7.3</w:t>
      </w:r>
      <w:r w:rsidRPr="00A74149">
        <w:tab/>
      </w:r>
      <w:r w:rsidR="0061633B" w:rsidRPr="00A74149">
        <w:t>Replace “non-stand alone” with “</w:t>
      </w:r>
      <w:r w:rsidR="0061633B" w:rsidRPr="00A74149">
        <w:rPr>
          <w:b/>
          <w:bCs/>
          <w:u w:val="single"/>
        </w:rPr>
        <w:t>non</w:t>
      </w:r>
      <w:r w:rsidR="00BE119B">
        <w:rPr>
          <w:b/>
          <w:bCs/>
          <w:u w:val="single"/>
        </w:rPr>
        <w:t xml:space="preserve"> </w:t>
      </w:r>
      <w:r w:rsidR="0061633B" w:rsidRPr="00A74149">
        <w:rPr>
          <w:b/>
          <w:bCs/>
          <w:u w:val="single"/>
        </w:rPr>
        <w:t>stand-alone</w:t>
      </w:r>
      <w:r w:rsidR="0061633B" w:rsidRPr="00A74149">
        <w:t>";</w:t>
      </w:r>
      <w:r w:rsidR="00371B7D" w:rsidRPr="00A74149">
        <w:t xml:space="preserve"> </w:t>
      </w:r>
      <w:r w:rsidR="00372808" w:rsidRPr="00A74149">
        <w:rPr>
          <w:bCs/>
        </w:rPr>
        <w:t xml:space="preserve">replace </w:t>
      </w:r>
      <w:r w:rsidR="00B37C3E" w:rsidRPr="00A74149">
        <w:rPr>
          <w:bCs/>
        </w:rPr>
        <w:t>“</w:t>
      </w:r>
      <w:r w:rsidR="00372808" w:rsidRPr="00A74149">
        <w:rPr>
          <w:bCs/>
        </w:rPr>
        <w:t>,</w:t>
      </w:r>
      <w:r w:rsidR="00B37C3E" w:rsidRPr="00A74149">
        <w:rPr>
          <w:bCs/>
        </w:rPr>
        <w:t>”</w:t>
      </w:r>
      <w:r w:rsidR="00372808" w:rsidRPr="00A74149">
        <w:rPr>
          <w:bCs/>
        </w:rPr>
        <w:t xml:space="preserve"> with “</w:t>
      </w:r>
      <w:r w:rsidR="00372808" w:rsidRPr="00A74149">
        <w:rPr>
          <w:b/>
          <w:u w:val="single"/>
        </w:rPr>
        <w:t>or</w:t>
      </w:r>
      <w:r w:rsidR="00372808" w:rsidRPr="00A74149">
        <w:rPr>
          <w:bCs/>
        </w:rPr>
        <w:t xml:space="preserve">” </w:t>
      </w:r>
      <w:r w:rsidR="00371B7D" w:rsidRPr="00A74149">
        <w:t xml:space="preserve">after </w:t>
      </w:r>
      <w:r w:rsidR="00B37C3E" w:rsidRPr="00A74149">
        <w:t>“</w:t>
      </w:r>
      <w:r w:rsidR="005451E9" w:rsidRPr="00A74149">
        <w:rPr>
          <w:bCs/>
          <w:i/>
          <w:iCs/>
        </w:rPr>
        <w:t xml:space="preserve">in </w:t>
      </w:r>
      <w:proofErr w:type="spellStart"/>
      <w:r w:rsidR="005451E9" w:rsidRPr="00A74149">
        <w:rPr>
          <w:bCs/>
          <w:i/>
          <w:iCs/>
        </w:rPr>
        <w:t>chemico</w:t>
      </w:r>
      <w:proofErr w:type="spellEnd"/>
      <w:r w:rsidR="005451E9" w:rsidRPr="00A74149">
        <w:rPr>
          <w:bCs/>
          <w:i/>
          <w:iCs/>
        </w:rPr>
        <w:t>/in vitro</w:t>
      </w:r>
      <w:r w:rsidR="005451E9" w:rsidRPr="00A74149">
        <w:rPr>
          <w:bCs/>
        </w:rPr>
        <w:t xml:space="preserve"> methods</w:t>
      </w:r>
      <w:r w:rsidR="00B37C3E" w:rsidRPr="00A74149">
        <w:rPr>
          <w:bCs/>
        </w:rPr>
        <w:t>”</w:t>
      </w:r>
      <w:r w:rsidR="00BB2DDA" w:rsidRPr="00A74149">
        <w:rPr>
          <w:bCs/>
        </w:rPr>
        <w:t xml:space="preserve"> and delete</w:t>
      </w:r>
      <w:r w:rsidR="008704E7" w:rsidRPr="00A74149">
        <w:t xml:space="preserve"> </w:t>
      </w:r>
      <w:r w:rsidR="00BB2DDA" w:rsidRPr="00A74149">
        <w:t>“</w:t>
      </w:r>
      <w:r w:rsidR="00E10CB8" w:rsidRPr="00A74149">
        <w:t xml:space="preserve">or low confidence/inconclusive </w:t>
      </w:r>
      <w:r w:rsidR="0016232B" w:rsidRPr="00A74149">
        <w:rPr>
          <w:rStyle w:val="CommentReference"/>
          <w:sz w:val="20"/>
          <w:szCs w:val="20"/>
        </w:rPr>
        <w:t>results from defined approaches”</w:t>
      </w:r>
      <w:r w:rsidR="003C342B" w:rsidRPr="00A74149">
        <w:rPr>
          <w:rStyle w:val="CommentReference"/>
          <w:sz w:val="20"/>
          <w:szCs w:val="20"/>
        </w:rPr>
        <w:t xml:space="preserve"> in the first sentence</w:t>
      </w:r>
      <w:r w:rsidR="0090456D" w:rsidRPr="00A74149">
        <w:t xml:space="preserve">; </w:t>
      </w:r>
      <w:r w:rsidR="00E10CB8" w:rsidRPr="00A74149">
        <w:t>replace “weight-of-evidence” with “</w:t>
      </w:r>
      <w:r w:rsidR="00E10CB8" w:rsidRPr="00A74149">
        <w:rPr>
          <w:b/>
          <w:bCs/>
          <w:u w:val="single"/>
        </w:rPr>
        <w:t>weight of evidence assessment</w:t>
      </w:r>
      <w:r w:rsidR="00E10CB8" w:rsidRPr="00A74149">
        <w:t>” in the second paragraph</w:t>
      </w:r>
      <w:r w:rsidR="0090456D" w:rsidRPr="00A74149">
        <w:t xml:space="preserve">; and </w:t>
      </w:r>
      <w:r w:rsidR="00410158" w:rsidRPr="00A74149">
        <w:t>delete “</w:t>
      </w:r>
      <w:r w:rsidR="00946AE1" w:rsidRPr="00A74149">
        <w:rPr>
          <w:bCs/>
        </w:rPr>
        <w:t>(c)</w:t>
      </w:r>
      <w:r w:rsidR="00946AE1" w:rsidRPr="00A74149">
        <w:rPr>
          <w:bCs/>
        </w:rPr>
        <w:tab/>
        <w:t xml:space="preserve">Low confidence/inconclusive results from defined approaches (see </w:t>
      </w:r>
      <w:r w:rsidR="00946AE1" w:rsidRPr="00A74149">
        <w:t>3.4.2.2.4.2</w:t>
      </w:r>
      <w:r w:rsidR="00946AE1" w:rsidRPr="00A74149">
        <w:rPr>
          <w:bCs/>
        </w:rPr>
        <w:t>).”</w:t>
      </w:r>
    </w:p>
    <w:p w14:paraId="5F5AB49F" w14:textId="139CC857" w:rsidR="00E6142A" w:rsidRPr="00A74149" w:rsidRDefault="00A23D70" w:rsidP="009964B5">
      <w:pPr>
        <w:keepNext/>
        <w:keepLines/>
        <w:tabs>
          <w:tab w:val="left" w:pos="2552"/>
        </w:tabs>
        <w:spacing w:after="120" w:line="240" w:lineRule="auto"/>
        <w:ind w:left="1134"/>
      </w:pPr>
      <w:r w:rsidRPr="00A74149">
        <w:t xml:space="preserve">3.4.2.2.7.4 </w:t>
      </w:r>
      <w:r w:rsidRPr="00A74149">
        <w:tab/>
        <w:t>Replace “non-stand alone” with “</w:t>
      </w:r>
      <w:r w:rsidRPr="00A74149">
        <w:rPr>
          <w:b/>
          <w:bCs/>
          <w:u w:val="single"/>
        </w:rPr>
        <w:t>non stand-alone</w:t>
      </w:r>
      <w:r w:rsidRPr="00A74149">
        <w:t>"</w:t>
      </w:r>
      <w:r w:rsidR="00125CE8" w:rsidRPr="00A74149">
        <w:t>.</w:t>
      </w:r>
    </w:p>
    <w:p w14:paraId="2D394E94" w14:textId="2F74CBEE" w:rsidR="008F5A30" w:rsidRPr="00A74149" w:rsidRDefault="009865D2" w:rsidP="00DD6B90">
      <w:pPr>
        <w:keepNext/>
        <w:keepLines/>
        <w:tabs>
          <w:tab w:val="left" w:pos="2552"/>
        </w:tabs>
        <w:spacing w:after="120" w:line="240" w:lineRule="auto"/>
        <w:ind w:left="1134" w:right="-23"/>
      </w:pPr>
      <w:r w:rsidRPr="00A74149">
        <w:t xml:space="preserve">3.4.2.2.7.5 </w:t>
      </w:r>
      <w:r w:rsidRPr="00A74149">
        <w:tab/>
        <w:t>R</w:t>
      </w:r>
      <w:r w:rsidR="008022AB" w:rsidRPr="00A74149">
        <w:t>eplace “non</w:t>
      </w:r>
      <w:r w:rsidR="00B336E7" w:rsidRPr="00A74149">
        <w:t>-</w:t>
      </w:r>
      <w:r w:rsidR="008022AB" w:rsidRPr="00A74149">
        <w:t>stand alone” with “</w:t>
      </w:r>
      <w:r w:rsidR="008022AB" w:rsidRPr="00A74149">
        <w:rPr>
          <w:b/>
          <w:bCs/>
          <w:u w:val="single"/>
        </w:rPr>
        <w:t>non</w:t>
      </w:r>
      <w:r w:rsidR="00B336E7" w:rsidRPr="00A74149">
        <w:rPr>
          <w:b/>
          <w:bCs/>
          <w:u w:val="single"/>
        </w:rPr>
        <w:t xml:space="preserve"> </w:t>
      </w:r>
      <w:r w:rsidR="008022AB" w:rsidRPr="00A74149">
        <w:rPr>
          <w:b/>
          <w:bCs/>
          <w:u w:val="single"/>
        </w:rPr>
        <w:t>stand</w:t>
      </w:r>
      <w:r w:rsidR="00B336E7" w:rsidRPr="00A74149">
        <w:rPr>
          <w:b/>
          <w:bCs/>
          <w:u w:val="single"/>
        </w:rPr>
        <w:t>-</w:t>
      </w:r>
      <w:r w:rsidR="008022AB" w:rsidRPr="00A74149">
        <w:rPr>
          <w:b/>
          <w:bCs/>
          <w:u w:val="single"/>
        </w:rPr>
        <w:t>alone</w:t>
      </w:r>
      <w:r w:rsidR="008022AB" w:rsidRPr="00A74149">
        <w:t>"</w:t>
      </w:r>
      <w:r w:rsidR="00C34CD9" w:rsidRPr="00A74149">
        <w:t>;</w:t>
      </w:r>
      <w:r w:rsidR="00332729" w:rsidRPr="00A74149">
        <w:t xml:space="preserve"> </w:t>
      </w:r>
      <w:r w:rsidR="00F8249E" w:rsidRPr="00A74149">
        <w:rPr>
          <w:bCs/>
        </w:rPr>
        <w:t xml:space="preserve">replace </w:t>
      </w:r>
      <w:r w:rsidR="009434C0" w:rsidRPr="00A74149">
        <w:rPr>
          <w:bCs/>
        </w:rPr>
        <w:t>“</w:t>
      </w:r>
      <w:r w:rsidR="00F8249E" w:rsidRPr="00A74149">
        <w:rPr>
          <w:bCs/>
        </w:rPr>
        <w:t>,</w:t>
      </w:r>
      <w:r w:rsidR="009434C0" w:rsidRPr="00A74149">
        <w:rPr>
          <w:bCs/>
        </w:rPr>
        <w:t>”</w:t>
      </w:r>
      <w:r w:rsidR="00F8249E" w:rsidRPr="00A74149">
        <w:rPr>
          <w:bCs/>
        </w:rPr>
        <w:t xml:space="preserve"> with “</w:t>
      </w:r>
      <w:r w:rsidR="00F8249E" w:rsidRPr="00A74149">
        <w:rPr>
          <w:b/>
          <w:u w:val="single"/>
        </w:rPr>
        <w:t>and</w:t>
      </w:r>
      <w:r w:rsidR="00F8249E" w:rsidRPr="00A74149">
        <w:rPr>
          <w:bCs/>
        </w:rPr>
        <w:t xml:space="preserve">” </w:t>
      </w:r>
      <w:r w:rsidR="00332729" w:rsidRPr="00A74149">
        <w:t xml:space="preserve">after </w:t>
      </w:r>
      <w:r w:rsidR="009434C0" w:rsidRPr="00A74149">
        <w:t>“</w:t>
      </w:r>
      <w:r w:rsidR="0062331B" w:rsidRPr="00A74149">
        <w:rPr>
          <w:iCs/>
        </w:rPr>
        <w:t>international procedures</w:t>
      </w:r>
      <w:r w:rsidR="009434C0" w:rsidRPr="00A74149">
        <w:rPr>
          <w:iCs/>
        </w:rPr>
        <w:t>”</w:t>
      </w:r>
      <w:r w:rsidR="00B95792" w:rsidRPr="00A74149">
        <w:rPr>
          <w:iCs/>
        </w:rPr>
        <w:t>;</w:t>
      </w:r>
      <w:r w:rsidR="00332729" w:rsidRPr="00A74149">
        <w:rPr>
          <w:bCs/>
        </w:rPr>
        <w:t xml:space="preserve"> delete</w:t>
      </w:r>
      <w:r w:rsidR="00332729" w:rsidRPr="00A74149">
        <w:t xml:space="preserve"> “</w:t>
      </w:r>
      <w:r w:rsidR="00982A6A" w:rsidRPr="00A74149">
        <w:t>and</w:t>
      </w:r>
      <w:r w:rsidR="00332729" w:rsidRPr="00A74149">
        <w:t xml:space="preserve"> low confidence/inconclusive </w:t>
      </w:r>
      <w:r w:rsidR="00332729" w:rsidRPr="00A74149">
        <w:rPr>
          <w:rStyle w:val="CommentReference"/>
          <w:sz w:val="20"/>
          <w:szCs w:val="20"/>
        </w:rPr>
        <w:t>results from defined approaches”</w:t>
      </w:r>
      <w:r w:rsidR="004836A2" w:rsidRPr="00A74149">
        <w:rPr>
          <w:bCs/>
        </w:rPr>
        <w:t>;</w:t>
      </w:r>
      <w:r w:rsidR="004836A2" w:rsidRPr="00A74149">
        <w:t xml:space="preserve"> </w:t>
      </w:r>
      <w:r w:rsidR="00C34CD9" w:rsidRPr="00A74149">
        <w:t xml:space="preserve">and </w:t>
      </w:r>
      <w:r w:rsidR="00024034" w:rsidRPr="00A74149">
        <w:t xml:space="preserve">replace </w:t>
      </w:r>
      <w:r w:rsidR="00C34CD9" w:rsidRPr="00A74149">
        <w:t>“weight-of-evidence” with “</w:t>
      </w:r>
      <w:r w:rsidR="00C34CD9" w:rsidRPr="00A74149">
        <w:rPr>
          <w:b/>
          <w:bCs/>
          <w:u w:val="single"/>
        </w:rPr>
        <w:t>weight of evidence</w:t>
      </w:r>
      <w:r w:rsidR="00C34CD9" w:rsidRPr="00A74149">
        <w:t xml:space="preserve">” </w:t>
      </w:r>
      <w:r w:rsidR="00B95792" w:rsidRPr="00A74149">
        <w:rPr>
          <w:bCs/>
        </w:rPr>
        <w:t>in the first sentence</w:t>
      </w:r>
      <w:r w:rsidR="007E223C" w:rsidRPr="00A74149">
        <w:rPr>
          <w:bCs/>
        </w:rPr>
        <w:t>.</w:t>
      </w:r>
    </w:p>
    <w:p w14:paraId="5FC2C1A9" w14:textId="1E839E85" w:rsidR="00610BFE" w:rsidRPr="00A74149" w:rsidRDefault="009865D2" w:rsidP="00DD6B90">
      <w:pPr>
        <w:tabs>
          <w:tab w:val="left" w:pos="2552"/>
        </w:tabs>
        <w:spacing w:after="120" w:line="240" w:lineRule="auto"/>
        <w:ind w:left="1134" w:right="-23"/>
      </w:pPr>
      <w:r w:rsidRPr="00A74149">
        <w:t>3.4.2.2.7.6</w:t>
      </w:r>
      <w:r w:rsidRPr="00A74149">
        <w:tab/>
        <w:t>R</w:t>
      </w:r>
      <w:r w:rsidR="00610BFE" w:rsidRPr="00A74149">
        <w:t>eplace “weight-of-evidence” with “</w:t>
      </w:r>
      <w:r w:rsidR="0075331C" w:rsidRPr="00A74149">
        <w:rPr>
          <w:b/>
          <w:bCs/>
          <w:u w:val="single"/>
        </w:rPr>
        <w:t>weight of evidence assessment</w:t>
      </w:r>
      <w:r w:rsidR="0075331C" w:rsidRPr="00A74149">
        <w:t>”</w:t>
      </w:r>
      <w:r w:rsidR="00742A7A" w:rsidRPr="00A74149">
        <w:t xml:space="preserve"> in the first sentence</w:t>
      </w:r>
      <w:r w:rsidR="00B27ABA" w:rsidRPr="00A74149">
        <w:t xml:space="preserve">; </w:t>
      </w:r>
      <w:r w:rsidR="00740DBB" w:rsidRPr="00A74149">
        <w:t xml:space="preserve">and </w:t>
      </w:r>
      <w:r w:rsidR="00742A7A" w:rsidRPr="00A74149">
        <w:t>“weight-of-evidence” with “</w:t>
      </w:r>
      <w:r w:rsidR="00742A7A" w:rsidRPr="00A74149">
        <w:rPr>
          <w:b/>
          <w:bCs/>
          <w:u w:val="single"/>
        </w:rPr>
        <w:t>weight of evidence</w:t>
      </w:r>
      <w:r w:rsidR="00742A7A" w:rsidRPr="00A74149">
        <w:t>”</w:t>
      </w:r>
      <w:r w:rsidR="00B27ABA" w:rsidRPr="00A74149">
        <w:t xml:space="preserve"> in the second paragraph</w:t>
      </w:r>
      <w:r w:rsidR="00755CB4" w:rsidRPr="00A74149">
        <w:t>.</w:t>
      </w:r>
    </w:p>
    <w:p w14:paraId="0D36C7AB" w14:textId="09BEEEF4" w:rsidR="00583006" w:rsidRPr="00A74149" w:rsidRDefault="00583006" w:rsidP="009964B5">
      <w:pPr>
        <w:tabs>
          <w:tab w:val="left" w:pos="2552"/>
        </w:tabs>
        <w:spacing w:after="120" w:line="240" w:lineRule="auto"/>
        <w:ind w:left="1134"/>
      </w:pPr>
      <w:r w:rsidRPr="00A74149">
        <w:t>3.4.2.2.7.</w:t>
      </w:r>
      <w:r w:rsidR="00515387" w:rsidRPr="00A74149">
        <w:t>7</w:t>
      </w:r>
      <w:r w:rsidRPr="00A74149">
        <w:tab/>
        <w:t>Replace “approach” with “</w:t>
      </w:r>
      <w:r w:rsidRPr="00A74149">
        <w:rPr>
          <w:b/>
          <w:bCs/>
          <w:u w:val="single"/>
        </w:rPr>
        <w:t>assessment</w:t>
      </w:r>
      <w:r w:rsidRPr="00A74149">
        <w:t>”</w:t>
      </w:r>
      <w:r w:rsidR="00612684" w:rsidRPr="00A74149">
        <w:t xml:space="preserve"> at the end of the paragraph.</w:t>
      </w:r>
    </w:p>
    <w:p w14:paraId="3104B145" w14:textId="6C9A63F0" w:rsidR="00763C20" w:rsidRPr="00A74149" w:rsidRDefault="00EF6A47" w:rsidP="007B30CC">
      <w:pPr>
        <w:tabs>
          <w:tab w:val="left" w:pos="2268"/>
        </w:tabs>
        <w:spacing w:after="120" w:line="240" w:lineRule="auto"/>
        <w:ind w:left="1134"/>
      </w:pPr>
      <w:r w:rsidRPr="00A74149">
        <w:t>Figure 3.4.1</w:t>
      </w:r>
    </w:p>
    <w:p w14:paraId="2B24E578" w14:textId="2467A18F" w:rsidR="00D64E2A" w:rsidRPr="00A74149" w:rsidRDefault="00D64E2A" w:rsidP="00E728D4">
      <w:pPr>
        <w:pStyle w:val="Bullet1G"/>
        <w:tabs>
          <w:tab w:val="clear" w:pos="1701"/>
        </w:tabs>
        <w:ind w:left="2835" w:hanging="283"/>
      </w:pPr>
      <w:r w:rsidRPr="00A74149">
        <w:t>In the “Tier 2” text box, replace “</w:t>
      </w:r>
      <w:r w:rsidR="00E97960" w:rsidRPr="00A74149">
        <w:t>non-stand alone” with “</w:t>
      </w:r>
      <w:r w:rsidR="00E97960" w:rsidRPr="00A74149">
        <w:rPr>
          <w:b/>
          <w:bCs/>
          <w:u w:val="single"/>
        </w:rPr>
        <w:t>non stand-alone</w:t>
      </w:r>
      <w:r w:rsidR="00E97960" w:rsidRPr="00A74149">
        <w:t>"</w:t>
      </w:r>
      <w:r w:rsidR="009D25C9" w:rsidRPr="00A74149">
        <w:t>;</w:t>
      </w:r>
      <w:r w:rsidR="006B41EE" w:rsidRPr="00A74149">
        <w:t xml:space="preserve"> </w:t>
      </w:r>
      <w:r w:rsidR="009D25C9" w:rsidRPr="00A74149">
        <w:t xml:space="preserve">insert </w:t>
      </w:r>
      <w:r w:rsidR="009D25C9" w:rsidRPr="002F1B1F">
        <w:rPr>
          <w:b/>
          <w:bCs/>
        </w:rPr>
        <w:t>“</w:t>
      </w:r>
      <w:r w:rsidR="009D25C9" w:rsidRPr="00A74149">
        <w:rPr>
          <w:b/>
          <w:bCs/>
          <w:u w:val="single"/>
        </w:rPr>
        <w:t>(see 3.4.2.2.4.2 and 3.4.2.2.7.3)</w:t>
      </w:r>
      <w:r w:rsidR="009D25C9" w:rsidRPr="00A74149">
        <w:rPr>
          <w:b/>
          <w:bCs/>
        </w:rPr>
        <w:t>”</w:t>
      </w:r>
      <w:r w:rsidR="009D25C9" w:rsidRPr="00A74149">
        <w:t xml:space="preserve"> after “Tier 1”; </w:t>
      </w:r>
      <w:r w:rsidR="006B41EE" w:rsidRPr="00A74149">
        <w:t xml:space="preserve">and </w:t>
      </w:r>
      <w:r w:rsidR="00956C19" w:rsidRPr="00A74149">
        <w:t xml:space="preserve">delete </w:t>
      </w:r>
      <w:r w:rsidR="00254837" w:rsidRPr="00A74149">
        <w:t>“and/or</w:t>
      </w:r>
      <w:r w:rsidR="006B41EE" w:rsidRPr="00A74149">
        <w:t xml:space="preserve"> low confidence/inconclusive</w:t>
      </w:r>
      <w:r w:rsidR="00254837" w:rsidRPr="00A74149">
        <w:t xml:space="preserve"> results from defined approaches </w:t>
      </w:r>
      <w:r w:rsidR="004C3EDE" w:rsidRPr="00A74149">
        <w:t>(see 3.4.2.2.4)”</w:t>
      </w:r>
      <w:r w:rsidR="009D25C9" w:rsidRPr="00A74149">
        <w:t>.</w:t>
      </w:r>
      <w:r w:rsidR="008C7DBC" w:rsidRPr="00A74149">
        <w:t xml:space="preserve"> </w:t>
      </w:r>
    </w:p>
    <w:p w14:paraId="1C116B40" w14:textId="194788DE" w:rsidR="00763C20" w:rsidRPr="00A74149" w:rsidRDefault="00763C20" w:rsidP="00E728D4">
      <w:pPr>
        <w:pStyle w:val="Bullet1G"/>
        <w:tabs>
          <w:tab w:val="clear" w:pos="1701"/>
        </w:tabs>
        <w:ind w:left="2835" w:hanging="283"/>
      </w:pPr>
      <w:r w:rsidRPr="00A74149">
        <w:t xml:space="preserve">In the </w:t>
      </w:r>
      <w:r w:rsidR="001E2115" w:rsidRPr="00A74149">
        <w:t>“Tier 3”</w:t>
      </w:r>
      <w:r w:rsidRPr="00A74149">
        <w:t xml:space="preserve"> text box, replace “</w:t>
      </w:r>
      <w:r w:rsidR="00433D84" w:rsidRPr="00A74149">
        <w:t>weight-of-evidence” with “</w:t>
      </w:r>
      <w:r w:rsidR="00433D84" w:rsidRPr="00A74149">
        <w:rPr>
          <w:b/>
          <w:bCs/>
          <w:u w:val="single"/>
        </w:rPr>
        <w:t>weight of evidence</w:t>
      </w:r>
      <w:r w:rsidRPr="00A74149">
        <w:t>”.</w:t>
      </w:r>
    </w:p>
    <w:p w14:paraId="3BBB5553" w14:textId="6129F8F6" w:rsidR="00E12A37" w:rsidRPr="00A74149" w:rsidRDefault="00E12A37" w:rsidP="009964B5">
      <w:pPr>
        <w:tabs>
          <w:tab w:val="left" w:pos="2552"/>
        </w:tabs>
        <w:spacing w:after="120" w:line="240" w:lineRule="auto"/>
        <w:ind w:left="1134"/>
        <w:jc w:val="both"/>
        <w:rPr>
          <w:lang w:eastAsia="zh-CN"/>
        </w:rPr>
      </w:pPr>
      <w:r w:rsidRPr="00A74149">
        <w:rPr>
          <w:lang w:eastAsia="zh-CN"/>
        </w:rPr>
        <w:t>3.4.5.2</w:t>
      </w:r>
      <w:r w:rsidRPr="00A74149">
        <w:rPr>
          <w:lang w:eastAsia="zh-CN"/>
        </w:rPr>
        <w:tab/>
      </w:r>
      <w:r w:rsidR="00AA5754" w:rsidRPr="00A74149">
        <w:rPr>
          <w:lang w:eastAsia="zh-CN"/>
        </w:rPr>
        <w:t>Decision logic 3.4.2 for skin sensitization</w:t>
      </w:r>
      <w:r w:rsidR="00A5364D" w:rsidRPr="00A74149">
        <w:rPr>
          <w:lang w:eastAsia="zh-CN"/>
        </w:rPr>
        <w:t>:</w:t>
      </w:r>
    </w:p>
    <w:p w14:paraId="31A3E45B" w14:textId="5E3D5EB1" w:rsidR="00A5364D" w:rsidRPr="0024262B" w:rsidRDefault="009659DB" w:rsidP="00C44676">
      <w:pPr>
        <w:spacing w:after="120" w:line="240" w:lineRule="auto"/>
        <w:ind w:left="2552"/>
        <w:jc w:val="both"/>
        <w:rPr>
          <w:rFonts w:ascii="Calibri" w:hAnsi="Calibri"/>
        </w:rPr>
      </w:pPr>
      <w:r w:rsidRPr="00A74149">
        <w:rPr>
          <w:lang w:eastAsia="zh-CN"/>
        </w:rPr>
        <w:t xml:space="preserve">Amend the text in the central box </w:t>
      </w:r>
      <w:r w:rsidRPr="0024262B">
        <w:rPr>
          <w:lang w:eastAsia="zh-CN"/>
        </w:rPr>
        <w:t xml:space="preserve">(“(a) is there evidence in humans…. (see criteria in 3.4.2.2.1 and 3.4.2.2.4)” to read as follows: </w:t>
      </w:r>
      <w:r w:rsidRPr="0024262B">
        <w:rPr>
          <w:lang w:val="en-US"/>
        </w:rPr>
        <w:t>“</w:t>
      </w:r>
      <w:r w:rsidRPr="0024262B">
        <w:rPr>
          <w:b/>
          <w:bCs/>
          <w:u w:val="single"/>
          <w:lang w:val="en-US"/>
        </w:rPr>
        <w:t>Is there evidence that the substance/mixture fulfils the criteria as described in 3.4.2.2.2.2 to 3.4.2.2.2.8 for substances and in 3.4.3.1 for mixtures</w:t>
      </w:r>
      <w:r w:rsidR="00A5364D" w:rsidRPr="0024262B">
        <w:rPr>
          <w:lang w:val="en-US"/>
        </w:rPr>
        <w:t>”</w:t>
      </w:r>
      <w:r w:rsidR="004D22FC">
        <w:rPr>
          <w:lang w:val="en-US"/>
        </w:rPr>
        <w:t>.</w:t>
      </w:r>
    </w:p>
    <w:p w14:paraId="61B585E0" w14:textId="327D131E" w:rsidR="00045E86" w:rsidRPr="00A74149" w:rsidRDefault="00045E86" w:rsidP="009964B5">
      <w:pPr>
        <w:tabs>
          <w:tab w:val="left" w:pos="2552"/>
        </w:tabs>
        <w:spacing w:after="120" w:line="240" w:lineRule="auto"/>
        <w:ind w:left="1134"/>
        <w:jc w:val="both"/>
        <w:rPr>
          <w:lang w:eastAsia="zh-CN"/>
        </w:rPr>
      </w:pPr>
      <w:r w:rsidRPr="00A74149">
        <w:rPr>
          <w:lang w:eastAsia="zh-CN"/>
        </w:rPr>
        <w:t>3.4.5.3.1</w:t>
      </w:r>
      <w:r w:rsidRPr="00A74149">
        <w:rPr>
          <w:lang w:eastAsia="zh-CN"/>
        </w:rPr>
        <w:tab/>
      </w:r>
      <w:r w:rsidR="00673C82" w:rsidRPr="00A74149">
        <w:t>Replace “OECD, 2014” with “</w:t>
      </w:r>
      <w:r w:rsidR="00673C82" w:rsidRPr="00A74149">
        <w:rPr>
          <w:b/>
          <w:bCs/>
          <w:u w:val="single"/>
        </w:rPr>
        <w:t>see OECD (2014)</w:t>
      </w:r>
      <w:r w:rsidR="00673C82" w:rsidRPr="00A74149">
        <w:t>”.</w:t>
      </w:r>
    </w:p>
    <w:p w14:paraId="5161CC64" w14:textId="0BDDC3DC" w:rsidR="009865D2" w:rsidRPr="00FE2220" w:rsidRDefault="00737F80" w:rsidP="009964B5">
      <w:pPr>
        <w:tabs>
          <w:tab w:val="left" w:pos="2552"/>
        </w:tabs>
        <w:spacing w:after="120" w:line="240" w:lineRule="auto"/>
        <w:ind w:left="1134"/>
        <w:jc w:val="both"/>
      </w:pPr>
      <w:r w:rsidRPr="00A74149">
        <w:rPr>
          <w:lang w:eastAsia="zh-CN"/>
        </w:rPr>
        <w:t>3.4.5.3.2.1</w:t>
      </w:r>
      <w:r w:rsidRPr="00A74149">
        <w:rPr>
          <w:lang w:eastAsia="zh-CN"/>
        </w:rPr>
        <w:tab/>
      </w:r>
      <w:r w:rsidR="009865D2" w:rsidRPr="00A74149">
        <w:rPr>
          <w:lang w:eastAsia="zh-CN"/>
        </w:rPr>
        <w:t xml:space="preserve">In the last sentence, replace </w:t>
      </w:r>
      <w:r w:rsidR="006D00A5" w:rsidRPr="00A74149">
        <w:rPr>
          <w:lang w:eastAsia="zh-CN"/>
        </w:rPr>
        <w:t>“</w:t>
      </w:r>
      <w:r w:rsidR="006D00A5" w:rsidRPr="00A74149">
        <w:t>the criteria in 3.4.2.2.2 are provided” with “</w:t>
      </w:r>
      <w:r w:rsidR="006D00A5" w:rsidRPr="00A74149">
        <w:rPr>
          <w:b/>
          <w:bCs/>
          <w:u w:val="single"/>
        </w:rPr>
        <w:t>the criteria in 3.4.</w:t>
      </w:r>
      <w:r w:rsidR="006D00A5" w:rsidRPr="00C44676">
        <w:rPr>
          <w:b/>
          <w:bCs/>
          <w:u w:val="single"/>
        </w:rPr>
        <w:t>2.2.2 is provided</w:t>
      </w:r>
      <w:r w:rsidR="006D00A5" w:rsidRPr="00FE2220">
        <w:t>”.</w:t>
      </w:r>
    </w:p>
    <w:p w14:paraId="5374F61B" w14:textId="06E203CE" w:rsidR="00737F80" w:rsidRPr="00B504A2" w:rsidRDefault="00737F80" w:rsidP="009964B5">
      <w:pPr>
        <w:tabs>
          <w:tab w:val="left" w:pos="2552"/>
        </w:tabs>
        <w:spacing w:after="120" w:line="240" w:lineRule="auto"/>
        <w:ind w:left="1134"/>
        <w:jc w:val="both"/>
        <w:rPr>
          <w:lang w:eastAsia="zh-CN"/>
        </w:rPr>
      </w:pPr>
      <w:r w:rsidRPr="00B504A2">
        <w:rPr>
          <w:lang w:eastAsia="zh-CN"/>
        </w:rPr>
        <w:t>3.4.5.3.2.2</w:t>
      </w:r>
      <w:r w:rsidRPr="00B504A2">
        <w:rPr>
          <w:lang w:eastAsia="zh-CN"/>
        </w:rPr>
        <w:tab/>
      </w:r>
      <w:r w:rsidR="009575B0" w:rsidRPr="00B504A2">
        <w:rPr>
          <w:lang w:eastAsia="zh-CN"/>
        </w:rPr>
        <w:t>In the last but one sentence, replace “clinical settings and” with “</w:t>
      </w:r>
      <w:r w:rsidR="009575B0" w:rsidRPr="00C44676">
        <w:rPr>
          <w:b/>
          <w:bCs/>
          <w:u w:val="single"/>
          <w:lang w:eastAsia="zh-CN"/>
        </w:rPr>
        <w:t xml:space="preserve">clinical settings </w:t>
      </w:r>
      <w:r w:rsidR="00832D63" w:rsidRPr="00C44676">
        <w:rPr>
          <w:b/>
          <w:bCs/>
          <w:u w:val="single"/>
          <w:lang w:eastAsia="zh-CN"/>
        </w:rPr>
        <w:t xml:space="preserve">and </w:t>
      </w:r>
      <w:r w:rsidR="009575B0" w:rsidRPr="00C44676">
        <w:rPr>
          <w:b/>
          <w:bCs/>
          <w:u w:val="single"/>
          <w:lang w:eastAsia="zh-CN"/>
        </w:rPr>
        <w:t>in general</w:t>
      </w:r>
      <w:r w:rsidR="009575B0" w:rsidRPr="00B504A2">
        <w:rPr>
          <w:lang w:eastAsia="zh-CN"/>
        </w:rPr>
        <w:t>”.</w:t>
      </w:r>
    </w:p>
    <w:p w14:paraId="57C72ED8" w14:textId="1042192C" w:rsidR="00737F80" w:rsidRPr="00832D63" w:rsidRDefault="009575B0" w:rsidP="009964B5">
      <w:pPr>
        <w:tabs>
          <w:tab w:val="left" w:pos="2552"/>
        </w:tabs>
        <w:spacing w:after="120" w:line="240" w:lineRule="auto"/>
        <w:ind w:left="1134"/>
        <w:rPr>
          <w:lang w:eastAsia="zh-CN"/>
        </w:rPr>
      </w:pPr>
      <w:r w:rsidRPr="00B504A2">
        <w:rPr>
          <w:lang w:eastAsia="zh-CN"/>
        </w:rPr>
        <w:t>3.4.5.3.2.3</w:t>
      </w:r>
      <w:r w:rsidRPr="00B504A2">
        <w:rPr>
          <w:lang w:eastAsia="zh-CN"/>
        </w:rPr>
        <w:tab/>
        <w:t>Replace “COIMS” with “</w:t>
      </w:r>
      <w:r w:rsidRPr="00C44676">
        <w:rPr>
          <w:b/>
          <w:bCs/>
          <w:u w:val="single"/>
          <w:lang w:eastAsia="zh-CN"/>
        </w:rPr>
        <w:t>CIOMS</w:t>
      </w:r>
      <w:r w:rsidRPr="00B504A2">
        <w:rPr>
          <w:lang w:eastAsia="zh-CN"/>
        </w:rPr>
        <w:t xml:space="preserve">” </w:t>
      </w:r>
    </w:p>
    <w:p w14:paraId="2850BC3E" w14:textId="6DA0B365" w:rsidR="00651069" w:rsidRDefault="00651069" w:rsidP="009964B5">
      <w:pPr>
        <w:tabs>
          <w:tab w:val="left" w:pos="2552"/>
        </w:tabs>
        <w:spacing w:after="120" w:line="240" w:lineRule="auto"/>
        <w:ind w:left="1134"/>
        <w:jc w:val="both"/>
        <w:rPr>
          <w:lang w:eastAsia="zh-CN"/>
        </w:rPr>
      </w:pPr>
      <w:r w:rsidRPr="00E75373">
        <w:rPr>
          <w:lang w:eastAsia="zh-CN"/>
        </w:rPr>
        <w:t>3.4.5.3.2.4</w:t>
      </w:r>
      <w:r w:rsidR="002C39E2">
        <w:rPr>
          <w:lang w:eastAsia="zh-CN"/>
        </w:rPr>
        <w:tab/>
        <w:t>Replace “man</w:t>
      </w:r>
      <w:r w:rsidR="00282A24">
        <w:rPr>
          <w:lang w:eastAsia="zh-CN"/>
        </w:rPr>
        <w:t xml:space="preserve"> and/or well documented</w:t>
      </w:r>
      <w:r w:rsidR="002C39E2">
        <w:rPr>
          <w:lang w:eastAsia="zh-CN"/>
        </w:rPr>
        <w:t>” with “</w:t>
      </w:r>
      <w:r w:rsidR="002C39E2" w:rsidRPr="00C44676">
        <w:rPr>
          <w:b/>
          <w:bCs/>
          <w:u w:val="single"/>
          <w:lang w:eastAsia="zh-CN"/>
        </w:rPr>
        <w:t>human</w:t>
      </w:r>
      <w:r w:rsidR="00E424EB" w:rsidRPr="00C44676">
        <w:rPr>
          <w:b/>
          <w:bCs/>
          <w:u w:val="single"/>
          <w:lang w:eastAsia="zh-CN"/>
        </w:rPr>
        <w:t>s</w:t>
      </w:r>
      <w:r w:rsidR="00282A24" w:rsidRPr="00C44676">
        <w:rPr>
          <w:b/>
          <w:bCs/>
          <w:u w:val="single"/>
          <w:lang w:eastAsia="zh-CN"/>
        </w:rPr>
        <w:t xml:space="preserve"> and/or well documented</w:t>
      </w:r>
      <w:r w:rsidR="002C39E2">
        <w:rPr>
          <w:lang w:eastAsia="zh-CN"/>
        </w:rPr>
        <w:t xml:space="preserve">” </w:t>
      </w:r>
      <w:r w:rsidR="00E424EB">
        <w:rPr>
          <w:lang w:eastAsia="zh-CN"/>
        </w:rPr>
        <w:t>in the fo</w:t>
      </w:r>
      <w:r w:rsidR="00733B5F">
        <w:rPr>
          <w:lang w:eastAsia="zh-CN"/>
        </w:rPr>
        <w:t>u</w:t>
      </w:r>
      <w:r w:rsidR="00E424EB">
        <w:rPr>
          <w:lang w:eastAsia="zh-CN"/>
        </w:rPr>
        <w:t>rth sentence</w:t>
      </w:r>
    </w:p>
    <w:p w14:paraId="666A88DB" w14:textId="3C526161" w:rsidR="000B27FE" w:rsidRPr="00C82896" w:rsidRDefault="008C4351" w:rsidP="009964B5">
      <w:pPr>
        <w:tabs>
          <w:tab w:val="left" w:pos="2552"/>
        </w:tabs>
        <w:spacing w:after="120" w:line="240" w:lineRule="auto"/>
        <w:ind w:left="1134"/>
        <w:jc w:val="both"/>
        <w:rPr>
          <w:lang w:eastAsia="zh-CN"/>
        </w:rPr>
      </w:pPr>
      <w:r w:rsidRPr="00C82896">
        <w:rPr>
          <w:lang w:eastAsia="zh-CN"/>
        </w:rPr>
        <w:t>3.4.5.3.2.6</w:t>
      </w:r>
      <w:r w:rsidRPr="00C82896">
        <w:rPr>
          <w:lang w:eastAsia="zh-CN"/>
        </w:rPr>
        <w:tab/>
        <w:t>In the last but one sentence replace “weight of evidence” with “</w:t>
      </w:r>
      <w:r w:rsidRPr="00C44676">
        <w:rPr>
          <w:b/>
          <w:bCs/>
          <w:u w:val="single"/>
          <w:lang w:eastAsia="zh-CN"/>
        </w:rPr>
        <w:t>weight of evidence assessment</w:t>
      </w:r>
      <w:r w:rsidRPr="00C82896">
        <w:rPr>
          <w:lang w:eastAsia="zh-CN"/>
        </w:rPr>
        <w:t>”.</w:t>
      </w:r>
    </w:p>
    <w:p w14:paraId="5B0E74B3" w14:textId="61BB6327" w:rsidR="00737F80" w:rsidRPr="00C82896" w:rsidRDefault="00B60A9A" w:rsidP="009964B5">
      <w:pPr>
        <w:tabs>
          <w:tab w:val="left" w:pos="2552"/>
        </w:tabs>
        <w:spacing w:after="120" w:line="240" w:lineRule="auto"/>
        <w:ind w:left="1134"/>
        <w:rPr>
          <w:lang w:val="en" w:eastAsia="zh-CN"/>
        </w:rPr>
      </w:pPr>
      <w:r w:rsidRPr="00C82896">
        <w:rPr>
          <w:lang w:eastAsia="zh-CN"/>
        </w:rPr>
        <w:lastRenderedPageBreak/>
        <w:t>3.4.5.3.2.7</w:t>
      </w:r>
      <w:r w:rsidRPr="00C82896">
        <w:rPr>
          <w:lang w:eastAsia="zh-CN"/>
        </w:rPr>
        <w:tab/>
        <w:t>In the f</w:t>
      </w:r>
      <w:r w:rsidR="0022214A" w:rsidRPr="00C82896">
        <w:rPr>
          <w:lang w:eastAsia="zh-CN"/>
        </w:rPr>
        <w:t>irst sentence</w:t>
      </w:r>
      <w:r w:rsidR="003009A2" w:rsidRPr="00C82896">
        <w:rPr>
          <w:lang w:eastAsia="zh-CN"/>
        </w:rPr>
        <w:t>, r</w:t>
      </w:r>
      <w:r w:rsidR="0022214A" w:rsidRPr="00C82896">
        <w:rPr>
          <w:lang w:eastAsia="zh-CN"/>
        </w:rPr>
        <w:t xml:space="preserve">eplace “at </w:t>
      </w:r>
      <w:r w:rsidR="004D03E0" w:rsidRPr="00C82896">
        <w:rPr>
          <w:lang w:val="en" w:eastAsia="zh-CN"/>
        </w:rPr>
        <w:t>DSA (dose per skin area)” with “</w:t>
      </w:r>
      <w:r w:rsidR="004D03E0" w:rsidRPr="00C44676">
        <w:rPr>
          <w:b/>
          <w:bCs/>
          <w:u w:val="single"/>
          <w:lang w:eastAsia="zh-CN"/>
        </w:rPr>
        <w:t xml:space="preserve">at a </w:t>
      </w:r>
      <w:r w:rsidR="004D03E0" w:rsidRPr="00C44676">
        <w:rPr>
          <w:b/>
          <w:bCs/>
          <w:u w:val="single"/>
          <w:lang w:val="en" w:eastAsia="zh-CN"/>
        </w:rPr>
        <w:t>DSA (dose per skin area)</w:t>
      </w:r>
      <w:r w:rsidR="008B7AA1" w:rsidRPr="00C82896">
        <w:rPr>
          <w:lang w:val="en" w:eastAsia="zh-CN"/>
        </w:rPr>
        <w:t>”</w:t>
      </w:r>
      <w:r w:rsidR="006302DC" w:rsidRPr="00C82896">
        <w:rPr>
          <w:lang w:val="en" w:eastAsia="zh-CN"/>
        </w:rPr>
        <w:t xml:space="preserve"> and </w:t>
      </w:r>
      <w:r w:rsidR="00140D67" w:rsidRPr="00C82896">
        <w:rPr>
          <w:lang w:val="en" w:eastAsia="zh-CN"/>
        </w:rPr>
        <w:t>“ruled”</w:t>
      </w:r>
      <w:r w:rsidR="00334855" w:rsidRPr="00C82896">
        <w:rPr>
          <w:lang w:val="en" w:eastAsia="zh-CN"/>
        </w:rPr>
        <w:t xml:space="preserve"> with “</w:t>
      </w:r>
      <w:r w:rsidR="00334855" w:rsidRPr="00C44676">
        <w:rPr>
          <w:b/>
          <w:bCs/>
          <w:u w:val="single"/>
          <w:lang w:val="en" w:eastAsia="zh-CN"/>
        </w:rPr>
        <w:t>ruled out</w:t>
      </w:r>
      <w:r w:rsidR="00334855" w:rsidRPr="00C82896">
        <w:rPr>
          <w:lang w:val="en" w:eastAsia="zh-CN"/>
        </w:rPr>
        <w:t>”</w:t>
      </w:r>
      <w:r w:rsidR="006302DC" w:rsidRPr="00C82896">
        <w:rPr>
          <w:lang w:val="en" w:eastAsia="zh-CN"/>
        </w:rPr>
        <w:t xml:space="preserve">. </w:t>
      </w:r>
      <w:r w:rsidR="00470632" w:rsidRPr="00C82896">
        <w:rPr>
          <w:lang w:val="en" w:eastAsia="zh-CN"/>
        </w:rPr>
        <w:t xml:space="preserve">In the third sentence, replace </w:t>
      </w:r>
      <w:r w:rsidR="00470632" w:rsidRPr="00C82896">
        <w:rPr>
          <w:lang w:eastAsia="zh-CN"/>
        </w:rPr>
        <w:t xml:space="preserve">“at </w:t>
      </w:r>
      <w:r w:rsidR="00470632" w:rsidRPr="00C82896">
        <w:rPr>
          <w:lang w:val="en" w:eastAsia="zh-CN"/>
        </w:rPr>
        <w:t>DSA” with “</w:t>
      </w:r>
      <w:r w:rsidR="00470632" w:rsidRPr="00C44676">
        <w:rPr>
          <w:b/>
          <w:bCs/>
          <w:u w:val="single"/>
          <w:lang w:eastAsia="zh-CN"/>
        </w:rPr>
        <w:t xml:space="preserve">at a </w:t>
      </w:r>
      <w:r w:rsidR="00470632" w:rsidRPr="00C44676">
        <w:rPr>
          <w:b/>
          <w:bCs/>
          <w:u w:val="single"/>
          <w:lang w:val="en" w:eastAsia="zh-CN"/>
        </w:rPr>
        <w:t>DSA</w:t>
      </w:r>
      <w:r w:rsidR="00470632" w:rsidRPr="00C82896">
        <w:rPr>
          <w:lang w:val="en" w:eastAsia="zh-CN"/>
        </w:rPr>
        <w:t>”</w:t>
      </w:r>
      <w:r w:rsidR="00AB053B">
        <w:rPr>
          <w:lang w:val="en" w:eastAsia="zh-CN"/>
        </w:rPr>
        <w:t>.</w:t>
      </w:r>
      <w:r w:rsidR="00470632" w:rsidRPr="00C82896">
        <w:rPr>
          <w:lang w:val="en" w:eastAsia="zh-CN"/>
        </w:rPr>
        <w:t xml:space="preserve"> </w:t>
      </w:r>
      <w:r w:rsidR="006302DC" w:rsidRPr="00C82896">
        <w:rPr>
          <w:lang w:val="en" w:eastAsia="zh-CN"/>
        </w:rPr>
        <w:t xml:space="preserve">At the beginning of the </w:t>
      </w:r>
      <w:r w:rsidR="00244551" w:rsidRPr="00C82896">
        <w:rPr>
          <w:lang w:val="en" w:eastAsia="zh-CN"/>
        </w:rPr>
        <w:t>fourth sentence, replace “but, while classification” with “</w:t>
      </w:r>
      <w:r w:rsidR="00244551" w:rsidRPr="00C44676">
        <w:rPr>
          <w:b/>
          <w:bCs/>
          <w:u w:val="single"/>
          <w:lang w:val="en" w:eastAsia="zh-CN"/>
        </w:rPr>
        <w:t xml:space="preserve">However, </w:t>
      </w:r>
      <w:r w:rsidR="003009A2" w:rsidRPr="00C44676">
        <w:rPr>
          <w:b/>
          <w:bCs/>
          <w:u w:val="single"/>
          <w:lang w:val="en" w:eastAsia="zh-CN"/>
        </w:rPr>
        <w:t xml:space="preserve">while </w:t>
      </w:r>
      <w:r w:rsidR="00244551" w:rsidRPr="00C44676">
        <w:rPr>
          <w:b/>
          <w:bCs/>
          <w:u w:val="single"/>
          <w:lang w:val="en" w:eastAsia="zh-CN"/>
        </w:rPr>
        <w:t>classification</w:t>
      </w:r>
      <w:r w:rsidR="00244551" w:rsidRPr="00C82896">
        <w:rPr>
          <w:lang w:val="en" w:eastAsia="zh-CN"/>
        </w:rPr>
        <w:t>”</w:t>
      </w:r>
      <w:r w:rsidR="003009A2" w:rsidRPr="00C82896">
        <w:rPr>
          <w:lang w:val="en" w:eastAsia="zh-CN"/>
        </w:rPr>
        <w:t xml:space="preserve">. </w:t>
      </w:r>
    </w:p>
    <w:p w14:paraId="549FDB6E" w14:textId="26E73E79" w:rsidR="00737F80" w:rsidRPr="00290790" w:rsidRDefault="00BA386B" w:rsidP="009964B5">
      <w:pPr>
        <w:tabs>
          <w:tab w:val="left" w:pos="2552"/>
        </w:tabs>
        <w:spacing w:after="120" w:line="240" w:lineRule="auto"/>
        <w:ind w:left="1134"/>
        <w:jc w:val="both"/>
        <w:rPr>
          <w:lang w:val="en" w:eastAsia="zh-CN"/>
        </w:rPr>
      </w:pPr>
      <w:r>
        <w:rPr>
          <w:lang w:val="en" w:eastAsia="zh-CN"/>
        </w:rPr>
        <w:tab/>
      </w:r>
      <w:r w:rsidR="00C022A5" w:rsidRPr="00451B02">
        <w:rPr>
          <w:lang w:val="en" w:eastAsia="zh-CN"/>
        </w:rPr>
        <w:t xml:space="preserve">Amend the last two sentences </w:t>
      </w:r>
      <w:r w:rsidR="00437919" w:rsidRPr="00451B02">
        <w:rPr>
          <w:lang w:val="en" w:eastAsia="zh-CN"/>
        </w:rPr>
        <w:t xml:space="preserve">as follows: </w:t>
      </w:r>
      <w:r w:rsidR="00CD6783" w:rsidRPr="00290790">
        <w:rPr>
          <w:lang w:val="en" w:eastAsia="zh-CN"/>
        </w:rPr>
        <w:t>“</w:t>
      </w:r>
      <w:r w:rsidR="00737F80" w:rsidRPr="00290790">
        <w:rPr>
          <w:lang w:val="en" w:eastAsia="zh-CN"/>
        </w:rPr>
        <w:t xml:space="preserve">However, a negative test result at a concentration of 100% </w:t>
      </w:r>
      <w:r w:rsidR="00737F80" w:rsidRPr="00451B02">
        <w:rPr>
          <w:strike/>
          <w:u w:val="single"/>
          <w:lang w:val="en" w:eastAsia="zh-CN"/>
        </w:rPr>
        <w:t>would indicate that</w:t>
      </w:r>
      <w:r w:rsidR="00737F80" w:rsidRPr="00451B02">
        <w:rPr>
          <w:lang w:val="en" w:eastAsia="zh-CN"/>
        </w:rPr>
        <w:t xml:space="preserve"> </w:t>
      </w:r>
      <w:bookmarkStart w:id="2" w:name="_Hlk116565636"/>
      <w:r w:rsidR="00737F80" w:rsidRPr="00290790">
        <w:rPr>
          <w:b/>
          <w:bCs/>
          <w:u w:val="single"/>
          <w:lang w:val="en" w:eastAsia="zh-CN"/>
        </w:rPr>
        <w:t>can justify</w:t>
      </w:r>
      <w:r w:rsidR="00737F80" w:rsidRPr="00290790">
        <w:rPr>
          <w:lang w:val="en" w:eastAsia="zh-CN"/>
        </w:rPr>
        <w:t xml:space="preserve"> </w:t>
      </w:r>
      <w:bookmarkEnd w:id="2"/>
      <w:r w:rsidR="00737F80" w:rsidRPr="00290790">
        <w:rPr>
          <w:lang w:val="en" w:eastAsia="zh-CN"/>
        </w:rPr>
        <w:t xml:space="preserve">no classification </w:t>
      </w:r>
      <w:r w:rsidR="00737F80" w:rsidRPr="00451B02">
        <w:rPr>
          <w:strike/>
          <w:u w:val="single"/>
          <w:lang w:val="en" w:eastAsia="zh-CN"/>
        </w:rPr>
        <w:t>is needed</w:t>
      </w:r>
      <w:r w:rsidR="00737F80" w:rsidRPr="00451B02">
        <w:rPr>
          <w:lang w:val="en" w:eastAsia="zh-CN"/>
        </w:rPr>
        <w:t xml:space="preserve"> </w:t>
      </w:r>
      <w:r w:rsidR="00737F80" w:rsidRPr="00290790">
        <w:rPr>
          <w:lang w:val="en" w:eastAsia="zh-CN"/>
        </w:rPr>
        <w:t xml:space="preserve">(based on this test). </w:t>
      </w:r>
      <w:proofErr w:type="spellStart"/>
      <w:r w:rsidR="00737F80" w:rsidRPr="00451B02">
        <w:rPr>
          <w:strike/>
          <w:u w:val="single"/>
          <w:lang w:eastAsia="zh-CN"/>
        </w:rPr>
        <w:t>However</w:t>
      </w:r>
      <w:bookmarkStart w:id="3" w:name="_Hlk116565744"/>
      <w:r w:rsidR="00737F80" w:rsidRPr="00290790">
        <w:rPr>
          <w:b/>
          <w:bCs/>
          <w:u w:val="single"/>
          <w:lang w:eastAsia="zh-CN"/>
        </w:rPr>
        <w:t>Nevertheless</w:t>
      </w:r>
      <w:bookmarkEnd w:id="3"/>
      <w:proofErr w:type="spellEnd"/>
      <w:r w:rsidR="00737F80" w:rsidRPr="00290790">
        <w:rPr>
          <w:lang w:eastAsia="zh-CN"/>
        </w:rPr>
        <w:t xml:space="preserve">, negative results at low concentrations may be informative for mixtures containing the substance </w:t>
      </w:r>
      <w:bookmarkStart w:id="4" w:name="_Hlk116565771"/>
      <w:r w:rsidR="00737F80" w:rsidRPr="00290790">
        <w:rPr>
          <w:b/>
          <w:bCs/>
          <w:u w:val="single"/>
          <w:lang w:eastAsia="zh-CN"/>
        </w:rPr>
        <w:t>at similar and lower concentrations</w:t>
      </w:r>
      <w:bookmarkEnd w:id="4"/>
      <w:r w:rsidR="00737F80" w:rsidRPr="00290790">
        <w:rPr>
          <w:lang w:eastAsia="zh-CN"/>
        </w:rPr>
        <w:t>.</w:t>
      </w:r>
      <w:r w:rsidR="00A61F6F" w:rsidRPr="00290790">
        <w:rPr>
          <w:lang w:eastAsia="zh-CN"/>
        </w:rPr>
        <w:t>”</w:t>
      </w:r>
      <w:r w:rsidR="00B039C9" w:rsidRPr="00290790">
        <w:rPr>
          <w:lang w:eastAsia="zh-CN"/>
        </w:rPr>
        <w:t>.</w:t>
      </w:r>
    </w:p>
    <w:p w14:paraId="06FDCECB" w14:textId="24F5427D" w:rsidR="00AE499D" w:rsidRDefault="00D94EBD" w:rsidP="00A8052D">
      <w:pPr>
        <w:tabs>
          <w:tab w:val="left" w:pos="2552"/>
        </w:tabs>
        <w:spacing w:after="120" w:line="240" w:lineRule="auto"/>
        <w:ind w:left="1134"/>
        <w:jc w:val="both"/>
      </w:pPr>
      <w:r w:rsidRPr="00510DB4">
        <w:t>3.4.5.3.</w:t>
      </w:r>
      <w:r>
        <w:t>3</w:t>
      </w:r>
      <w:r>
        <w:tab/>
      </w:r>
      <w:r w:rsidR="008B2844">
        <w:t xml:space="preserve">Replace </w:t>
      </w:r>
      <w:r w:rsidR="00360F97">
        <w:t>the two sentences</w:t>
      </w:r>
      <w:r w:rsidR="00565399">
        <w:t xml:space="preserve"> </w:t>
      </w:r>
      <w:r w:rsidR="00F825C7">
        <w:t xml:space="preserve">of 3.4.5.3.3 </w:t>
      </w:r>
      <w:r w:rsidR="008B2844">
        <w:t>with:</w:t>
      </w:r>
    </w:p>
    <w:p w14:paraId="624762B9" w14:textId="0472A6C6" w:rsidR="00076C9A" w:rsidRPr="003E075C" w:rsidRDefault="002739B6" w:rsidP="002739B6">
      <w:pPr>
        <w:pStyle w:val="paragraph"/>
        <w:tabs>
          <w:tab w:val="left" w:pos="2552"/>
        </w:tabs>
        <w:spacing w:before="0" w:beforeAutospacing="0" w:after="120" w:afterAutospacing="0"/>
        <w:ind w:left="1134"/>
        <w:jc w:val="both"/>
        <w:textAlignment w:val="baseline"/>
        <w:rPr>
          <w:rStyle w:val="normaltextrun"/>
          <w:b/>
          <w:bCs/>
          <w:sz w:val="20"/>
          <w:u w:val="single"/>
          <w:lang w:val="en-GB"/>
        </w:rPr>
      </w:pPr>
      <w:r w:rsidRPr="00867C65">
        <w:rPr>
          <w:rStyle w:val="normaltextrun"/>
          <w:sz w:val="20"/>
          <w:lang w:val="en-GB"/>
        </w:rPr>
        <w:t>“</w:t>
      </w:r>
      <w:r w:rsidR="00076C9A" w:rsidRPr="00867C65">
        <w:rPr>
          <w:rStyle w:val="normaltextrun"/>
          <w:b/>
          <w:bCs/>
          <w:sz w:val="20"/>
          <w:u w:val="single"/>
          <w:lang w:val="en-GB"/>
        </w:rPr>
        <w:t>3</w:t>
      </w:r>
      <w:r w:rsidR="00076C9A" w:rsidRPr="003E075C">
        <w:rPr>
          <w:rStyle w:val="normaltextrun"/>
          <w:b/>
          <w:bCs/>
          <w:sz w:val="20"/>
          <w:u w:val="single"/>
          <w:lang w:val="en-GB"/>
        </w:rPr>
        <w:t>.4.5.3.3.1</w:t>
      </w:r>
      <w:r w:rsidR="00076C9A" w:rsidRPr="003E075C">
        <w:rPr>
          <w:rStyle w:val="normaltextrun"/>
          <w:b/>
          <w:bCs/>
          <w:sz w:val="20"/>
          <w:u w:val="single"/>
          <w:lang w:val="en-GB"/>
        </w:rPr>
        <w:tab/>
        <w:t>The most common assays used for dermal sensitization testing in animals are the Local Lymph Node Assay (LLNA, OECD Test Guidelines 429 and 442A and 442B), the Guinea Pig Maximization Test (GMT, OECD Test Guideline 406) and the Buehler test (OECD Test Guideline 406).</w:t>
      </w:r>
      <w:r w:rsidR="00076C9A" w:rsidRPr="003E075C">
        <w:rPr>
          <w:b/>
          <w:bCs/>
          <w:sz w:val="20"/>
          <w:szCs w:val="20"/>
          <w:u w:val="single"/>
          <w:lang w:val="en-GB"/>
        </w:rPr>
        <w:t xml:space="preserve"> When evaluating the quality of the study, consideration should be given, as relevant, to the strain of the mouse and guinea pig used, the number, age, and sex of the animals, and the test conditions used (e.g., preparation of patch test site, dose level selection, chemical preparation, positive and negative test controls).  </w:t>
      </w:r>
    </w:p>
    <w:p w14:paraId="67A3453F" w14:textId="77777777" w:rsidR="00076C9A" w:rsidRPr="003E075C" w:rsidRDefault="00076C9A" w:rsidP="002739B6">
      <w:pPr>
        <w:tabs>
          <w:tab w:val="left" w:pos="2410"/>
        </w:tabs>
        <w:spacing w:after="120" w:line="240" w:lineRule="auto"/>
        <w:ind w:left="1134"/>
        <w:jc w:val="both"/>
        <w:rPr>
          <w:b/>
          <w:bCs/>
          <w:u w:val="single"/>
        </w:rPr>
      </w:pPr>
      <w:r w:rsidRPr="003E075C">
        <w:rPr>
          <w:rStyle w:val="eop"/>
          <w:b/>
          <w:bCs/>
          <w:u w:val="single"/>
        </w:rPr>
        <w:t xml:space="preserve">3.4.5.3.3.2 </w:t>
      </w:r>
      <w:r w:rsidRPr="003E075C">
        <w:rPr>
          <w:rStyle w:val="eop"/>
          <w:b/>
          <w:bCs/>
          <w:u w:val="single"/>
        </w:rPr>
        <w:tab/>
        <w:t>O</w:t>
      </w:r>
      <w:r w:rsidRPr="003E075C">
        <w:rPr>
          <w:b/>
          <w:bCs/>
          <w:u w:val="single"/>
        </w:rPr>
        <w:t xml:space="preserve">ECD test guidelines for the LLNA include the radioactive assay (OECD Test Guideline 429) and non-radioactive assays (OECD Test Guideline 442A and 442B; LLNA:DA, </w:t>
      </w:r>
      <w:proofErr w:type="spellStart"/>
      <w:r w:rsidRPr="003E075C">
        <w:rPr>
          <w:b/>
          <w:bCs/>
          <w:u w:val="single"/>
        </w:rPr>
        <w:t>LLNA:BrdU-ELISA</w:t>
      </w:r>
      <w:proofErr w:type="spellEnd"/>
      <w:r w:rsidRPr="003E075C">
        <w:rPr>
          <w:b/>
          <w:bCs/>
          <w:u w:val="single"/>
        </w:rPr>
        <w:t xml:space="preserve">, and </w:t>
      </w:r>
      <w:proofErr w:type="spellStart"/>
      <w:r w:rsidRPr="003E075C">
        <w:rPr>
          <w:b/>
          <w:bCs/>
          <w:u w:val="single"/>
        </w:rPr>
        <w:t>LLNA:BrdU-FCM</w:t>
      </w:r>
      <w:proofErr w:type="spellEnd"/>
      <w:r w:rsidRPr="003E075C">
        <w:rPr>
          <w:b/>
          <w:bCs/>
          <w:u w:val="single"/>
        </w:rPr>
        <w:t>). In these tests, sensitisers are characterised by increasing the group mean Stimulation Index (SI, a measure of lymph node proliferation) in treated groups vs. concurrent vehicle controls by more than a predefined critical value which</w:t>
      </w:r>
      <w:r w:rsidRPr="003E075C">
        <w:rPr>
          <w:rStyle w:val="eop"/>
          <w:b/>
          <w:bCs/>
          <w:u w:val="single"/>
        </w:rPr>
        <w:t xml:space="preserve"> </w:t>
      </w:r>
      <w:r w:rsidRPr="003E075C">
        <w:rPr>
          <w:b/>
          <w:bCs/>
          <w:u w:val="single"/>
          <w:lang w:eastAsia="it-IT"/>
        </w:rPr>
        <w:t>is different for each form of the LLNA (e.g., SI ≥ 3 for the radioactive LLNA, SI ≥</w:t>
      </w:r>
      <w:r w:rsidRPr="003E075C">
        <w:rPr>
          <w:b/>
          <w:bCs/>
          <w:u w:val="single"/>
        </w:rPr>
        <w:t> </w:t>
      </w:r>
      <w:r w:rsidRPr="003E075C">
        <w:rPr>
          <w:b/>
          <w:bCs/>
          <w:u w:val="single"/>
          <w:lang w:eastAsia="it-IT"/>
        </w:rPr>
        <w:t xml:space="preserve">1.6 for the </w:t>
      </w:r>
      <w:proofErr w:type="spellStart"/>
      <w:r w:rsidRPr="003E075C">
        <w:rPr>
          <w:b/>
          <w:bCs/>
          <w:u w:val="single"/>
          <w:lang w:eastAsia="it-IT"/>
        </w:rPr>
        <w:t>LLNA:BrdU-ELISA</w:t>
      </w:r>
      <w:proofErr w:type="spellEnd"/>
      <w:r w:rsidRPr="003E075C">
        <w:rPr>
          <w:b/>
          <w:bCs/>
          <w:u w:val="single"/>
          <w:lang w:eastAsia="it-IT"/>
        </w:rPr>
        <w:t xml:space="preserve">). </w:t>
      </w:r>
      <w:r w:rsidRPr="003E075C">
        <w:rPr>
          <w:b/>
          <w:bCs/>
          <w:u w:val="single"/>
        </w:rPr>
        <w:t xml:space="preserve">For sensitisers, sub-categorization is performed based on the effective concentration (EC) causing an increase in SI of exactly the critical magnitude (e.g. the EC3 under OECD Test Guideline 429 is the concentration leading to an exactly threefold increase in group mean SI vs. control). </w:t>
      </w:r>
    </w:p>
    <w:p w14:paraId="280061FB" w14:textId="1426AABB" w:rsidR="00076C9A" w:rsidRPr="003E075C" w:rsidRDefault="00076C9A" w:rsidP="002739B6">
      <w:pPr>
        <w:tabs>
          <w:tab w:val="left" w:pos="2552"/>
        </w:tabs>
        <w:spacing w:after="120" w:line="240" w:lineRule="auto"/>
        <w:ind w:left="1134"/>
        <w:jc w:val="both"/>
        <w:rPr>
          <w:b/>
          <w:bCs/>
          <w:u w:val="single"/>
        </w:rPr>
      </w:pPr>
      <w:r w:rsidRPr="003E075C">
        <w:rPr>
          <w:b/>
          <w:bCs/>
          <w:u w:val="single"/>
        </w:rPr>
        <w:t>3.4.5.3.3.3</w:t>
      </w:r>
      <w:r w:rsidRPr="003E075C">
        <w:rPr>
          <w:b/>
          <w:bCs/>
          <w:u w:val="single"/>
        </w:rPr>
        <w:tab/>
        <w:t>The respective OECD Test Guidelines for the different LLNA variants specify that a pre-screen test should be undertaken to determine the highest concentration to be tested. If such a test has not been performed and the LLNA was carried out with a test concentration &lt; 100%, a rationale (e.g. based on solubility, local or systemic toxicity, see OECD Test Guidelines 429</w:t>
      </w:r>
      <w:r w:rsidR="00A43C52">
        <w:rPr>
          <w:b/>
          <w:bCs/>
          <w:u w:val="single"/>
        </w:rPr>
        <w:t>,</w:t>
      </w:r>
      <w:r w:rsidRPr="003E075C">
        <w:rPr>
          <w:b/>
          <w:bCs/>
          <w:u w:val="single"/>
        </w:rPr>
        <w:t xml:space="preserve"> and 442</w:t>
      </w:r>
      <w:r w:rsidR="00A43C52">
        <w:rPr>
          <w:b/>
          <w:bCs/>
          <w:u w:val="single"/>
        </w:rPr>
        <w:t>A and 442B</w:t>
      </w:r>
      <w:r w:rsidRPr="003E075C">
        <w:rPr>
          <w:b/>
          <w:bCs/>
          <w:u w:val="single"/>
        </w:rPr>
        <w:t>) needs to be provided that the highest test concentration represents the maximum testable concentration. Otherwise, the reliability of a negative test result has to be considered compromised.</w:t>
      </w:r>
    </w:p>
    <w:p w14:paraId="081BA5AF" w14:textId="0B07BF25" w:rsidR="00076C9A" w:rsidRPr="003E075C" w:rsidRDefault="00076C9A" w:rsidP="002739B6">
      <w:pPr>
        <w:tabs>
          <w:tab w:val="left" w:pos="2552"/>
        </w:tabs>
        <w:spacing w:after="120" w:line="240" w:lineRule="auto"/>
        <w:ind w:left="1134"/>
        <w:jc w:val="both"/>
        <w:rPr>
          <w:b/>
          <w:bCs/>
          <w:u w:val="single"/>
        </w:rPr>
      </w:pPr>
      <w:r w:rsidRPr="003E075C">
        <w:rPr>
          <w:b/>
          <w:bCs/>
          <w:u w:val="single"/>
        </w:rPr>
        <w:t>3.4.5.3.3.4</w:t>
      </w:r>
      <w:r w:rsidRPr="003E075C">
        <w:rPr>
          <w:b/>
          <w:bCs/>
          <w:u w:val="single"/>
        </w:rPr>
        <w:tab/>
        <w:t xml:space="preserve">EC values are normally obtained by interpolation between adjacent test concentrations, i.e. between the highest test concentration causing an SI below, and the lowest test concentration causing an SI above the critical value. However, care must be taken when the EC value falls below the lowest concentration tested and can therefore only be estimated by extrapolation, which is associated with additional uncertainty. In some cases, the SI at the highest concentration tested falls only slightly below the critical SI value, which raises the question of upward extrapolation (unless the maximum testable concentration has been applied). These and other issues regarding the reliability of LLNA results are further discussed in Ryan et al. (2007) and Annex 3 of OECD Series on Testing and Assessment No. 336 (Supporting Document to OECD Guideline Document 497), which also provides a highly curated database </w:t>
      </w:r>
      <w:r w:rsidRPr="004030D7">
        <w:rPr>
          <w:b/>
          <w:bCs/>
          <w:u w:val="single"/>
        </w:rPr>
        <w:t xml:space="preserve">of </w:t>
      </w:r>
      <w:r w:rsidR="00253716" w:rsidRPr="004030D7">
        <w:rPr>
          <w:rStyle w:val="normaltextrun"/>
          <w:b/>
          <w:bCs/>
          <w:u w:val="single"/>
        </w:rPr>
        <w:t>Test Guidelines</w:t>
      </w:r>
      <w:r w:rsidRPr="00253716">
        <w:rPr>
          <w:b/>
          <w:bCs/>
          <w:u w:val="single"/>
        </w:rPr>
        <w:t xml:space="preserve"> </w:t>
      </w:r>
      <w:r w:rsidRPr="003E075C">
        <w:rPr>
          <w:b/>
          <w:bCs/>
          <w:u w:val="single"/>
        </w:rPr>
        <w:t xml:space="preserve">429 LLNA EC3 values. </w:t>
      </w:r>
    </w:p>
    <w:p w14:paraId="21C6A04F" w14:textId="23DA4F46" w:rsidR="00076C9A" w:rsidRPr="003E075C" w:rsidRDefault="00076C9A" w:rsidP="002739B6">
      <w:pPr>
        <w:tabs>
          <w:tab w:val="left" w:pos="2552"/>
        </w:tabs>
        <w:spacing w:after="120" w:line="240" w:lineRule="auto"/>
        <w:ind w:left="1134"/>
        <w:jc w:val="both"/>
        <w:rPr>
          <w:b/>
          <w:bCs/>
          <w:u w:val="single"/>
        </w:rPr>
      </w:pPr>
      <w:r w:rsidRPr="003E075C">
        <w:rPr>
          <w:b/>
          <w:bCs/>
          <w:u w:val="single"/>
        </w:rPr>
        <w:t>3.4.5.3.3.5</w:t>
      </w:r>
      <w:r w:rsidRPr="003E075C">
        <w:rPr>
          <w:b/>
          <w:bCs/>
          <w:u w:val="single"/>
        </w:rPr>
        <w:tab/>
        <w:t xml:space="preserve">Further limitations have been identified for the radioactive and non-radioactive LLNAs. For example, substances containing certain functional groups may interfere with the accuracy of the assay. These limitations as well as the possibility of borderline positive results are described in OECD </w:t>
      </w:r>
      <w:r w:rsidRPr="003E075C">
        <w:rPr>
          <w:rStyle w:val="normaltextrun"/>
          <w:b/>
          <w:bCs/>
          <w:u w:val="single"/>
        </w:rPr>
        <w:t xml:space="preserve">Test Guidelines </w:t>
      </w:r>
      <w:r w:rsidRPr="003E075C">
        <w:rPr>
          <w:b/>
          <w:bCs/>
          <w:u w:val="single"/>
        </w:rPr>
        <w:t>429</w:t>
      </w:r>
      <w:r w:rsidR="006E2147">
        <w:rPr>
          <w:b/>
          <w:bCs/>
          <w:u w:val="single"/>
        </w:rPr>
        <w:t>,</w:t>
      </w:r>
      <w:r w:rsidRPr="003E075C">
        <w:rPr>
          <w:b/>
          <w:bCs/>
          <w:u w:val="single"/>
        </w:rPr>
        <w:t xml:space="preserve"> and 442</w:t>
      </w:r>
      <w:r w:rsidR="006E2147">
        <w:rPr>
          <w:b/>
          <w:bCs/>
          <w:u w:val="single"/>
        </w:rPr>
        <w:t>A and 442B</w:t>
      </w:r>
      <w:r w:rsidRPr="003E075C">
        <w:rPr>
          <w:b/>
          <w:bCs/>
          <w:u w:val="single"/>
        </w:rPr>
        <w:t xml:space="preserve">. Variability in EC values for the same substance may also be the result of the vehicle used. For example, analysis has shown an underestimation of potency (i.e., higher EC3 values) with predominantly aqueous vehicles or propylene glycol (see </w:t>
      </w:r>
      <w:proofErr w:type="spellStart"/>
      <w:r w:rsidRPr="003E075C">
        <w:rPr>
          <w:b/>
          <w:bCs/>
          <w:u w:val="single"/>
        </w:rPr>
        <w:t>Jowsey</w:t>
      </w:r>
      <w:proofErr w:type="spellEnd"/>
      <w:r w:rsidRPr="003E075C">
        <w:rPr>
          <w:b/>
          <w:bCs/>
          <w:u w:val="single"/>
        </w:rPr>
        <w:t>, 2008).</w:t>
      </w:r>
    </w:p>
    <w:p w14:paraId="240E29AC" w14:textId="7DB5DB55" w:rsidR="00076C9A" w:rsidRDefault="00076C9A" w:rsidP="002739B6">
      <w:pPr>
        <w:pStyle w:val="paragraph"/>
        <w:tabs>
          <w:tab w:val="left" w:pos="2552"/>
        </w:tabs>
        <w:spacing w:before="0" w:beforeAutospacing="0" w:after="120" w:afterAutospacing="0"/>
        <w:ind w:left="1134"/>
        <w:jc w:val="both"/>
        <w:textAlignment w:val="baseline"/>
        <w:rPr>
          <w:rStyle w:val="eop"/>
          <w:sz w:val="20"/>
          <w:lang w:val="en-GB"/>
        </w:rPr>
      </w:pPr>
      <w:r w:rsidRPr="003E075C">
        <w:rPr>
          <w:b/>
          <w:bCs/>
          <w:sz w:val="20"/>
          <w:szCs w:val="20"/>
          <w:u w:val="single"/>
          <w:lang w:val="en-GB"/>
        </w:rPr>
        <w:t>3.4.5.3.3.6</w:t>
      </w:r>
      <w:r w:rsidRPr="003E075C">
        <w:rPr>
          <w:b/>
          <w:bCs/>
          <w:sz w:val="20"/>
          <w:szCs w:val="20"/>
          <w:u w:val="single"/>
          <w:lang w:val="en-GB"/>
        </w:rPr>
        <w:tab/>
        <w:t xml:space="preserve">For OECD </w:t>
      </w:r>
      <w:r w:rsidRPr="003E075C">
        <w:rPr>
          <w:rStyle w:val="normaltextrun"/>
          <w:b/>
          <w:bCs/>
          <w:sz w:val="20"/>
          <w:u w:val="single"/>
          <w:lang w:val="en-GB"/>
        </w:rPr>
        <w:t>Test Guideline</w:t>
      </w:r>
      <w:r w:rsidRPr="003E075C">
        <w:rPr>
          <w:b/>
          <w:bCs/>
          <w:sz w:val="20"/>
          <w:szCs w:val="20"/>
          <w:u w:val="single"/>
          <w:lang w:val="en-GB"/>
        </w:rPr>
        <w:t xml:space="preserve"> 406, the concentration of test chemical used for each induction exposure should be systemically well-tolerated using the highest dose to cause mild-to-moderate skin irritation. The concentration used for the challenge exposure should be the highest non-irritant dose.  </w:t>
      </w:r>
      <w:r w:rsidRPr="003E075C">
        <w:rPr>
          <w:rStyle w:val="normaltextrun"/>
          <w:b/>
          <w:bCs/>
          <w:sz w:val="20"/>
          <w:u w:val="single"/>
          <w:lang w:val="en-GB"/>
        </w:rPr>
        <w:t xml:space="preserve">A positive result in a guinea pig test is defined as a grade above zero according to the applicable grading scale such as the Magnusson </w:t>
      </w:r>
      <w:r w:rsidRPr="003E075C">
        <w:rPr>
          <w:rStyle w:val="normaltextrun"/>
          <w:b/>
          <w:bCs/>
          <w:sz w:val="20"/>
          <w:u w:val="single"/>
          <w:lang w:val="en-GB"/>
        </w:rPr>
        <w:lastRenderedPageBreak/>
        <w:t>and </w:t>
      </w:r>
      <w:proofErr w:type="spellStart"/>
      <w:r w:rsidRPr="003E075C">
        <w:rPr>
          <w:rStyle w:val="spellingerror"/>
          <w:b/>
          <w:bCs/>
          <w:sz w:val="20"/>
          <w:szCs w:val="20"/>
          <w:u w:val="single"/>
          <w:lang w:val="en-GB"/>
        </w:rPr>
        <w:t>Kligman</w:t>
      </w:r>
      <w:proofErr w:type="spellEnd"/>
      <w:r w:rsidRPr="003E075C">
        <w:rPr>
          <w:rStyle w:val="normaltextrun"/>
          <w:b/>
          <w:bCs/>
          <w:sz w:val="20"/>
          <w:u w:val="single"/>
          <w:lang w:val="en-GB"/>
        </w:rPr>
        <w:t> grading scale for OECD Test Guideline 406 at one or more of the two observation time-points. A grade of 0.5, which is sometimes reported, is therefore also considered a positive result</w:t>
      </w:r>
      <w:r w:rsidRPr="00867C65">
        <w:rPr>
          <w:rStyle w:val="normaltextrun"/>
          <w:b/>
          <w:bCs/>
          <w:sz w:val="20"/>
          <w:u w:val="single"/>
          <w:lang w:val="en-GB"/>
        </w:rPr>
        <w:t>.</w:t>
      </w:r>
      <w:r w:rsidR="003E075C" w:rsidRPr="00867C65">
        <w:rPr>
          <w:rStyle w:val="eop"/>
          <w:sz w:val="20"/>
          <w:lang w:val="en-GB"/>
        </w:rPr>
        <w:t>”</w:t>
      </w:r>
      <w:r w:rsidR="00867C65" w:rsidRPr="00867C65">
        <w:rPr>
          <w:rStyle w:val="eop"/>
          <w:sz w:val="20"/>
          <w:lang w:val="en-GB"/>
        </w:rPr>
        <w:t>.</w:t>
      </w:r>
    </w:p>
    <w:p w14:paraId="3E1C0CAA" w14:textId="303807B8" w:rsidR="00A61F6F" w:rsidRPr="00A00A08" w:rsidRDefault="00D94C85" w:rsidP="00A8052D">
      <w:pPr>
        <w:tabs>
          <w:tab w:val="left" w:pos="2552"/>
        </w:tabs>
        <w:spacing w:after="120" w:line="240" w:lineRule="auto"/>
        <w:ind w:left="1134"/>
        <w:jc w:val="both"/>
        <w:rPr>
          <w:lang w:eastAsia="zh-CN"/>
        </w:rPr>
      </w:pPr>
      <w:r w:rsidRPr="00510DB4">
        <w:t>3.4.5.3.5</w:t>
      </w:r>
      <w:r w:rsidRPr="00510DB4">
        <w:tab/>
      </w:r>
      <w:r w:rsidR="009863B3" w:rsidRPr="00510DB4">
        <w:t>R</w:t>
      </w:r>
      <w:r w:rsidRPr="00510DB4">
        <w:t xml:space="preserve">eplace “due to the </w:t>
      </w:r>
      <w:r w:rsidR="0083778C" w:rsidRPr="00510DB4">
        <w:t>limited mechanistic coverage” with “</w:t>
      </w:r>
      <w:r w:rsidR="009863B3" w:rsidRPr="00D73F46">
        <w:rPr>
          <w:b/>
          <w:bCs/>
          <w:u w:val="single"/>
        </w:rPr>
        <w:t>due to their limited mechanistic coverage</w:t>
      </w:r>
      <w:r w:rsidR="009863B3" w:rsidRPr="00602E6B">
        <w:t>”;</w:t>
      </w:r>
      <w:r w:rsidR="001B2710" w:rsidRPr="00602E6B">
        <w:t xml:space="preserve"> </w:t>
      </w:r>
      <w:r w:rsidR="00AF5FCC" w:rsidRPr="00602E6B">
        <w:t>"</w:t>
      </w:r>
      <w:r w:rsidR="00AF5FCC" w:rsidRPr="00602E6B">
        <w:rPr>
          <w:lang w:eastAsia="zh-CN"/>
        </w:rPr>
        <w:t>these methods provides quantitative information</w:t>
      </w:r>
      <w:r w:rsidR="00736546" w:rsidRPr="00602E6B">
        <w:rPr>
          <w:lang w:eastAsia="zh-CN"/>
        </w:rPr>
        <w:t>,</w:t>
      </w:r>
      <w:r w:rsidR="00AF5FCC" w:rsidRPr="00602E6B">
        <w:rPr>
          <w:lang w:eastAsia="zh-CN"/>
        </w:rPr>
        <w:t>” with “</w:t>
      </w:r>
      <w:r w:rsidR="00AF5FCC" w:rsidRPr="00D73F46">
        <w:rPr>
          <w:b/>
          <w:bCs/>
          <w:u w:val="single"/>
          <w:lang w:eastAsia="zh-CN"/>
        </w:rPr>
        <w:t>these methods provide quantitative information</w:t>
      </w:r>
      <w:r w:rsidR="00736546" w:rsidRPr="00D73F46">
        <w:rPr>
          <w:b/>
          <w:bCs/>
          <w:u w:val="single"/>
          <w:lang w:eastAsia="zh-CN"/>
        </w:rPr>
        <w:t>,</w:t>
      </w:r>
      <w:r w:rsidR="00736546" w:rsidRPr="00602E6B">
        <w:rPr>
          <w:lang w:eastAsia="zh-CN"/>
        </w:rPr>
        <w:t>”</w:t>
      </w:r>
      <w:r w:rsidR="00A00A08" w:rsidRPr="00602E6B">
        <w:t xml:space="preserve">; </w:t>
      </w:r>
      <w:r w:rsidR="001B2710" w:rsidRPr="00602E6B">
        <w:t>“</w:t>
      </w:r>
      <w:r w:rsidR="00054649" w:rsidRPr="00602E6B">
        <w:rPr>
          <w:lang w:eastAsia="zh-CN"/>
        </w:rPr>
        <w:t xml:space="preserve">for </w:t>
      </w:r>
      <w:r w:rsidR="00054649" w:rsidRPr="008B1994">
        <w:rPr>
          <w:lang w:eastAsia="zh-CN"/>
        </w:rPr>
        <w:t xml:space="preserve">the purposes of subcategorization into sub-category 1A and subcategory 1B” </w:t>
      </w:r>
      <w:r w:rsidR="001B2710" w:rsidRPr="008B1994">
        <w:rPr>
          <w:lang w:eastAsia="zh-CN"/>
        </w:rPr>
        <w:t>with “</w:t>
      </w:r>
      <w:r w:rsidR="001B2710" w:rsidRPr="00D73F46">
        <w:rPr>
          <w:b/>
          <w:bCs/>
          <w:u w:val="single"/>
          <w:lang w:eastAsia="zh-CN"/>
        </w:rPr>
        <w:t>for the purposes of subcategorization into sub-categories 1A and 1B</w:t>
      </w:r>
      <w:r w:rsidR="001B2710" w:rsidRPr="008B1994">
        <w:rPr>
          <w:lang w:eastAsia="zh-CN"/>
        </w:rPr>
        <w:t>”;</w:t>
      </w:r>
      <w:r w:rsidR="000132BB" w:rsidRPr="008B1994">
        <w:rPr>
          <w:lang w:eastAsia="zh-CN"/>
        </w:rPr>
        <w:t xml:space="preserve"> </w:t>
      </w:r>
      <w:r w:rsidR="001B2710" w:rsidRPr="008B1994">
        <w:rPr>
          <w:lang w:eastAsia="zh-CN"/>
        </w:rPr>
        <w:t>“</w:t>
      </w:r>
      <w:r w:rsidR="001B2710" w:rsidRPr="008B1994">
        <w:t>weight</w:t>
      </w:r>
      <w:r w:rsidR="006D42F8" w:rsidRPr="008B1994">
        <w:t>-</w:t>
      </w:r>
      <w:r w:rsidR="001B2710" w:rsidRPr="008B1994">
        <w:t>of</w:t>
      </w:r>
      <w:r w:rsidR="001B2710" w:rsidRPr="008B1994">
        <w:rPr>
          <w:strike/>
        </w:rPr>
        <w:t>-</w:t>
      </w:r>
      <w:r w:rsidR="001B2710" w:rsidRPr="008B1994">
        <w:t>evidence</w:t>
      </w:r>
      <w:r w:rsidR="006D42F8" w:rsidRPr="008B1994">
        <w:t>” with “</w:t>
      </w:r>
      <w:r w:rsidR="0058250F" w:rsidRPr="00D73F46">
        <w:rPr>
          <w:b/>
          <w:bCs/>
          <w:u w:val="single"/>
        </w:rPr>
        <w:t xml:space="preserve">a </w:t>
      </w:r>
      <w:r w:rsidR="006D42F8" w:rsidRPr="00D73F46">
        <w:rPr>
          <w:b/>
          <w:bCs/>
          <w:u w:val="single"/>
        </w:rPr>
        <w:t xml:space="preserve">weight of evidence </w:t>
      </w:r>
      <w:r w:rsidR="006D42F8" w:rsidRPr="00D73F46">
        <w:rPr>
          <w:b/>
          <w:bCs/>
          <w:u w:val="single"/>
          <w:lang w:eastAsia="zh-CN"/>
        </w:rPr>
        <w:t>assessment</w:t>
      </w:r>
      <w:r w:rsidR="006D42F8" w:rsidRPr="00A00A08">
        <w:rPr>
          <w:lang w:eastAsia="zh-CN"/>
        </w:rPr>
        <w:t>”</w:t>
      </w:r>
      <w:r w:rsidR="00624218">
        <w:rPr>
          <w:lang w:eastAsia="zh-CN"/>
        </w:rPr>
        <w:t xml:space="preserve">; and </w:t>
      </w:r>
      <w:r w:rsidR="009F50F7" w:rsidRPr="00A74149">
        <w:t>“non-stand</w:t>
      </w:r>
      <w:r w:rsidR="009F50F7">
        <w:t>-</w:t>
      </w:r>
      <w:r w:rsidR="009F50F7" w:rsidRPr="00A74149">
        <w:t>alone” with “</w:t>
      </w:r>
      <w:r w:rsidR="009F50F7" w:rsidRPr="00A74149">
        <w:rPr>
          <w:b/>
          <w:bCs/>
          <w:u w:val="single"/>
        </w:rPr>
        <w:t>non stand-alone</w:t>
      </w:r>
      <w:r w:rsidR="009F50F7" w:rsidRPr="00A74149">
        <w:t>"</w:t>
      </w:r>
      <w:r w:rsidR="000132BB" w:rsidRPr="00A00A08">
        <w:rPr>
          <w:lang w:eastAsia="zh-CN"/>
        </w:rPr>
        <w:t xml:space="preserve">. </w:t>
      </w:r>
    </w:p>
    <w:p w14:paraId="1ED5AB82" w14:textId="5C275D6C" w:rsidR="00737F80" w:rsidRPr="00451B02" w:rsidRDefault="000132BB" w:rsidP="003116F5">
      <w:pPr>
        <w:spacing w:after="120" w:line="240" w:lineRule="auto"/>
        <w:ind w:left="1134" w:firstLine="1418"/>
        <w:jc w:val="both"/>
      </w:pPr>
      <w:r w:rsidRPr="00A00A08">
        <w:rPr>
          <w:lang w:eastAsia="zh-CN"/>
        </w:rPr>
        <w:t>Delete “UN GHS”</w:t>
      </w:r>
      <w:r w:rsidR="00E95152" w:rsidRPr="00A00A08">
        <w:rPr>
          <w:lang w:eastAsia="zh-CN"/>
        </w:rPr>
        <w:t xml:space="preserve"> and amend the last sentence as follows:</w:t>
      </w:r>
      <w:r w:rsidR="008326C4">
        <w:rPr>
          <w:lang w:eastAsia="zh-CN"/>
        </w:rPr>
        <w:t xml:space="preserve"> “</w:t>
      </w:r>
      <w:r w:rsidR="00A61F6F" w:rsidRPr="00E01B70">
        <w:t xml:space="preserve">Therefore, </w:t>
      </w:r>
      <w:r w:rsidR="00A61F6F" w:rsidRPr="00E01B70">
        <w:rPr>
          <w:b/>
          <w:bCs/>
          <w:u w:val="single"/>
        </w:rPr>
        <w:t>the</w:t>
      </w:r>
      <w:r w:rsidR="00A61F6F" w:rsidRPr="00E01B70">
        <w:t xml:space="preserve"> GHS also allows </w:t>
      </w:r>
      <w:r w:rsidR="00A61F6F" w:rsidRPr="00E01B70">
        <w:rPr>
          <w:iCs/>
        </w:rPr>
        <w:t xml:space="preserve">a competent authority to decide that a positive result with one of these </w:t>
      </w:r>
      <w:proofErr w:type="spellStart"/>
      <w:r w:rsidR="00D357D6" w:rsidRPr="00E01B70">
        <w:rPr>
          <w:bCs/>
        </w:rPr>
        <w:t>non</w:t>
      </w:r>
      <w:r w:rsidR="002A1B91" w:rsidRPr="00E01B70">
        <w:rPr>
          <w:bCs/>
        </w:rPr>
        <w:t xml:space="preserve"> </w:t>
      </w:r>
      <w:r w:rsidR="00D357D6" w:rsidRPr="00E01B70">
        <w:rPr>
          <w:bCs/>
        </w:rPr>
        <w:t>stand</w:t>
      </w:r>
      <w:r w:rsidR="00D357D6" w:rsidRPr="00E01B70">
        <w:rPr>
          <w:b/>
          <w:u w:val="single"/>
        </w:rPr>
        <w:t>-</w:t>
      </w:r>
      <w:r w:rsidR="00D357D6" w:rsidRPr="00E01B70">
        <w:rPr>
          <w:bCs/>
        </w:rPr>
        <w:t>alone</w:t>
      </w:r>
      <w:proofErr w:type="spellEnd"/>
      <w:r w:rsidR="00D357D6" w:rsidRPr="00E01B70">
        <w:rPr>
          <w:bCs/>
        </w:rPr>
        <w:t xml:space="preserve"> </w:t>
      </w:r>
      <w:r w:rsidR="00A61F6F" w:rsidRPr="00E01B70">
        <w:rPr>
          <w:i/>
        </w:rPr>
        <w:t xml:space="preserve">in </w:t>
      </w:r>
      <w:proofErr w:type="spellStart"/>
      <w:r w:rsidR="00A61F6F" w:rsidRPr="00E01B70">
        <w:rPr>
          <w:i/>
        </w:rPr>
        <w:t>chemico</w:t>
      </w:r>
      <w:proofErr w:type="spellEnd"/>
      <w:r w:rsidR="00A61F6F" w:rsidRPr="00E01B70">
        <w:rPr>
          <w:i/>
        </w:rPr>
        <w:t>/in vitro</w:t>
      </w:r>
      <w:r w:rsidR="00A61F6F" w:rsidRPr="00E01B70">
        <w:rPr>
          <w:iCs/>
        </w:rPr>
        <w:t xml:space="preserve"> methods, may be used on its own to classify in category 1 and whether </w:t>
      </w:r>
      <w:bookmarkStart w:id="5" w:name="_Hlk116634080"/>
      <w:r w:rsidR="00A61F6F" w:rsidRPr="00E01B70">
        <w:rPr>
          <w:b/>
          <w:bCs/>
          <w:iCs/>
          <w:u w:val="single"/>
        </w:rPr>
        <w:t>Test Guideline</w:t>
      </w:r>
      <w:r w:rsidR="00A61F6F" w:rsidRPr="00E01B70">
        <w:rPr>
          <w:iCs/>
        </w:rPr>
        <w:t xml:space="preserve"> </w:t>
      </w:r>
      <w:bookmarkEnd w:id="5"/>
      <w:r w:rsidR="00A61F6F" w:rsidRPr="00E01B70">
        <w:rPr>
          <w:iCs/>
        </w:rPr>
        <w:t>442C (</w:t>
      </w:r>
      <w:proofErr w:type="spellStart"/>
      <w:r w:rsidR="00A61F6F" w:rsidRPr="00451B02">
        <w:rPr>
          <w:iCs/>
          <w:strike/>
          <w:u w:val="single"/>
        </w:rPr>
        <w:t>a</w:t>
      </w:r>
      <w:r w:rsidR="00A61F6F" w:rsidRPr="00E01B70">
        <w:rPr>
          <w:b/>
          <w:bCs/>
          <w:iCs/>
          <w:u w:val="single"/>
        </w:rPr>
        <w:t>A</w:t>
      </w:r>
      <w:r w:rsidR="00A61F6F" w:rsidRPr="00E01B70">
        <w:rPr>
          <w:iCs/>
        </w:rPr>
        <w:t>ppendix</w:t>
      </w:r>
      <w:proofErr w:type="spellEnd"/>
      <w:r w:rsidR="00A61F6F" w:rsidRPr="00E01B70">
        <w:rPr>
          <w:iCs/>
        </w:rPr>
        <w:t xml:space="preserve"> III) kinetic Direct Peptide Reactivity Assay (</w:t>
      </w:r>
      <w:proofErr w:type="spellStart"/>
      <w:r w:rsidR="00A61F6F" w:rsidRPr="00E01B70">
        <w:rPr>
          <w:iCs/>
        </w:rPr>
        <w:t>kDPRA</w:t>
      </w:r>
      <w:proofErr w:type="spellEnd"/>
      <w:r w:rsidR="00A61F6F" w:rsidRPr="00E01B70">
        <w:rPr>
          <w:iCs/>
        </w:rPr>
        <w:t xml:space="preserve">) can be used to differentiate between category 1A </w:t>
      </w:r>
      <w:r w:rsidR="00A61F6F" w:rsidRPr="00451B02">
        <w:rPr>
          <w:iCs/>
          <w:strike/>
          <w:u w:val="single"/>
        </w:rPr>
        <w:t>versus</w:t>
      </w:r>
      <w:r w:rsidR="00A61F6F" w:rsidRPr="00451B02">
        <w:rPr>
          <w:iCs/>
          <w:strike/>
        </w:rPr>
        <w:t xml:space="preserve"> </w:t>
      </w:r>
      <w:r w:rsidR="00A61F6F" w:rsidRPr="007022EC">
        <w:rPr>
          <w:b/>
          <w:bCs/>
          <w:iCs/>
          <w:u w:val="single"/>
        </w:rPr>
        <w:t>and</w:t>
      </w:r>
      <w:r w:rsidR="00A61F6F" w:rsidRPr="007022EC">
        <w:rPr>
          <w:iCs/>
        </w:rPr>
        <w:t xml:space="preserve"> no category 1A.”</w:t>
      </w:r>
    </w:p>
    <w:p w14:paraId="13CF231F" w14:textId="14D4213C" w:rsidR="004375BF" w:rsidRDefault="004375BF" w:rsidP="00645FF0">
      <w:pPr>
        <w:tabs>
          <w:tab w:val="left" w:pos="2552"/>
        </w:tabs>
        <w:spacing w:after="120" w:line="240" w:lineRule="auto"/>
        <w:ind w:left="1134"/>
      </w:pPr>
      <w:r>
        <w:t>3.4.5.3.6.1</w:t>
      </w:r>
      <w:r w:rsidR="00C2381B">
        <w:tab/>
      </w:r>
      <w:r w:rsidR="00893123">
        <w:t>Replace</w:t>
      </w:r>
      <w:r w:rsidR="00C926F6">
        <w:t xml:space="preserve"> “3.4.5.3.6.1” with “</w:t>
      </w:r>
      <w:r w:rsidR="00C926F6" w:rsidRPr="00A74149">
        <w:rPr>
          <w:b/>
          <w:bCs/>
          <w:u w:val="single"/>
        </w:rPr>
        <w:t>3.4.5.3.6.2</w:t>
      </w:r>
      <w:r w:rsidR="00C926F6">
        <w:t>”</w:t>
      </w:r>
      <w:r w:rsidR="009D25C9">
        <w:t>;</w:t>
      </w:r>
      <w:r w:rsidR="00893123">
        <w:t xml:space="preserve"> “</w:t>
      </w:r>
      <w:r w:rsidR="00B7692D">
        <w:t xml:space="preserve">or </w:t>
      </w:r>
      <w:r w:rsidR="00893123">
        <w:t>assessment of skin sensitizing potency” with “</w:t>
      </w:r>
      <w:r w:rsidR="00B7692D" w:rsidRPr="007022EC">
        <w:rPr>
          <w:b/>
          <w:bCs/>
          <w:u w:val="single"/>
        </w:rPr>
        <w:t xml:space="preserve">or </w:t>
      </w:r>
      <w:r w:rsidR="00893123" w:rsidRPr="007022EC">
        <w:rPr>
          <w:b/>
          <w:bCs/>
          <w:u w:val="single"/>
        </w:rPr>
        <w:t>the assessment of skin sensitizing potency</w:t>
      </w:r>
      <w:r w:rsidR="00893123">
        <w:t>”</w:t>
      </w:r>
      <w:r w:rsidR="009D25C9">
        <w:t>;</w:t>
      </w:r>
      <w:r w:rsidR="00893123">
        <w:t xml:space="preserve"> and “weight-of-evidence” with “</w:t>
      </w:r>
      <w:r w:rsidR="00893123" w:rsidRPr="007022EC">
        <w:rPr>
          <w:b/>
          <w:bCs/>
          <w:u w:val="single"/>
        </w:rPr>
        <w:t>weight of evidence</w:t>
      </w:r>
      <w:r w:rsidR="00951F00" w:rsidRPr="007022EC">
        <w:rPr>
          <w:b/>
          <w:bCs/>
          <w:u w:val="single"/>
        </w:rPr>
        <w:t xml:space="preserve"> assessment</w:t>
      </w:r>
      <w:r w:rsidR="00D500FB">
        <w:t>”</w:t>
      </w:r>
      <w:r w:rsidR="00893123">
        <w:t>.</w:t>
      </w:r>
    </w:p>
    <w:p w14:paraId="16E46209" w14:textId="0FB9B382" w:rsidR="007A7387" w:rsidRPr="00645FF0" w:rsidRDefault="00321A7B" w:rsidP="000C6302">
      <w:pPr>
        <w:tabs>
          <w:tab w:val="left" w:pos="2552"/>
        </w:tabs>
        <w:spacing w:after="120" w:line="240" w:lineRule="auto"/>
        <w:ind w:left="1134"/>
      </w:pPr>
      <w:r w:rsidRPr="00645FF0">
        <w:t>3.4.5.3.7</w:t>
      </w:r>
      <w:r w:rsidRPr="00645FF0">
        <w:tab/>
      </w:r>
      <w:r w:rsidR="007A7387" w:rsidRPr="00645FF0">
        <w:t>Replace paragraph 3.4.5.3.7 with:</w:t>
      </w:r>
    </w:p>
    <w:bookmarkEnd w:id="0"/>
    <w:p w14:paraId="4549EFF4" w14:textId="74AD6373" w:rsidR="00D349B8" w:rsidRPr="00645FF0" w:rsidRDefault="00D349B8" w:rsidP="00D9694D">
      <w:pPr>
        <w:tabs>
          <w:tab w:val="left" w:pos="2552"/>
        </w:tabs>
        <w:spacing w:after="120" w:line="240" w:lineRule="auto"/>
        <w:ind w:left="1134"/>
        <w:jc w:val="both"/>
        <w:rPr>
          <w:b/>
          <w:u w:val="single"/>
        </w:rPr>
      </w:pPr>
      <w:r w:rsidRPr="002057FF">
        <w:rPr>
          <w:bCs/>
        </w:rPr>
        <w:t>“</w:t>
      </w:r>
      <w:r w:rsidRPr="009659DB">
        <w:rPr>
          <w:b/>
          <w:u w:val="single"/>
        </w:rPr>
        <w:t>3</w:t>
      </w:r>
      <w:r w:rsidRPr="00F7320D">
        <w:rPr>
          <w:b/>
          <w:u w:val="single"/>
        </w:rPr>
        <w:t>.4.5.3.7</w:t>
      </w:r>
      <w:r w:rsidRPr="00F7320D">
        <w:rPr>
          <w:b/>
          <w:u w:val="single"/>
        </w:rPr>
        <w:tab/>
      </w:r>
      <w:r w:rsidRPr="00693DB1">
        <w:rPr>
          <w:b/>
          <w:i/>
          <w:iCs/>
          <w:u w:val="single"/>
        </w:rPr>
        <w:t xml:space="preserve">Guidance on the </w:t>
      </w:r>
      <w:r w:rsidR="004030D7">
        <w:rPr>
          <w:b/>
          <w:i/>
          <w:iCs/>
          <w:u w:val="single"/>
        </w:rPr>
        <w:t>w</w:t>
      </w:r>
      <w:r w:rsidRPr="00693DB1">
        <w:rPr>
          <w:b/>
          <w:i/>
          <w:iCs/>
          <w:u w:val="single"/>
        </w:rPr>
        <w:t xml:space="preserve">eight of </w:t>
      </w:r>
      <w:r w:rsidR="004030D7">
        <w:rPr>
          <w:b/>
          <w:i/>
          <w:iCs/>
          <w:u w:val="single"/>
        </w:rPr>
        <w:t>e</w:t>
      </w:r>
      <w:r w:rsidRPr="00693DB1">
        <w:rPr>
          <w:b/>
          <w:i/>
          <w:iCs/>
          <w:u w:val="single"/>
        </w:rPr>
        <w:t xml:space="preserve">vidence </w:t>
      </w:r>
      <w:r w:rsidRPr="00BE4566">
        <w:rPr>
          <w:b/>
          <w:i/>
          <w:iCs/>
          <w:u w:val="single"/>
        </w:rPr>
        <w:t>assessment</w:t>
      </w:r>
      <w:r w:rsidRPr="00645FF0">
        <w:rPr>
          <w:b/>
          <w:u w:val="single"/>
        </w:rPr>
        <w:t xml:space="preserve"> </w:t>
      </w:r>
      <w:r w:rsidRPr="00645FF0">
        <w:rPr>
          <w:b/>
          <w:i/>
          <w:iCs/>
          <w:u w:val="single"/>
        </w:rPr>
        <w:t>for classifying substances and mixtures for skin sensitization</w:t>
      </w:r>
    </w:p>
    <w:p w14:paraId="0EE90074" w14:textId="77777777" w:rsidR="00DD6648" w:rsidRPr="00645FF0" w:rsidRDefault="00DD6648" w:rsidP="00BE4F39">
      <w:pPr>
        <w:tabs>
          <w:tab w:val="left" w:pos="2552"/>
        </w:tabs>
        <w:spacing w:after="120" w:line="240" w:lineRule="auto"/>
        <w:ind w:left="1134"/>
        <w:jc w:val="both"/>
        <w:rPr>
          <w:b/>
          <w:u w:val="single"/>
        </w:rPr>
      </w:pPr>
      <w:r w:rsidRPr="00645FF0">
        <w:rPr>
          <w:b/>
          <w:u w:val="single"/>
        </w:rPr>
        <w:t>3.4.5.3.7.1</w:t>
      </w:r>
      <w:r w:rsidRPr="00645FF0">
        <w:rPr>
          <w:b/>
          <w:u w:val="single"/>
        </w:rPr>
        <w:tab/>
        <w:t xml:space="preserve">There may be situations where results from tests and/or non-test methods are available but disagree with each other with respect to the classification.  In these situations, the tiered approach to classification for skin sensitization requires a weight of evidence assessment consistent with the principles elaborated in sections 1.3.2.4.2 and 1.3.2.4.9 on test data quality and weight of evidence, respectively. In addition, some guidance on the weight of evidence assessment specific for skin sensitisation is provided below which can be applied when the general principles do not result in a conclusion on the classification.  It should be noted that human and animal results for a substance obtained at low concentrations may still be informative for classifying a mixture containing the substance at similar or lower concentrations.  </w:t>
      </w:r>
    </w:p>
    <w:p w14:paraId="1BC3116C" w14:textId="77777777" w:rsidR="00DD6648" w:rsidRPr="00645FF0" w:rsidRDefault="00DD6648" w:rsidP="00BE4F39">
      <w:pPr>
        <w:tabs>
          <w:tab w:val="left" w:pos="2552"/>
        </w:tabs>
        <w:spacing w:after="120" w:line="240" w:lineRule="auto"/>
        <w:ind w:left="1134"/>
        <w:jc w:val="both"/>
        <w:rPr>
          <w:b/>
          <w:i/>
          <w:u w:val="single"/>
        </w:rPr>
      </w:pPr>
      <w:r w:rsidRPr="00645FF0">
        <w:rPr>
          <w:b/>
          <w:iCs/>
          <w:u w:val="single"/>
        </w:rPr>
        <w:t>3.4.5.3.7.2</w:t>
      </w:r>
      <w:r w:rsidRPr="00645FF0">
        <w:rPr>
          <w:b/>
          <w:iCs/>
          <w:u w:val="single"/>
        </w:rPr>
        <w:tab/>
        <w:t>Mutual compatibility of study results</w:t>
      </w:r>
    </w:p>
    <w:p w14:paraId="25802751" w14:textId="77777777" w:rsidR="00DD6648" w:rsidRPr="002537F8" w:rsidRDefault="00DD6648" w:rsidP="00BE4F39">
      <w:pPr>
        <w:tabs>
          <w:tab w:val="left" w:pos="2552"/>
        </w:tabs>
        <w:spacing w:after="120" w:line="240" w:lineRule="auto"/>
        <w:ind w:left="1134"/>
        <w:jc w:val="both"/>
        <w:rPr>
          <w:b/>
          <w:u w:val="single"/>
        </w:rPr>
      </w:pPr>
      <w:r w:rsidRPr="002057FF">
        <w:rPr>
          <w:b/>
          <w:iCs/>
          <w:u w:val="single"/>
        </w:rPr>
        <w:t xml:space="preserve">3.4.5.3.7.2.1 </w:t>
      </w:r>
      <w:r w:rsidRPr="002057FF">
        <w:rPr>
          <w:b/>
          <w:iCs/>
          <w:u w:val="single"/>
        </w:rPr>
        <w:tab/>
      </w:r>
      <w:r w:rsidRPr="009659DB">
        <w:rPr>
          <w:b/>
          <w:u w:val="single"/>
        </w:rPr>
        <w:t>In cases where results are in dis</w:t>
      </w:r>
      <w:r w:rsidRPr="00F7320D">
        <w:rPr>
          <w:b/>
          <w:u w:val="single"/>
        </w:rPr>
        <w:t>agreement with each other (e.g., not classified vs. category</w:t>
      </w:r>
      <w:r w:rsidRPr="002537F8">
        <w:rPr>
          <w:b/>
          <w:u w:val="single"/>
        </w:rPr>
        <w:t xml:space="preserve"> 1, sub-category 1A or 1B; sub-category 1A vs. 1B), a weight of evidence assessment becomes necessary.  However, less obvious situations may also occur such as where certain studies may point to not classified or sub-category 1B, while it cannot be excluded that a stricter classification might have resulted under a different dosing </w:t>
      </w:r>
      <w:proofErr w:type="spellStart"/>
      <w:r w:rsidRPr="002537F8">
        <w:rPr>
          <w:b/>
          <w:u w:val="single"/>
        </w:rPr>
        <w:t>regime</w:t>
      </w:r>
      <w:proofErr w:type="spellEnd"/>
      <w:r w:rsidRPr="002537F8">
        <w:rPr>
          <w:b/>
          <w:u w:val="single"/>
        </w:rPr>
        <w:t>. For example, a negative HMT result at a dose per skin area of 100 µg/cm</w:t>
      </w:r>
      <w:r w:rsidRPr="002537F8">
        <w:rPr>
          <w:b/>
          <w:u w:val="single"/>
          <w:vertAlign w:val="superscript"/>
        </w:rPr>
        <w:t>2</w:t>
      </w:r>
      <w:r w:rsidRPr="002537F8">
        <w:rPr>
          <w:b/>
          <w:u w:val="single"/>
        </w:rPr>
        <w:t xml:space="preserve"> cannot exclude that a positive result might have been obtained at e.g., 300 µg/cm</w:t>
      </w:r>
      <w:r w:rsidRPr="002537F8">
        <w:rPr>
          <w:b/>
          <w:u w:val="single"/>
          <w:vertAlign w:val="superscript"/>
        </w:rPr>
        <w:t>2</w:t>
      </w:r>
      <w:r w:rsidRPr="002537F8">
        <w:rPr>
          <w:b/>
          <w:u w:val="single"/>
        </w:rPr>
        <w:t xml:space="preserve"> (sub-category 1A) or 700 µg/cm</w:t>
      </w:r>
      <w:r w:rsidRPr="002537F8">
        <w:rPr>
          <w:b/>
          <w:u w:val="single"/>
          <w:vertAlign w:val="superscript"/>
        </w:rPr>
        <w:t>2</w:t>
      </w:r>
      <w:r w:rsidRPr="002537F8">
        <w:rPr>
          <w:b/>
          <w:u w:val="single"/>
        </w:rPr>
        <w:t xml:space="preserve"> (sub-category 1B). The same holds for LLNA test results obtained from tests which have not been carried out using the highest possible test concentration (see OECD test guideline 429 for details).   </w:t>
      </w:r>
    </w:p>
    <w:p w14:paraId="63059AE1" w14:textId="77777777" w:rsidR="00062178" w:rsidRPr="002537F8" w:rsidRDefault="00062178" w:rsidP="00DD6648">
      <w:pPr>
        <w:tabs>
          <w:tab w:val="left" w:pos="2552"/>
        </w:tabs>
        <w:spacing w:after="120" w:line="240" w:lineRule="auto"/>
        <w:ind w:left="1134"/>
        <w:jc w:val="both"/>
        <w:rPr>
          <w:b/>
          <w:u w:val="single"/>
        </w:rPr>
      </w:pPr>
      <w:r w:rsidRPr="002537F8">
        <w:rPr>
          <w:b/>
          <w:iCs/>
          <w:u w:val="single"/>
        </w:rPr>
        <w:t>3.4.5.3.7.2.2</w:t>
      </w:r>
      <w:r w:rsidRPr="002537F8">
        <w:rPr>
          <w:b/>
          <w:iCs/>
          <w:u w:val="single"/>
        </w:rPr>
        <w:tab/>
      </w:r>
      <w:r w:rsidRPr="002537F8">
        <w:rPr>
          <w:b/>
          <w:u w:val="single"/>
        </w:rPr>
        <w:t>In the following ambiguous cases, study results for substances and mixtures would not be in disagreement with another study result pointing at that stricter classification:</w:t>
      </w:r>
    </w:p>
    <w:p w14:paraId="4A688C55" w14:textId="169A7021" w:rsidR="00DD6648" w:rsidRPr="002537F8" w:rsidRDefault="00062178" w:rsidP="00DD6648">
      <w:pPr>
        <w:numPr>
          <w:ilvl w:val="0"/>
          <w:numId w:val="37"/>
        </w:numPr>
        <w:suppressAutoHyphens w:val="0"/>
        <w:spacing w:after="120" w:line="240" w:lineRule="auto"/>
        <w:ind w:left="1843" w:hanging="567"/>
        <w:jc w:val="both"/>
        <w:rPr>
          <w:b/>
          <w:u w:val="single"/>
        </w:rPr>
      </w:pPr>
      <w:r w:rsidRPr="002537F8" w:rsidDel="00062178">
        <w:rPr>
          <w:b/>
          <w:iCs/>
          <w:u w:val="single"/>
        </w:rPr>
        <w:t xml:space="preserve"> </w:t>
      </w:r>
      <w:r w:rsidR="00DD6648" w:rsidRPr="002537F8">
        <w:rPr>
          <w:b/>
          <w:u w:val="single"/>
        </w:rPr>
        <w:t>A not classified result obtained at a lower test concentration does not exclude the possibility of a sub-category 1B outcome at a higher test concentration. Therefore, a not classified result obtained at a low concentration is compatible with other not classified outcomes, or with category 1 and sub-category 1B outcomes obtained at higher test concentrations.</w:t>
      </w:r>
    </w:p>
    <w:p w14:paraId="27DC6A07" w14:textId="77777777" w:rsidR="00DD6648" w:rsidRPr="002537F8" w:rsidRDefault="00DD6648" w:rsidP="00DD6648">
      <w:pPr>
        <w:numPr>
          <w:ilvl w:val="0"/>
          <w:numId w:val="37"/>
        </w:numPr>
        <w:suppressAutoHyphens w:val="0"/>
        <w:spacing w:after="120" w:line="240" w:lineRule="auto"/>
        <w:ind w:left="1843" w:hanging="567"/>
        <w:jc w:val="both"/>
        <w:rPr>
          <w:b/>
          <w:u w:val="single"/>
        </w:rPr>
      </w:pPr>
      <w:r w:rsidRPr="002537F8">
        <w:rPr>
          <w:b/>
          <w:u w:val="single"/>
        </w:rPr>
        <w:t xml:space="preserve">A not classified result at a very low-test concentration does not even exclude a possible outcome of sub-category 1A at a higher test concentration. Therefore, a not classified outcome obtained at a very low-test concentration is compatible with all possible classification outcomes (i.e., not classified, category 1, sub-category 1A or 1B) obtained at higher test concentrations. </w:t>
      </w:r>
    </w:p>
    <w:p w14:paraId="4DDC5D84" w14:textId="77777777" w:rsidR="00DD6648" w:rsidRPr="002537F8" w:rsidRDefault="00DD6648" w:rsidP="00DD6648">
      <w:pPr>
        <w:numPr>
          <w:ilvl w:val="0"/>
          <w:numId w:val="37"/>
        </w:numPr>
        <w:suppressAutoHyphens w:val="0"/>
        <w:spacing w:after="120" w:line="240" w:lineRule="auto"/>
        <w:ind w:left="1843" w:hanging="567"/>
        <w:jc w:val="both"/>
        <w:rPr>
          <w:b/>
          <w:u w:val="single"/>
        </w:rPr>
      </w:pPr>
      <w:r w:rsidRPr="002537F8">
        <w:rPr>
          <w:b/>
          <w:u w:val="single"/>
        </w:rPr>
        <w:lastRenderedPageBreak/>
        <w:t>A sub-category 1B result at a higher test concentration does not exclude a sub-category 1A outcome at a lower test concentration. Therefore, a Category 1B classification tested at a high-test concentration is compatible with other outcomes of sub-category 1B, or even sub-category 1A, obtained at lower test concentrations.</w:t>
      </w:r>
    </w:p>
    <w:p w14:paraId="19FC7C07" w14:textId="77777777" w:rsidR="00DD6648" w:rsidRPr="002537F8" w:rsidRDefault="00DD6648" w:rsidP="00DD6648">
      <w:pPr>
        <w:tabs>
          <w:tab w:val="left" w:pos="1418"/>
          <w:tab w:val="left" w:pos="2552"/>
        </w:tabs>
        <w:spacing w:after="120" w:line="240" w:lineRule="auto"/>
        <w:ind w:left="1134"/>
        <w:jc w:val="both"/>
        <w:rPr>
          <w:b/>
          <w:u w:val="single"/>
        </w:rPr>
      </w:pPr>
      <w:r w:rsidRPr="002537F8">
        <w:rPr>
          <w:b/>
          <w:iCs/>
          <w:u w:val="single"/>
        </w:rPr>
        <w:t>3.4.5.3.7.2.3</w:t>
      </w:r>
      <w:r w:rsidRPr="002537F8">
        <w:rPr>
          <w:b/>
          <w:iCs/>
          <w:u w:val="single"/>
        </w:rPr>
        <w:tab/>
      </w:r>
      <w:r w:rsidRPr="002537F8">
        <w:rPr>
          <w:b/>
          <w:u w:val="single"/>
        </w:rPr>
        <w:t>If at least one unambiguous study result allows for sub-categorisation of a substance or mixture and all other study results are not in disagreement (see above), then it can be classified into a sub-category.  For example, if all study results are in the same sub-category (i.e., sub-category 1A or 1B), or with at least one study permitting sub-categorisation (i.e., either sub-category 1A or 1B) and all other studies classified into category 1 without sub-categorisation, then the substance or mixture can be sub-categorised.</w:t>
      </w:r>
    </w:p>
    <w:p w14:paraId="062EE1AD" w14:textId="7ABF906C" w:rsidR="00DD6648" w:rsidRPr="002537F8" w:rsidRDefault="00DD6648" w:rsidP="00DD6648">
      <w:pPr>
        <w:tabs>
          <w:tab w:val="left" w:pos="1418"/>
          <w:tab w:val="left" w:pos="2552"/>
        </w:tabs>
        <w:spacing w:after="120" w:line="240" w:lineRule="auto"/>
        <w:ind w:left="1134"/>
        <w:jc w:val="both"/>
        <w:rPr>
          <w:b/>
          <w:iCs/>
          <w:u w:val="single"/>
        </w:rPr>
      </w:pPr>
      <w:r w:rsidRPr="002537F8">
        <w:rPr>
          <w:b/>
          <w:iCs/>
          <w:u w:val="single"/>
        </w:rPr>
        <w:t>3.4.5.3.7.3</w:t>
      </w:r>
      <w:r w:rsidRPr="002537F8">
        <w:rPr>
          <w:b/>
          <w:iCs/>
          <w:u w:val="single"/>
        </w:rPr>
        <w:tab/>
        <w:t>Weight of evidence considerations for giving one study result more weight than another</w:t>
      </w:r>
      <w:r w:rsidR="001011A1" w:rsidRPr="002537F8">
        <w:rPr>
          <w:b/>
          <w:iCs/>
          <w:u w:val="single"/>
        </w:rPr>
        <w:t>.</w:t>
      </w:r>
    </w:p>
    <w:p w14:paraId="4F94681D" w14:textId="77777777" w:rsidR="00DD6648" w:rsidRPr="002537F8" w:rsidRDefault="00DD6648" w:rsidP="00DD6648">
      <w:pPr>
        <w:tabs>
          <w:tab w:val="left" w:pos="1418"/>
          <w:tab w:val="left" w:pos="2552"/>
        </w:tabs>
        <w:spacing w:after="120" w:line="240" w:lineRule="auto"/>
        <w:ind w:left="1134"/>
        <w:jc w:val="both"/>
        <w:rPr>
          <w:b/>
          <w:u w:val="single"/>
        </w:rPr>
      </w:pPr>
      <w:r w:rsidRPr="002537F8">
        <w:rPr>
          <w:b/>
          <w:iCs/>
          <w:u w:val="single"/>
        </w:rPr>
        <w:t xml:space="preserve">3.4.5.3.7.3.1 </w:t>
      </w:r>
      <w:r w:rsidRPr="002537F8">
        <w:rPr>
          <w:b/>
          <w:iCs/>
          <w:u w:val="single"/>
        </w:rPr>
        <w:tab/>
      </w:r>
      <w:r w:rsidRPr="002537F8">
        <w:rPr>
          <w:b/>
          <w:u w:val="single"/>
        </w:rPr>
        <w:t>Some classifiers or competent authorities may take various approaches to evaluate study results given the required level of expert judgement (see 1.3.2.4.8) required to perform a weight of evidence</w:t>
      </w:r>
      <w:r w:rsidRPr="002537F8">
        <w:rPr>
          <w:b/>
          <w:iCs/>
          <w:u w:val="single"/>
        </w:rPr>
        <w:t xml:space="preserve"> assessment</w:t>
      </w:r>
      <w:r w:rsidRPr="002537F8">
        <w:rPr>
          <w:b/>
          <w:u w:val="single"/>
        </w:rPr>
        <w:t xml:space="preserve">.  Competent authorities may specify their preferred approach in their own guidance. For example, through:  </w:t>
      </w:r>
    </w:p>
    <w:p w14:paraId="0B6AF834" w14:textId="77777777" w:rsidR="00DD6648" w:rsidRPr="002537F8" w:rsidRDefault="00DD6648" w:rsidP="00DD6648">
      <w:pPr>
        <w:numPr>
          <w:ilvl w:val="0"/>
          <w:numId w:val="38"/>
        </w:numPr>
        <w:suppressAutoHyphens w:val="0"/>
        <w:spacing w:after="120" w:line="240" w:lineRule="auto"/>
        <w:ind w:left="1843" w:hanging="567"/>
        <w:jc w:val="both"/>
        <w:rPr>
          <w:b/>
          <w:u w:val="single"/>
        </w:rPr>
      </w:pPr>
      <w:r w:rsidRPr="002537F8">
        <w:rPr>
          <w:b/>
          <w:u w:val="single"/>
        </w:rPr>
        <w:t>Applying a precautionary approach, giving more weight to studies resulting in the stricter classification outcome.</w:t>
      </w:r>
    </w:p>
    <w:p w14:paraId="21C0AA4D" w14:textId="77777777" w:rsidR="00DD6648" w:rsidRPr="002537F8" w:rsidRDefault="00DD6648" w:rsidP="00DD6648">
      <w:pPr>
        <w:numPr>
          <w:ilvl w:val="0"/>
          <w:numId w:val="38"/>
        </w:numPr>
        <w:suppressAutoHyphens w:val="0"/>
        <w:spacing w:after="120" w:line="240" w:lineRule="auto"/>
        <w:ind w:left="1843" w:hanging="567"/>
        <w:jc w:val="both"/>
        <w:rPr>
          <w:b/>
          <w:u w:val="single"/>
        </w:rPr>
      </w:pPr>
      <w:r w:rsidRPr="002537F8">
        <w:rPr>
          <w:b/>
          <w:u w:val="single"/>
        </w:rPr>
        <w:t>Giving human data higher weight than animal or non-test data.</w:t>
      </w:r>
    </w:p>
    <w:p w14:paraId="7752036B" w14:textId="77777777" w:rsidR="00DD6648" w:rsidRPr="002537F8" w:rsidRDefault="00DD6648" w:rsidP="00DD6648">
      <w:pPr>
        <w:numPr>
          <w:ilvl w:val="0"/>
          <w:numId w:val="38"/>
        </w:numPr>
        <w:suppressAutoHyphens w:val="0"/>
        <w:spacing w:after="120" w:line="240" w:lineRule="auto"/>
        <w:ind w:left="1843" w:hanging="567"/>
        <w:jc w:val="both"/>
        <w:rPr>
          <w:b/>
          <w:u w:val="single"/>
        </w:rPr>
      </w:pPr>
      <w:r w:rsidRPr="002537F8">
        <w:rPr>
          <w:b/>
          <w:u w:val="single"/>
        </w:rPr>
        <w:t>Giving certain animal data (e.g., LLNA data) more weight than other animal data (e.g., Buehler test data).</w:t>
      </w:r>
    </w:p>
    <w:p w14:paraId="205A0999" w14:textId="77777777" w:rsidR="00DD6648" w:rsidRPr="002537F8" w:rsidRDefault="00DD6648" w:rsidP="006C7813">
      <w:pPr>
        <w:tabs>
          <w:tab w:val="left" w:pos="2552"/>
        </w:tabs>
        <w:spacing w:after="120" w:line="240" w:lineRule="auto"/>
        <w:ind w:left="1134"/>
        <w:jc w:val="both"/>
        <w:rPr>
          <w:b/>
          <w:u w:val="single"/>
        </w:rPr>
      </w:pPr>
      <w:r w:rsidRPr="002A07A3">
        <w:rPr>
          <w:b/>
          <w:iCs/>
          <w:u w:val="single"/>
        </w:rPr>
        <w:t>3.4.5.3.7.3.2</w:t>
      </w:r>
      <w:r w:rsidRPr="002537F8">
        <w:rPr>
          <w:b/>
          <w:iCs/>
          <w:u w:val="single"/>
        </w:rPr>
        <w:tab/>
      </w:r>
      <w:r w:rsidRPr="002537F8">
        <w:rPr>
          <w:b/>
          <w:u w:val="single"/>
        </w:rPr>
        <w:t>Often, several results (of the same or different type) may have to be considered in the weight of evidence assessment. There are no generally recognised rules for this situation, however, possible solutions to integrating several results of the same type may include, for example:</w:t>
      </w:r>
    </w:p>
    <w:p w14:paraId="392EF173" w14:textId="77777777" w:rsidR="00DD6648" w:rsidRPr="002537F8" w:rsidRDefault="00DD6648" w:rsidP="006C7813">
      <w:pPr>
        <w:numPr>
          <w:ilvl w:val="0"/>
          <w:numId w:val="39"/>
        </w:numPr>
        <w:suppressAutoHyphens w:val="0"/>
        <w:spacing w:after="120" w:line="240" w:lineRule="auto"/>
        <w:ind w:left="1843" w:hanging="567"/>
        <w:jc w:val="both"/>
        <w:rPr>
          <w:b/>
          <w:u w:val="single"/>
        </w:rPr>
      </w:pPr>
      <w:r w:rsidRPr="002537F8">
        <w:rPr>
          <w:b/>
          <w:u w:val="single"/>
        </w:rPr>
        <w:t xml:space="preserve">A precautionary approach where the strictest classification outcome from all studies of sufficient quality is assigned as the overall classification outcome. </w:t>
      </w:r>
    </w:p>
    <w:p w14:paraId="58F18B76" w14:textId="717E8196" w:rsidR="00DD6648" w:rsidRPr="002537F8" w:rsidRDefault="00DD6648" w:rsidP="006C7813">
      <w:pPr>
        <w:numPr>
          <w:ilvl w:val="0"/>
          <w:numId w:val="39"/>
        </w:numPr>
        <w:suppressAutoHyphens w:val="0"/>
        <w:spacing w:after="120" w:line="240" w:lineRule="auto"/>
        <w:ind w:left="1843" w:hanging="567"/>
        <w:jc w:val="both"/>
        <w:rPr>
          <w:b/>
          <w:u w:val="single"/>
        </w:rPr>
      </w:pPr>
      <w:r w:rsidRPr="002537F8">
        <w:rPr>
          <w:b/>
          <w:u w:val="single"/>
        </w:rPr>
        <w:t>Averaging the obtained dose descriptors (e.g., LLNA EC3 values) or classification outcomes (no classification, Category, 1, 1A, 1B). A detailed discussion of such approaches can be found in Annex 3 (on LLNA data) and Annex 4 (on HMT/HRIPT data) of OECD Series on Testing and Assessment No. 336 (Supporting Document to OECD Guideline Document 497).</w:t>
      </w:r>
      <w:r w:rsidR="00645FF0" w:rsidRPr="009171D3">
        <w:rPr>
          <w:bCs/>
        </w:rPr>
        <w:t>”</w:t>
      </w:r>
      <w:r w:rsidR="009171D3" w:rsidRPr="009171D3">
        <w:rPr>
          <w:bCs/>
        </w:rPr>
        <w:t>.</w:t>
      </w:r>
    </w:p>
    <w:p w14:paraId="6F98A3D7" w14:textId="529036A8" w:rsidR="001839EE" w:rsidRPr="003774CF" w:rsidRDefault="0084091E" w:rsidP="00FD00A3">
      <w:pPr>
        <w:tabs>
          <w:tab w:val="left" w:pos="2552"/>
        </w:tabs>
        <w:spacing w:before="10" w:after="120" w:line="240" w:lineRule="auto"/>
        <w:ind w:left="1134"/>
        <w:jc w:val="both"/>
        <w:rPr>
          <w:b/>
        </w:rPr>
      </w:pPr>
      <w:r w:rsidRPr="003774CF">
        <w:rPr>
          <w:bCs/>
        </w:rPr>
        <w:t>Table 3.4.7</w:t>
      </w:r>
      <w:r w:rsidR="00D92293" w:rsidRPr="003774CF">
        <w:rPr>
          <w:bCs/>
        </w:rPr>
        <w:tab/>
      </w:r>
      <w:r w:rsidR="00817224" w:rsidRPr="003774CF">
        <w:rPr>
          <w:bCs/>
        </w:rPr>
        <w:t xml:space="preserve">Replace </w:t>
      </w:r>
      <w:r w:rsidR="0050266A" w:rsidRPr="003774CF">
        <w:rPr>
          <w:bCs/>
        </w:rPr>
        <w:t>“</w:t>
      </w:r>
      <w:r w:rsidR="001839EE" w:rsidRPr="003774CF">
        <w:rPr>
          <w:bCs/>
        </w:rPr>
        <w:t>Method described in Annex IV</w:t>
      </w:r>
      <w:r w:rsidR="005D5D1A" w:rsidRPr="003774CF">
        <w:rPr>
          <w:bCs/>
        </w:rPr>
        <w:t xml:space="preserve"> </w:t>
      </w:r>
      <w:r w:rsidR="005D5D1A" w:rsidRPr="003774CF">
        <w:rPr>
          <w:bCs/>
          <w:vertAlign w:val="superscript"/>
        </w:rPr>
        <w:t>a</w:t>
      </w:r>
      <w:r w:rsidR="005460C3" w:rsidRPr="003774CF">
        <w:rPr>
          <w:bCs/>
        </w:rPr>
        <w:t>” with</w:t>
      </w:r>
      <w:r w:rsidR="00814BE1" w:rsidRPr="003774CF">
        <w:rPr>
          <w:bCs/>
        </w:rPr>
        <w:t>:</w:t>
      </w:r>
      <w:r w:rsidR="003774CF" w:rsidRPr="003774CF">
        <w:rPr>
          <w:bCs/>
        </w:rPr>
        <w:t xml:space="preserve"> </w:t>
      </w:r>
      <w:r w:rsidR="00814BE1" w:rsidRPr="003774CF">
        <w:rPr>
          <w:bCs/>
        </w:rPr>
        <w:t>“</w:t>
      </w:r>
      <w:r w:rsidR="00814BE1" w:rsidRPr="003774CF">
        <w:rPr>
          <w:b/>
          <w:u w:val="single"/>
        </w:rPr>
        <w:t>Method described in Annex IV</w:t>
      </w:r>
      <w:r w:rsidR="001839EE" w:rsidRPr="003774CF">
        <w:rPr>
          <w:b/>
          <w:u w:val="single"/>
        </w:rPr>
        <w:t xml:space="preserve"> </w:t>
      </w:r>
      <w:r w:rsidR="00814BE1" w:rsidRPr="003774CF">
        <w:rPr>
          <w:b/>
          <w:bCs/>
          <w:u w:val="single"/>
        </w:rPr>
        <w:t>Genomic Allergen Rapid Detection</w:t>
      </w:r>
      <w:r w:rsidR="00D345FC">
        <w:rPr>
          <w:b/>
          <w:bCs/>
          <w:u w:val="single"/>
        </w:rPr>
        <w:t xml:space="preserve"> </w:t>
      </w:r>
      <w:r w:rsidR="00D345FC" w:rsidRPr="00D345FC">
        <w:rPr>
          <w:b/>
          <w:bCs/>
          <w:u w:val="single"/>
          <w:lang w:val="en-CA"/>
        </w:rPr>
        <w:t>for assessment of skin sensiti</w:t>
      </w:r>
      <w:r w:rsidR="00E45B58">
        <w:rPr>
          <w:b/>
          <w:bCs/>
          <w:u w:val="single"/>
          <w:lang w:val="en-CA"/>
        </w:rPr>
        <w:t>z</w:t>
      </w:r>
      <w:r w:rsidR="00D345FC" w:rsidRPr="00D345FC">
        <w:rPr>
          <w:b/>
          <w:bCs/>
          <w:u w:val="single"/>
          <w:lang w:val="en-CA"/>
        </w:rPr>
        <w:t>ers</w:t>
      </w:r>
      <w:r w:rsidR="00814BE1" w:rsidRPr="00D345FC">
        <w:rPr>
          <w:b/>
          <w:bCs/>
          <w:u w:val="single"/>
        </w:rPr>
        <w:t xml:space="preserve"> </w:t>
      </w:r>
      <w:r w:rsidR="00814BE1" w:rsidRPr="003774CF">
        <w:rPr>
          <w:b/>
          <w:bCs/>
          <w:u w:val="single"/>
          <w:vertAlign w:val="superscript"/>
        </w:rPr>
        <w:t>a</w:t>
      </w:r>
      <w:r w:rsidR="003774CF" w:rsidRPr="003774CF">
        <w:t>”</w:t>
      </w:r>
      <w:r w:rsidR="003774CF">
        <w:t xml:space="preserve"> in </w:t>
      </w:r>
      <w:r w:rsidR="00D026DA">
        <w:t xml:space="preserve">row two </w:t>
      </w:r>
      <w:r w:rsidR="00A0580B">
        <w:t xml:space="preserve">under </w:t>
      </w:r>
      <w:r w:rsidR="00D026DA">
        <w:t>the column</w:t>
      </w:r>
      <w:r w:rsidR="001C31C7">
        <w:t xml:space="preserve"> </w:t>
      </w:r>
      <w:r w:rsidR="00A0580B">
        <w:t>“OECD Test Guideline 442E</w:t>
      </w:r>
      <w:r w:rsidR="00495D6A">
        <w:t xml:space="preserve"> </w:t>
      </w:r>
      <w:r w:rsidR="00495D6A" w:rsidRPr="00495D6A">
        <w:rPr>
          <w:i/>
          <w:iCs/>
        </w:rPr>
        <w:t>In vitro</w:t>
      </w:r>
      <w:r w:rsidR="00495D6A">
        <w:t xml:space="preserve"> skin sensitization</w:t>
      </w:r>
      <w:r w:rsidR="00A0580B">
        <w:t>…”</w:t>
      </w:r>
      <w:r w:rsidR="00415D7B">
        <w:t>.</w:t>
      </w:r>
    </w:p>
    <w:p w14:paraId="36F5FB6B" w14:textId="196CE93E" w:rsidR="00255CD2" w:rsidRPr="00415D7B" w:rsidRDefault="00472835" w:rsidP="00A27661">
      <w:pPr>
        <w:tabs>
          <w:tab w:val="left" w:pos="2552"/>
        </w:tabs>
        <w:suppressAutoHyphens w:val="0"/>
        <w:spacing w:after="120" w:line="240" w:lineRule="auto"/>
        <w:ind w:left="1134"/>
        <w:jc w:val="both"/>
      </w:pPr>
      <w:bookmarkStart w:id="6" w:name="_Hlk118708033"/>
      <w:r w:rsidRPr="00E8213E">
        <w:t>References</w:t>
      </w:r>
      <w:r w:rsidR="00EB1349" w:rsidRPr="00E8213E">
        <w:t>:</w:t>
      </w:r>
      <w:r w:rsidR="00A27661" w:rsidRPr="00E8213E">
        <w:tab/>
        <w:t>Replace “</w:t>
      </w:r>
      <w:proofErr w:type="spellStart"/>
      <w:r w:rsidR="00A27661" w:rsidRPr="00E8213E">
        <w:t>doi</w:t>
      </w:r>
      <w:proofErr w:type="spellEnd"/>
      <w:r w:rsidR="00CF726A" w:rsidRPr="00E8213E">
        <w:t>”</w:t>
      </w:r>
      <w:r w:rsidR="00D86E69">
        <w:t xml:space="preserve"> and “DOI”</w:t>
      </w:r>
      <w:r w:rsidR="00CF726A" w:rsidRPr="00E8213E">
        <w:t xml:space="preserve"> with “</w:t>
      </w:r>
      <w:r w:rsidR="00CF726A" w:rsidRPr="00E8213E">
        <w:rPr>
          <w:b/>
          <w:bCs/>
          <w:u w:val="single"/>
        </w:rPr>
        <w:t>Doi</w:t>
      </w:r>
      <w:r w:rsidR="00CF726A" w:rsidRPr="00E8213E">
        <w:t xml:space="preserve">”; </w:t>
      </w:r>
      <w:r w:rsidR="00636840" w:rsidRPr="00E8213E">
        <w:t xml:space="preserve">delete </w:t>
      </w:r>
      <w:r w:rsidR="00E04572" w:rsidRPr="00E8213E">
        <w:t>“</w:t>
      </w:r>
      <w:proofErr w:type="spellStart"/>
      <w:r w:rsidR="00BF113A" w:rsidRPr="00E8213E">
        <w:t>Epub</w:t>
      </w:r>
      <w:proofErr w:type="spellEnd"/>
      <w:r w:rsidR="00BF113A" w:rsidRPr="00E8213E">
        <w:t xml:space="preserve"> 2016 Dec 10.</w:t>
      </w:r>
      <w:r w:rsidR="007A4E42" w:rsidRPr="00E8213E">
        <w:t xml:space="preserve"> </w:t>
      </w:r>
      <w:r w:rsidR="00BF113A" w:rsidRPr="00E8213E">
        <w:t>PMID: 27965148</w:t>
      </w:r>
      <w:r w:rsidR="00E04572" w:rsidRPr="00E8213E">
        <w:t>”</w:t>
      </w:r>
      <w:r w:rsidR="00F0357D" w:rsidRPr="00E8213E">
        <w:t xml:space="preserve"> at the end of</w:t>
      </w:r>
      <w:r w:rsidR="00F21BB4" w:rsidRPr="00E8213E">
        <w:t xml:space="preserve"> the reference </w:t>
      </w:r>
      <w:r w:rsidR="00F0357D" w:rsidRPr="00E8213E">
        <w:t>entry for</w:t>
      </w:r>
      <w:r w:rsidR="00073DBA" w:rsidRPr="00E8213E">
        <w:t xml:space="preserve"> Saito K, et al; </w:t>
      </w:r>
      <w:r w:rsidR="000F2618">
        <w:t xml:space="preserve">and </w:t>
      </w:r>
      <w:r w:rsidR="00073DBA" w:rsidRPr="00E8213E">
        <w:t xml:space="preserve">delete </w:t>
      </w:r>
      <w:r w:rsidR="00073DBA" w:rsidRPr="00E8213E">
        <w:rPr>
          <w:lang w:val="it-IT"/>
        </w:rPr>
        <w:t>“PMID: 18498452”</w:t>
      </w:r>
      <w:r w:rsidR="00073DBA" w:rsidRPr="00E8213E">
        <w:t xml:space="preserve"> at the end of the reference entry for </w:t>
      </w:r>
      <w:r w:rsidR="00E62A34" w:rsidRPr="00E8213E">
        <w:rPr>
          <w:lang w:val="it-IT"/>
        </w:rPr>
        <w:t>Wright ZM</w:t>
      </w:r>
      <w:r w:rsidR="00073DBA" w:rsidRPr="00E8213E">
        <w:t xml:space="preserve">, et al;  </w:t>
      </w:r>
    </w:p>
    <w:p w14:paraId="58A90D7F" w14:textId="77777777" w:rsidR="00D26347" w:rsidRPr="00FF78ED" w:rsidRDefault="00D26347" w:rsidP="00D26347">
      <w:pPr>
        <w:pStyle w:val="ListParagraph"/>
        <w:numPr>
          <w:ilvl w:val="0"/>
          <w:numId w:val="41"/>
        </w:numPr>
        <w:spacing w:after="120"/>
        <w:rPr>
          <w:sz w:val="20"/>
          <w:szCs w:val="20"/>
        </w:rPr>
      </w:pPr>
      <w:r w:rsidRPr="00FF78ED">
        <w:rPr>
          <w:sz w:val="20"/>
          <w:szCs w:val="20"/>
        </w:rPr>
        <w:t xml:space="preserve">Insert the following reference below the entry for Johansson H., </w:t>
      </w:r>
      <w:proofErr w:type="spellStart"/>
      <w:r w:rsidRPr="000B4682">
        <w:rPr>
          <w:sz w:val="20"/>
          <w:szCs w:val="20"/>
        </w:rPr>
        <w:t>Gradin</w:t>
      </w:r>
      <w:proofErr w:type="spellEnd"/>
      <w:r w:rsidRPr="000B4682">
        <w:rPr>
          <w:sz w:val="20"/>
          <w:szCs w:val="20"/>
        </w:rPr>
        <w:t xml:space="preserve"> R</w:t>
      </w:r>
      <w:r>
        <w:rPr>
          <w:sz w:val="20"/>
          <w:szCs w:val="20"/>
        </w:rPr>
        <w:t>.,</w:t>
      </w:r>
      <w:r w:rsidRPr="00FF78ED">
        <w:rPr>
          <w:sz w:val="20"/>
          <w:szCs w:val="20"/>
        </w:rPr>
        <w:t xml:space="preserve"> et al”:</w:t>
      </w:r>
    </w:p>
    <w:p w14:paraId="6877A517" w14:textId="77777777" w:rsidR="00D26347" w:rsidRPr="00BE222D" w:rsidRDefault="00D26347" w:rsidP="00D26347">
      <w:pPr>
        <w:shd w:val="clear" w:color="auto" w:fill="FFFFFF"/>
        <w:spacing w:after="120" w:line="240" w:lineRule="auto"/>
        <w:ind w:left="1843"/>
        <w:jc w:val="both"/>
        <w:rPr>
          <w:rStyle w:val="Hyperlink"/>
          <w:lang w:val="en-US"/>
        </w:rPr>
      </w:pPr>
      <w:r w:rsidRPr="00BE222D">
        <w:rPr>
          <w:lang w:val="en-US"/>
        </w:rPr>
        <w:t>“</w:t>
      </w:r>
      <w:proofErr w:type="spellStart"/>
      <w:r w:rsidRPr="00BE222D">
        <w:rPr>
          <w:b/>
          <w:bCs/>
          <w:u w:val="single"/>
          <w:lang w:val="en-US"/>
        </w:rPr>
        <w:t>Jowsey</w:t>
      </w:r>
      <w:proofErr w:type="spellEnd"/>
      <w:r w:rsidRPr="00BE222D">
        <w:rPr>
          <w:b/>
          <w:bCs/>
          <w:u w:val="single"/>
          <w:lang w:val="en-US"/>
        </w:rPr>
        <w:t xml:space="preserve"> IR, Clapp CJ, Safford B, Gibbons BT, </w:t>
      </w:r>
      <w:proofErr w:type="spellStart"/>
      <w:r w:rsidRPr="00BE222D">
        <w:rPr>
          <w:b/>
          <w:bCs/>
          <w:u w:val="single"/>
          <w:lang w:val="en-US"/>
        </w:rPr>
        <w:t>Basketter</w:t>
      </w:r>
      <w:proofErr w:type="spellEnd"/>
      <w:r w:rsidRPr="00BE222D">
        <w:rPr>
          <w:b/>
          <w:bCs/>
          <w:u w:val="single"/>
          <w:lang w:val="en-US"/>
        </w:rPr>
        <w:t xml:space="preserve"> DA. (2008). The impact of vehicle on the relative potency of skin-sensitizing chemicals in the local lymph node assay.  </w:t>
      </w:r>
      <w:proofErr w:type="spellStart"/>
      <w:r w:rsidRPr="00C53546">
        <w:rPr>
          <w:b/>
          <w:bCs/>
          <w:u w:val="single"/>
          <w:lang w:val="en-US"/>
        </w:rPr>
        <w:t>Cutan</w:t>
      </w:r>
      <w:proofErr w:type="spellEnd"/>
      <w:r w:rsidRPr="00C53546">
        <w:rPr>
          <w:b/>
          <w:bCs/>
          <w:u w:val="single"/>
          <w:lang w:val="en-US"/>
        </w:rPr>
        <w:t xml:space="preserve"> </w:t>
      </w:r>
      <w:proofErr w:type="spellStart"/>
      <w:r w:rsidRPr="00C53546">
        <w:rPr>
          <w:b/>
          <w:bCs/>
          <w:u w:val="single"/>
          <w:lang w:val="en-US"/>
        </w:rPr>
        <w:t>Ocul</w:t>
      </w:r>
      <w:proofErr w:type="spellEnd"/>
      <w:r w:rsidRPr="00C53546">
        <w:rPr>
          <w:b/>
          <w:bCs/>
          <w:u w:val="single"/>
          <w:lang w:val="en-US"/>
        </w:rPr>
        <w:t xml:space="preserve"> </w:t>
      </w:r>
      <w:proofErr w:type="spellStart"/>
      <w:r w:rsidRPr="00C53546">
        <w:rPr>
          <w:b/>
          <w:bCs/>
          <w:u w:val="single"/>
          <w:lang w:val="en-US"/>
        </w:rPr>
        <w:t>Toxicol</w:t>
      </w:r>
      <w:proofErr w:type="spellEnd"/>
      <w:r w:rsidRPr="00C53546">
        <w:rPr>
          <w:b/>
          <w:bCs/>
          <w:u w:val="single"/>
          <w:lang w:val="en-US"/>
        </w:rPr>
        <w:t>: 27 (2); 67-75</w:t>
      </w:r>
      <w:r w:rsidRPr="00BE222D">
        <w:rPr>
          <w:b/>
          <w:bCs/>
          <w:u w:val="single"/>
          <w:lang w:val="en-US"/>
        </w:rPr>
        <w:t xml:space="preserve">. </w:t>
      </w:r>
      <w:r w:rsidRPr="00BE222D">
        <w:rPr>
          <w:rStyle w:val="id-label"/>
          <w:b/>
          <w:bCs/>
          <w:u w:val="single"/>
          <w:lang w:val="en-US"/>
        </w:rPr>
        <w:t>D</w:t>
      </w:r>
      <w:r>
        <w:rPr>
          <w:rStyle w:val="id-label"/>
          <w:b/>
          <w:bCs/>
          <w:u w:val="single"/>
          <w:lang w:val="en-US"/>
        </w:rPr>
        <w:t>oi</w:t>
      </w:r>
      <w:r w:rsidRPr="00BE222D">
        <w:rPr>
          <w:rStyle w:val="id-label"/>
          <w:b/>
          <w:bCs/>
          <w:u w:val="single"/>
          <w:lang w:val="en-US"/>
        </w:rPr>
        <w:t>: </w:t>
      </w:r>
      <w:hyperlink r:id="rId11" w:tgtFrame="_blank" w:history="1">
        <w:r w:rsidRPr="00BE222D">
          <w:rPr>
            <w:rStyle w:val="Hyperlink"/>
            <w:b/>
            <w:bCs/>
            <w:u w:val="single"/>
            <w:lang w:val="en-US"/>
          </w:rPr>
          <w:t>10.1080/15569520801904655</w:t>
        </w:r>
      </w:hyperlink>
      <w:r>
        <w:rPr>
          <w:rStyle w:val="Hyperlink"/>
          <w:b/>
          <w:bCs/>
          <w:u w:val="single"/>
          <w:lang w:val="en-US"/>
        </w:rPr>
        <w:t>.</w:t>
      </w:r>
      <w:r w:rsidRPr="00BE222D">
        <w:rPr>
          <w:rStyle w:val="Hyperlink"/>
          <w:lang w:val="en-US"/>
        </w:rPr>
        <w:t>”</w:t>
      </w:r>
    </w:p>
    <w:p w14:paraId="5C42962D" w14:textId="7D0834F2" w:rsidR="00D0796E" w:rsidRPr="004F373C" w:rsidRDefault="00255CD2" w:rsidP="00C002E8">
      <w:pPr>
        <w:pStyle w:val="ListParagraph"/>
        <w:numPr>
          <w:ilvl w:val="0"/>
          <w:numId w:val="41"/>
        </w:numPr>
        <w:spacing w:after="120"/>
        <w:rPr>
          <w:sz w:val="20"/>
          <w:szCs w:val="20"/>
        </w:rPr>
      </w:pPr>
      <w:r w:rsidRPr="004F373C">
        <w:rPr>
          <w:sz w:val="20"/>
          <w:szCs w:val="20"/>
        </w:rPr>
        <w:t>Delete the reference</w:t>
      </w:r>
      <w:r w:rsidR="007D5A7A" w:rsidRPr="004F373C">
        <w:rPr>
          <w:sz w:val="20"/>
          <w:szCs w:val="20"/>
        </w:rPr>
        <w:t>s</w:t>
      </w:r>
      <w:r w:rsidRPr="004F373C">
        <w:rPr>
          <w:sz w:val="20"/>
          <w:szCs w:val="20"/>
        </w:rPr>
        <w:t xml:space="preserve"> </w:t>
      </w:r>
      <w:r w:rsidR="00AF2453" w:rsidRPr="0034648A">
        <w:rPr>
          <w:sz w:val="20"/>
          <w:szCs w:val="20"/>
        </w:rPr>
        <w:t xml:space="preserve">“OECD (2012)”; </w:t>
      </w:r>
      <w:r w:rsidR="001B14B2" w:rsidRPr="0034648A">
        <w:rPr>
          <w:sz w:val="20"/>
          <w:szCs w:val="20"/>
        </w:rPr>
        <w:t>“</w:t>
      </w:r>
      <w:r w:rsidR="001D04D1" w:rsidRPr="0034648A">
        <w:rPr>
          <w:sz w:val="20"/>
          <w:szCs w:val="20"/>
        </w:rPr>
        <w:t>OECD 2016</w:t>
      </w:r>
      <w:r w:rsidR="001D04D1" w:rsidRPr="006B5CE9">
        <w:rPr>
          <w:sz w:val="20"/>
          <w:szCs w:val="20"/>
        </w:rPr>
        <w:t>a</w:t>
      </w:r>
      <w:r w:rsidR="001D04D1" w:rsidRPr="00EC5F04">
        <w:rPr>
          <w:sz w:val="20"/>
          <w:szCs w:val="20"/>
        </w:rPr>
        <w:t xml:space="preserve">”; </w:t>
      </w:r>
      <w:r w:rsidR="007151CA" w:rsidRPr="008B0F6C">
        <w:rPr>
          <w:sz w:val="20"/>
          <w:szCs w:val="20"/>
        </w:rPr>
        <w:t xml:space="preserve">and </w:t>
      </w:r>
      <w:r w:rsidR="001B14B2" w:rsidRPr="008B0F6C">
        <w:rPr>
          <w:sz w:val="20"/>
          <w:szCs w:val="20"/>
        </w:rPr>
        <w:t>“</w:t>
      </w:r>
      <w:r w:rsidR="00AF2453" w:rsidRPr="008B0F6C">
        <w:rPr>
          <w:sz w:val="20"/>
          <w:szCs w:val="20"/>
        </w:rPr>
        <w:t>OECD 2016b</w:t>
      </w:r>
      <w:r w:rsidR="001B14B2" w:rsidRPr="008B0F6C">
        <w:rPr>
          <w:sz w:val="20"/>
          <w:szCs w:val="20"/>
        </w:rPr>
        <w:t>”</w:t>
      </w:r>
      <w:r w:rsidR="00227944">
        <w:rPr>
          <w:sz w:val="20"/>
          <w:szCs w:val="20"/>
        </w:rPr>
        <w:t>.</w:t>
      </w:r>
    </w:p>
    <w:p w14:paraId="6D396538" w14:textId="79B7C0D2" w:rsidR="000A5C19" w:rsidRDefault="000A5C19" w:rsidP="00AD759B">
      <w:pPr>
        <w:pStyle w:val="ListParagraph"/>
        <w:numPr>
          <w:ilvl w:val="0"/>
          <w:numId w:val="41"/>
        </w:numPr>
        <w:spacing w:after="120"/>
        <w:rPr>
          <w:sz w:val="20"/>
          <w:szCs w:val="20"/>
        </w:rPr>
      </w:pPr>
      <w:r>
        <w:rPr>
          <w:sz w:val="20"/>
          <w:szCs w:val="20"/>
        </w:rPr>
        <w:t xml:space="preserve">Replace </w:t>
      </w:r>
      <w:r w:rsidRPr="004F373C">
        <w:rPr>
          <w:sz w:val="20"/>
          <w:szCs w:val="20"/>
        </w:rPr>
        <w:t>“Available at [</w:t>
      </w:r>
      <w:hyperlink r:id="rId12" w:tgtFrame="_blank" w:tooltip="https://doi.org/10.1787/9789264221444-en" w:history="1">
        <w:r w:rsidRPr="004F373C">
          <w:rPr>
            <w:rStyle w:val="Hyperlink"/>
            <w:sz w:val="20"/>
            <w:szCs w:val="20"/>
          </w:rPr>
          <w:t>https://doi.org/10.1787/9789264221444-en</w:t>
        </w:r>
      </w:hyperlink>
      <w:r w:rsidRPr="004F373C">
        <w:rPr>
          <w:sz w:val="20"/>
          <w:szCs w:val="20"/>
        </w:rPr>
        <w:t xml:space="preserve">]” </w:t>
      </w:r>
      <w:r w:rsidR="006F5300">
        <w:rPr>
          <w:sz w:val="20"/>
          <w:szCs w:val="20"/>
        </w:rPr>
        <w:t>with “</w:t>
      </w:r>
      <w:r w:rsidR="006F5300" w:rsidRPr="00227944">
        <w:rPr>
          <w:b/>
          <w:bCs/>
          <w:sz w:val="20"/>
          <w:szCs w:val="20"/>
          <w:u w:val="single"/>
        </w:rPr>
        <w:t>Doi.org/10.1787/9789264221444-en</w:t>
      </w:r>
      <w:r w:rsidR="006F5300">
        <w:rPr>
          <w:sz w:val="20"/>
          <w:szCs w:val="20"/>
        </w:rPr>
        <w:t>”</w:t>
      </w:r>
      <w:r w:rsidRPr="004F373C">
        <w:rPr>
          <w:sz w:val="20"/>
          <w:szCs w:val="20"/>
        </w:rPr>
        <w:t>at the end of the reference entry for “OECD (2014)</w:t>
      </w:r>
      <w:r w:rsidR="007E2D47">
        <w:rPr>
          <w:sz w:val="20"/>
          <w:szCs w:val="20"/>
        </w:rPr>
        <w:t>”.</w:t>
      </w:r>
    </w:p>
    <w:p w14:paraId="6789809C" w14:textId="57DDA615" w:rsidR="00AD759B" w:rsidRPr="004F373C" w:rsidRDefault="00AD759B" w:rsidP="00AD759B">
      <w:pPr>
        <w:pStyle w:val="ListParagraph"/>
        <w:numPr>
          <w:ilvl w:val="0"/>
          <w:numId w:val="41"/>
        </w:numPr>
        <w:spacing w:after="120"/>
        <w:rPr>
          <w:sz w:val="20"/>
          <w:szCs w:val="20"/>
        </w:rPr>
      </w:pPr>
      <w:r w:rsidRPr="004F373C">
        <w:rPr>
          <w:sz w:val="20"/>
          <w:szCs w:val="20"/>
        </w:rPr>
        <w:t xml:space="preserve">Insert the following reference below the entry for </w:t>
      </w:r>
      <w:r w:rsidR="00FB0538" w:rsidRPr="004F373C">
        <w:rPr>
          <w:sz w:val="20"/>
          <w:szCs w:val="20"/>
        </w:rPr>
        <w:t>“OECD (2014)</w:t>
      </w:r>
      <w:r w:rsidRPr="004F373C">
        <w:rPr>
          <w:sz w:val="20"/>
          <w:szCs w:val="20"/>
        </w:rPr>
        <w:t>”:</w:t>
      </w:r>
    </w:p>
    <w:p w14:paraId="1BCB462A" w14:textId="014A9BA6" w:rsidR="00AD759B" w:rsidRPr="0088465C" w:rsidRDefault="004D7B84" w:rsidP="006B5CE9">
      <w:pPr>
        <w:spacing w:after="120" w:line="240" w:lineRule="auto"/>
        <w:ind w:left="1843"/>
        <w:jc w:val="both"/>
      </w:pPr>
      <w:r w:rsidRPr="00392029">
        <w:t>“</w:t>
      </w:r>
      <w:r w:rsidRPr="0034648A">
        <w:rPr>
          <w:b/>
          <w:bCs/>
          <w:u w:val="single"/>
        </w:rPr>
        <w:t>OECD (2017), </w:t>
      </w:r>
      <w:r w:rsidRPr="0034648A">
        <w:rPr>
          <w:b/>
          <w:bCs/>
          <w:i/>
          <w:iCs/>
          <w:u w:val="single"/>
        </w:rPr>
        <w:t xml:space="preserve">Guidance Document on the Reporting of Defined Approaches and Individual Information Sources to be Used within Integrated Approaches to Testing </w:t>
      </w:r>
      <w:r w:rsidRPr="0034648A">
        <w:rPr>
          <w:b/>
          <w:bCs/>
          <w:i/>
          <w:iCs/>
          <w:u w:val="single"/>
        </w:rPr>
        <w:lastRenderedPageBreak/>
        <w:t>and Assessment (IATA) for Skin Sensitisation</w:t>
      </w:r>
      <w:r w:rsidRPr="0034648A">
        <w:rPr>
          <w:b/>
          <w:bCs/>
          <w:u w:val="single"/>
        </w:rPr>
        <w:t>, OECD Series on Testing and Assessment, No. 256, OECD Publishing, Paris</w:t>
      </w:r>
      <w:r w:rsidRPr="0088465C">
        <w:rPr>
          <w:b/>
          <w:bCs/>
          <w:u w:val="single"/>
        </w:rPr>
        <w:t>.</w:t>
      </w:r>
      <w:r w:rsidR="009849D3">
        <w:rPr>
          <w:b/>
          <w:bCs/>
          <w:u w:val="single"/>
        </w:rPr>
        <w:t xml:space="preserve"> </w:t>
      </w:r>
      <w:r w:rsidR="009849D3" w:rsidRPr="009849D3">
        <w:rPr>
          <w:b/>
          <w:bCs/>
          <w:u w:val="single"/>
        </w:rPr>
        <w:t>Doi.org/10.1787/9789264279285-en</w:t>
      </w:r>
      <w:r w:rsidR="00E81A14">
        <w:rPr>
          <w:b/>
          <w:bCs/>
          <w:u w:val="single"/>
        </w:rPr>
        <w:t>.</w:t>
      </w:r>
      <w:r w:rsidRPr="00392029">
        <w:t>”.</w:t>
      </w:r>
    </w:p>
    <w:bookmarkEnd w:id="6"/>
    <w:p w14:paraId="269D407E" w14:textId="31440624" w:rsidR="00BF3875" w:rsidRPr="00EC5F04" w:rsidRDefault="00BF3875" w:rsidP="00BF5789">
      <w:pPr>
        <w:pStyle w:val="ListParagraph"/>
        <w:numPr>
          <w:ilvl w:val="0"/>
          <w:numId w:val="41"/>
        </w:numPr>
        <w:spacing w:after="120"/>
        <w:rPr>
          <w:sz w:val="20"/>
          <w:szCs w:val="20"/>
        </w:rPr>
      </w:pPr>
      <w:r w:rsidRPr="00EC5F04">
        <w:rPr>
          <w:sz w:val="20"/>
          <w:szCs w:val="20"/>
        </w:rPr>
        <w:t xml:space="preserve">Insert the following reference below the </w:t>
      </w:r>
      <w:r w:rsidR="00D65404" w:rsidRPr="00EC5F04">
        <w:rPr>
          <w:sz w:val="20"/>
          <w:szCs w:val="20"/>
        </w:rPr>
        <w:t>new reference</w:t>
      </w:r>
      <w:r w:rsidRPr="00EC5F04">
        <w:rPr>
          <w:sz w:val="20"/>
          <w:szCs w:val="20"/>
        </w:rPr>
        <w:t xml:space="preserve"> for </w:t>
      </w:r>
      <w:r w:rsidR="00D65404" w:rsidRPr="00EC5F04">
        <w:rPr>
          <w:sz w:val="20"/>
          <w:szCs w:val="20"/>
        </w:rPr>
        <w:t>“OECD (2017)</w:t>
      </w:r>
      <w:r w:rsidRPr="00EC5F04">
        <w:rPr>
          <w:sz w:val="20"/>
          <w:szCs w:val="20"/>
        </w:rPr>
        <w:t>”:</w:t>
      </w:r>
    </w:p>
    <w:p w14:paraId="31B0A4AC" w14:textId="589C9CB2" w:rsidR="00BF3875" w:rsidRPr="00FF78ED" w:rsidRDefault="00BF3875" w:rsidP="00BF5789">
      <w:pPr>
        <w:pStyle w:val="CommentText"/>
        <w:ind w:left="1843"/>
        <w:jc w:val="both"/>
      </w:pPr>
      <w:r w:rsidRPr="007B0788">
        <w:rPr>
          <w:lang w:val="en-US"/>
        </w:rPr>
        <w:t>“</w:t>
      </w:r>
      <w:r w:rsidRPr="007B0788">
        <w:rPr>
          <w:b/>
          <w:bCs/>
          <w:u w:val="single"/>
          <w:lang w:val="en-US"/>
        </w:rPr>
        <w:t xml:space="preserve">Ryan CA et al. </w:t>
      </w:r>
      <w:r w:rsidRPr="00FF78ED">
        <w:rPr>
          <w:b/>
          <w:bCs/>
          <w:u w:val="single"/>
        </w:rPr>
        <w:t xml:space="preserve">(2007): Extrapolating local lymph node assay EC3 values to estimate relative sensitizing potency. </w:t>
      </w:r>
      <w:proofErr w:type="spellStart"/>
      <w:r w:rsidRPr="00FF78ED">
        <w:rPr>
          <w:b/>
          <w:bCs/>
          <w:u w:val="single"/>
        </w:rPr>
        <w:t>Cutan</w:t>
      </w:r>
      <w:proofErr w:type="spellEnd"/>
      <w:r w:rsidRPr="00FF78ED">
        <w:rPr>
          <w:b/>
          <w:bCs/>
          <w:u w:val="single"/>
        </w:rPr>
        <w:t xml:space="preserve"> </w:t>
      </w:r>
      <w:proofErr w:type="spellStart"/>
      <w:r w:rsidRPr="00FF78ED">
        <w:rPr>
          <w:b/>
          <w:bCs/>
          <w:u w:val="single"/>
        </w:rPr>
        <w:t>Ocul</w:t>
      </w:r>
      <w:proofErr w:type="spellEnd"/>
      <w:r w:rsidRPr="00FF78ED">
        <w:rPr>
          <w:b/>
          <w:bCs/>
          <w:u w:val="single"/>
        </w:rPr>
        <w:t xml:space="preserve"> </w:t>
      </w:r>
      <w:proofErr w:type="spellStart"/>
      <w:r w:rsidRPr="00FF78ED">
        <w:rPr>
          <w:b/>
          <w:bCs/>
          <w:u w:val="single"/>
        </w:rPr>
        <w:t>Toxicol</w:t>
      </w:r>
      <w:proofErr w:type="spellEnd"/>
      <w:r w:rsidRPr="00FF78ED">
        <w:rPr>
          <w:b/>
          <w:bCs/>
          <w:u w:val="single"/>
        </w:rPr>
        <w:t xml:space="preserve"> 26(2), 135-45.</w:t>
      </w:r>
      <w:r w:rsidRPr="00FF78ED">
        <w:t>”</w:t>
      </w:r>
    </w:p>
    <w:p w14:paraId="07E62A56" w14:textId="07D8BB1C" w:rsidR="00D172DC" w:rsidRPr="00AD7F80" w:rsidRDefault="00932AAB" w:rsidP="00D172DC">
      <w:pPr>
        <w:pStyle w:val="HChG"/>
      </w:pPr>
      <w:r>
        <w:tab/>
      </w:r>
      <w:r>
        <w:tab/>
      </w:r>
      <w:r w:rsidR="008F3069" w:rsidRPr="000F67AB">
        <w:rPr>
          <w:szCs w:val="28"/>
        </w:rPr>
        <w:t xml:space="preserve">Action </w:t>
      </w:r>
      <w:r w:rsidR="008F3069" w:rsidRPr="009E4F9B">
        <w:rPr>
          <w:szCs w:val="28"/>
        </w:rPr>
        <w:t>and next steps</w:t>
      </w:r>
    </w:p>
    <w:p w14:paraId="5642C1CB" w14:textId="167F23C9" w:rsidR="006A2B57" w:rsidRDefault="000C1F24" w:rsidP="00A43F4F">
      <w:pPr>
        <w:pStyle w:val="SingleTxtG"/>
        <w:tabs>
          <w:tab w:val="left" w:pos="1843"/>
        </w:tabs>
        <w:ind w:right="-46"/>
      </w:pPr>
      <w:r>
        <w:t>1</w:t>
      </w:r>
      <w:r w:rsidR="00404F50">
        <w:t>4</w:t>
      </w:r>
      <w:r w:rsidR="00D172DC">
        <w:t xml:space="preserve">. </w:t>
      </w:r>
      <w:r w:rsidR="00D172DC">
        <w:tab/>
      </w:r>
      <w:r w:rsidR="006A2B57" w:rsidRPr="00CC4E88">
        <w:t xml:space="preserve">The Sub-Committee is invited to </w:t>
      </w:r>
      <w:r w:rsidR="00321A7B" w:rsidRPr="00CC4E88">
        <w:t xml:space="preserve">consider </w:t>
      </w:r>
      <w:r w:rsidR="006A2B57" w:rsidRPr="00CC4E88">
        <w:t>the</w:t>
      </w:r>
      <w:r w:rsidR="00B41804" w:rsidRPr="00CC4E88">
        <w:t xml:space="preserve"> proposed amendments listed in paragraph</w:t>
      </w:r>
      <w:r w:rsidR="00107068">
        <w:t> </w:t>
      </w:r>
      <w:r w:rsidR="00B41804" w:rsidRPr="00CC4E88">
        <w:t>1</w:t>
      </w:r>
      <w:r w:rsidR="00404F50" w:rsidRPr="00CC4E88">
        <w:t>3</w:t>
      </w:r>
      <w:r w:rsidR="00B41804" w:rsidRPr="00CC4E88">
        <w:t xml:space="preserve"> </w:t>
      </w:r>
      <w:r w:rsidR="006A2B57" w:rsidRPr="00CC4E88">
        <w:t xml:space="preserve">to </w:t>
      </w:r>
      <w:r w:rsidR="00B41804" w:rsidRPr="00CC4E88">
        <w:t xml:space="preserve">the proposal </w:t>
      </w:r>
      <w:r w:rsidR="00C456F8" w:rsidRPr="00CC4E88">
        <w:t xml:space="preserve">in </w:t>
      </w:r>
      <w:r w:rsidR="00BA586E" w:rsidRPr="00CC4E88">
        <w:rPr>
          <w:rFonts w:eastAsia="MS Mincho"/>
          <w:lang w:val="en-US" w:eastAsia="ja-JP"/>
        </w:rPr>
        <w:t>ST/SG/AC.10/C.4/</w:t>
      </w:r>
      <w:r w:rsidR="00A01B36" w:rsidRPr="00CC4E88">
        <w:rPr>
          <w:rFonts w:eastAsia="MS Mincho"/>
          <w:lang w:val="en-US" w:eastAsia="ja-JP"/>
        </w:rPr>
        <w:t>2022</w:t>
      </w:r>
      <w:r w:rsidR="00BA586E" w:rsidRPr="00CC4E88">
        <w:rPr>
          <w:rFonts w:eastAsia="MS Mincho"/>
          <w:lang w:val="en-US" w:eastAsia="ja-JP"/>
        </w:rPr>
        <w:t>/</w:t>
      </w:r>
      <w:r w:rsidR="00A01B36" w:rsidRPr="00CC4E88">
        <w:rPr>
          <w:rFonts w:eastAsia="MS Mincho"/>
          <w:lang w:val="en-US" w:eastAsia="ja-JP"/>
        </w:rPr>
        <w:t xml:space="preserve">14 </w:t>
      </w:r>
      <w:r w:rsidR="00C456F8" w:rsidRPr="00CC4E88">
        <w:rPr>
          <w:rFonts w:eastAsia="MS Mincho"/>
          <w:lang w:val="en-US" w:eastAsia="ja-JP"/>
        </w:rPr>
        <w:t xml:space="preserve">(as </w:t>
      </w:r>
      <w:r w:rsidR="00A42639" w:rsidRPr="00CC4E88">
        <w:rPr>
          <w:rFonts w:eastAsia="MS Mincho"/>
          <w:lang w:val="en-US" w:eastAsia="ja-JP"/>
        </w:rPr>
        <w:t xml:space="preserve">consolidated in </w:t>
      </w:r>
      <w:r w:rsidR="005E2411" w:rsidRPr="00CC4E88">
        <w:t>INF.3/Rev.1</w:t>
      </w:r>
      <w:r w:rsidR="00A42639" w:rsidRPr="00CC4E88">
        <w:t>)</w:t>
      </w:r>
      <w:r w:rsidR="006400DD" w:rsidRPr="00CC4E88">
        <w:t xml:space="preserve">, </w:t>
      </w:r>
      <w:r w:rsidR="00B43DC0" w:rsidRPr="00CC4E88">
        <w:t xml:space="preserve">with the accompanying consequential amendments to </w:t>
      </w:r>
      <w:r w:rsidR="00107068">
        <w:t>c</w:t>
      </w:r>
      <w:r w:rsidR="00B43DC0" w:rsidRPr="00CC4E88">
        <w:t>hapters 1.2, 3.2. and 3.3</w:t>
      </w:r>
      <w:r w:rsidR="00A42639" w:rsidRPr="00CC4E88">
        <w:t xml:space="preserve"> listed </w:t>
      </w:r>
      <w:r w:rsidR="006400DD" w:rsidRPr="00CC4E88">
        <w:t xml:space="preserve">in </w:t>
      </w:r>
      <w:r w:rsidR="006400DD" w:rsidRPr="00CC4E88">
        <w:rPr>
          <w:rFonts w:eastAsia="MS Mincho"/>
          <w:lang w:val="en-US" w:eastAsia="ja-JP"/>
        </w:rPr>
        <w:t xml:space="preserve">ST/SG/AC.10/C.4/2022/15 and </w:t>
      </w:r>
      <w:r w:rsidR="00A42639" w:rsidRPr="00CC4E88">
        <w:rPr>
          <w:rFonts w:eastAsia="MS Mincho"/>
          <w:lang w:val="en-US" w:eastAsia="ja-JP"/>
        </w:rPr>
        <w:t xml:space="preserve">consolidated in </w:t>
      </w:r>
      <w:r w:rsidR="006400DD" w:rsidRPr="00CC4E88">
        <w:rPr>
          <w:rFonts w:eastAsia="MS Mincho"/>
          <w:lang w:val="en-US" w:eastAsia="ja-JP"/>
        </w:rPr>
        <w:t>INF.</w:t>
      </w:r>
      <w:r w:rsidR="00A42639" w:rsidRPr="00CC4E88">
        <w:rPr>
          <w:rFonts w:eastAsia="MS Mincho"/>
          <w:lang w:val="en-US" w:eastAsia="ja-JP"/>
        </w:rPr>
        <w:t>9</w:t>
      </w:r>
      <w:r w:rsidR="00B43DC0" w:rsidRPr="00CC4E88">
        <w:t>.</w:t>
      </w:r>
      <w:r w:rsidR="005E2411">
        <w:t xml:space="preserve"> </w:t>
      </w:r>
    </w:p>
    <w:p w14:paraId="63113A2D" w14:textId="78A862EA" w:rsidR="00CE6284" w:rsidRPr="0064644C" w:rsidRDefault="0064644C" w:rsidP="0064644C">
      <w:pPr>
        <w:spacing w:before="240"/>
        <w:jc w:val="center"/>
        <w:rPr>
          <w:rStyle w:val="SingleTxtGCar"/>
          <w:u w:val="single"/>
        </w:rPr>
      </w:pPr>
      <w:r>
        <w:rPr>
          <w:rStyle w:val="SingleTxtGCar"/>
          <w:u w:val="single"/>
        </w:rPr>
        <w:tab/>
      </w:r>
      <w:r>
        <w:rPr>
          <w:rStyle w:val="SingleTxtGCar"/>
          <w:u w:val="single"/>
        </w:rPr>
        <w:tab/>
      </w:r>
      <w:r>
        <w:rPr>
          <w:rStyle w:val="SingleTxtGCar"/>
          <w:u w:val="single"/>
        </w:rPr>
        <w:tab/>
      </w:r>
    </w:p>
    <w:sectPr w:rsidR="00CE6284" w:rsidRPr="0064644C" w:rsidSect="001E3B5E">
      <w:headerReference w:type="even" r:id="rId13"/>
      <w:headerReference w:type="default" r:id="rId14"/>
      <w:footerReference w:type="even" r:id="rId15"/>
      <w:footerReference w:type="default" r:id="rId16"/>
      <w:headerReference w:type="first" r:id="rId17"/>
      <w:footerReference w:type="first" r:id="rId18"/>
      <w:pgSz w:w="11906" w:h="16838"/>
      <w:pgMar w:top="1440" w:right="17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5788" w14:textId="77777777" w:rsidR="000803FD" w:rsidRDefault="000803FD" w:rsidP="00760F29">
      <w:pPr>
        <w:spacing w:line="240" w:lineRule="auto"/>
      </w:pPr>
      <w:r>
        <w:separator/>
      </w:r>
    </w:p>
  </w:endnote>
  <w:endnote w:type="continuationSeparator" w:id="0">
    <w:p w14:paraId="6399B0C7" w14:textId="77777777" w:rsidR="000803FD" w:rsidRDefault="000803FD" w:rsidP="00760F29">
      <w:pPr>
        <w:spacing w:line="240" w:lineRule="auto"/>
      </w:pPr>
      <w:r>
        <w:continuationSeparator/>
      </w:r>
    </w:p>
  </w:endnote>
  <w:endnote w:type="continuationNotice" w:id="1">
    <w:p w14:paraId="4EC8DB91" w14:textId="77777777" w:rsidR="000803FD" w:rsidRDefault="000803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750" w14:textId="77777777" w:rsidR="0076675C" w:rsidRPr="000216CC" w:rsidRDefault="00A31103" w:rsidP="0076675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66A1" w14:textId="77777777" w:rsidR="0076675C" w:rsidRPr="000216CC" w:rsidRDefault="00A31103" w:rsidP="0076675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2942" w14:textId="010C5935" w:rsidR="0076675C" w:rsidRPr="00952862" w:rsidRDefault="0076675C">
    <w:pPr>
      <w:pStyle w:val="Footer"/>
      <w:rPr>
        <w:b/>
        <w:bCs/>
      </w:rPr>
    </w:pPr>
  </w:p>
  <w:p w14:paraId="2D4C9FAC" w14:textId="77777777" w:rsidR="0076675C" w:rsidRDefault="0076675C" w:rsidP="0076675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0235" w14:textId="77777777" w:rsidR="000803FD" w:rsidRDefault="000803FD" w:rsidP="00760F29">
      <w:pPr>
        <w:spacing w:line="240" w:lineRule="auto"/>
      </w:pPr>
      <w:r>
        <w:separator/>
      </w:r>
    </w:p>
  </w:footnote>
  <w:footnote w:type="continuationSeparator" w:id="0">
    <w:p w14:paraId="54057807" w14:textId="77777777" w:rsidR="000803FD" w:rsidRDefault="000803FD" w:rsidP="00760F29">
      <w:pPr>
        <w:spacing w:line="240" w:lineRule="auto"/>
      </w:pPr>
      <w:r>
        <w:continuationSeparator/>
      </w:r>
    </w:p>
  </w:footnote>
  <w:footnote w:type="continuationNotice" w:id="1">
    <w:p w14:paraId="0A4EBA58" w14:textId="77777777" w:rsidR="000803FD" w:rsidRDefault="000803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8ADA" w14:textId="0E6C6CAB" w:rsidR="0076675C" w:rsidRPr="001E5919" w:rsidRDefault="00A31103" w:rsidP="0076675C">
    <w:pPr>
      <w:pStyle w:val="Header"/>
      <w:rPr>
        <w:lang w:val="fr-FR"/>
      </w:rPr>
    </w:pPr>
    <w:r>
      <w:rPr>
        <w:lang w:val="fr-FR"/>
      </w:rPr>
      <w:t>UN/SCEGHS/</w:t>
    </w:r>
    <w:r w:rsidR="00413CC0">
      <w:rPr>
        <w:lang w:val="fr-FR"/>
      </w:rPr>
      <w:t>43</w:t>
    </w:r>
    <w:r>
      <w:rPr>
        <w:lang w:val="fr-FR"/>
      </w:rPr>
      <w:t>/INF.</w:t>
    </w:r>
    <w:r w:rsidR="00074E2A">
      <w:rPr>
        <w:lang w:val="fr-FR"/>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1E6B" w14:textId="0580AEB6" w:rsidR="0076675C" w:rsidRPr="001E5919" w:rsidRDefault="00A31103" w:rsidP="0076675C">
    <w:pPr>
      <w:pStyle w:val="Header"/>
      <w:jc w:val="right"/>
      <w:rPr>
        <w:lang w:val="fr-FR"/>
      </w:rPr>
    </w:pPr>
    <w:r>
      <w:rPr>
        <w:lang w:val="fr-FR"/>
      </w:rPr>
      <w:t>UN/SCEGHS/</w:t>
    </w:r>
    <w:r w:rsidR="00413CC0">
      <w:rPr>
        <w:lang w:val="fr-FR"/>
      </w:rPr>
      <w:t>43</w:t>
    </w:r>
    <w:r>
      <w:rPr>
        <w:lang w:val="fr-FR"/>
      </w:rPr>
      <w:t>/INF.</w:t>
    </w:r>
    <w:r w:rsidR="00074E2A">
      <w:rPr>
        <w:lang w:val="fr-FR"/>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B383" w14:textId="30154839" w:rsidR="0076675C" w:rsidRPr="00C969C0" w:rsidRDefault="0076675C"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5A3D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C7C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042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4A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248F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C25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68A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502B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9A6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8554E50"/>
    <w:multiLevelType w:val="hybridMultilevel"/>
    <w:tmpl w:val="C1AEE220"/>
    <w:lvl w:ilvl="0" w:tplc="FFFFFFFF">
      <w:start w:val="1"/>
      <w:numFmt w:val="lowerLetter"/>
      <w:lvlText w:val="(%1)"/>
      <w:lvlJc w:val="left"/>
      <w:pPr>
        <w:ind w:left="360" w:hanging="216"/>
      </w:pPr>
    </w:lvl>
    <w:lvl w:ilvl="1" w:tplc="FFFFFFFF">
      <w:start w:val="1"/>
      <w:numFmt w:val="bullet"/>
      <w:lvlText w:val="-"/>
      <w:lvlJc w:val="left"/>
      <w:pPr>
        <w:tabs>
          <w:tab w:val="num" w:pos="1080"/>
        </w:tabs>
        <w:ind w:left="1080" w:hanging="360"/>
      </w:pPr>
      <w:rPr>
        <w:rFonts w:ascii="Times New Roman" w:hAnsi="Times New Roman" w:cs="Times New Roman"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Times New Roman" w:hAnsi="Times New Roman" w:cs="Times New Roman" w:hint="default"/>
      </w:rPr>
    </w:lvl>
    <w:lvl w:ilvl="4" w:tplc="FFFFFFFF">
      <w:start w:val="1"/>
      <w:numFmt w:val="bullet"/>
      <w:lvlText w:val="-"/>
      <w:lvlJc w:val="left"/>
      <w:pPr>
        <w:tabs>
          <w:tab w:val="num" w:pos="3240"/>
        </w:tabs>
        <w:ind w:left="3240" w:hanging="360"/>
      </w:pPr>
      <w:rPr>
        <w:rFonts w:ascii="Times New Roman" w:hAnsi="Times New Roman" w:cs="Times New Roman"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Times New Roman" w:hAnsi="Times New Roman" w:cs="Times New Roman" w:hint="default"/>
      </w:rPr>
    </w:lvl>
    <w:lvl w:ilvl="7" w:tplc="FFFFFFFF">
      <w:start w:val="1"/>
      <w:numFmt w:val="bullet"/>
      <w:lvlText w:val="-"/>
      <w:lvlJc w:val="left"/>
      <w:pPr>
        <w:tabs>
          <w:tab w:val="num" w:pos="5400"/>
        </w:tabs>
        <w:ind w:left="5400" w:hanging="360"/>
      </w:pPr>
      <w:rPr>
        <w:rFonts w:ascii="Times New Roman" w:hAnsi="Times New Roman" w:cs="Times New Roman"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13"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0F3E7E69"/>
    <w:multiLevelType w:val="hybridMultilevel"/>
    <w:tmpl w:val="BEDA222C"/>
    <w:lvl w:ilvl="0" w:tplc="DF2AFC68">
      <w:start w:val="1"/>
      <w:numFmt w:val="lowerLetter"/>
      <w:lvlText w:val="(%1)"/>
      <w:lvlJc w:val="left"/>
      <w:pPr>
        <w:ind w:left="2132" w:hanging="360"/>
      </w:pPr>
      <w:rPr>
        <w:rFonts w:hint="default"/>
      </w:r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5" w15:restartNumberingAfterBreak="0">
    <w:nsid w:val="13962316"/>
    <w:multiLevelType w:val="hybridMultilevel"/>
    <w:tmpl w:val="C1AEE220"/>
    <w:lvl w:ilvl="0" w:tplc="FFFFFFFF">
      <w:start w:val="1"/>
      <w:numFmt w:val="lowerLetter"/>
      <w:lvlText w:val="(%1)"/>
      <w:lvlJc w:val="left"/>
      <w:pPr>
        <w:ind w:left="360" w:hanging="216"/>
      </w:pPr>
    </w:lvl>
    <w:lvl w:ilvl="1" w:tplc="FFFFFFFF">
      <w:start w:val="1"/>
      <w:numFmt w:val="bullet"/>
      <w:lvlText w:val="-"/>
      <w:lvlJc w:val="left"/>
      <w:pPr>
        <w:tabs>
          <w:tab w:val="num" w:pos="1080"/>
        </w:tabs>
        <w:ind w:left="1080" w:hanging="360"/>
      </w:pPr>
      <w:rPr>
        <w:rFonts w:ascii="Times New Roman" w:hAnsi="Times New Roman" w:cs="Times New Roman"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Times New Roman" w:hAnsi="Times New Roman" w:cs="Times New Roman" w:hint="default"/>
      </w:rPr>
    </w:lvl>
    <w:lvl w:ilvl="4" w:tplc="FFFFFFFF">
      <w:start w:val="1"/>
      <w:numFmt w:val="bullet"/>
      <w:lvlText w:val="-"/>
      <w:lvlJc w:val="left"/>
      <w:pPr>
        <w:tabs>
          <w:tab w:val="num" w:pos="3240"/>
        </w:tabs>
        <w:ind w:left="3240" w:hanging="360"/>
      </w:pPr>
      <w:rPr>
        <w:rFonts w:ascii="Times New Roman" w:hAnsi="Times New Roman" w:cs="Times New Roman"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Times New Roman" w:hAnsi="Times New Roman" w:cs="Times New Roman" w:hint="default"/>
      </w:rPr>
    </w:lvl>
    <w:lvl w:ilvl="7" w:tplc="FFFFFFFF">
      <w:start w:val="1"/>
      <w:numFmt w:val="bullet"/>
      <w:lvlText w:val="-"/>
      <w:lvlJc w:val="left"/>
      <w:pPr>
        <w:tabs>
          <w:tab w:val="num" w:pos="5400"/>
        </w:tabs>
        <w:ind w:left="5400" w:hanging="360"/>
      </w:pPr>
      <w:rPr>
        <w:rFonts w:ascii="Times New Roman" w:hAnsi="Times New Roman" w:cs="Times New Roman"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16" w15:restartNumberingAfterBreak="0">
    <w:nsid w:val="177F24EE"/>
    <w:multiLevelType w:val="hybridMultilevel"/>
    <w:tmpl w:val="D220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3F3DD3"/>
    <w:multiLevelType w:val="hybridMultilevel"/>
    <w:tmpl w:val="C1AEE220"/>
    <w:lvl w:ilvl="0" w:tplc="5C4C6888">
      <w:start w:val="1"/>
      <w:numFmt w:val="lowerLetter"/>
      <w:lvlText w:val="(%1)"/>
      <w:lvlJc w:val="left"/>
      <w:pPr>
        <w:ind w:left="360" w:hanging="216"/>
      </w:pPr>
    </w:lvl>
    <w:lvl w:ilvl="1" w:tplc="8DA67DD4">
      <w:start w:val="1"/>
      <w:numFmt w:val="bullet"/>
      <w:lvlText w:val="-"/>
      <w:lvlJc w:val="left"/>
      <w:pPr>
        <w:tabs>
          <w:tab w:val="num" w:pos="1080"/>
        </w:tabs>
        <w:ind w:left="1080" w:hanging="360"/>
      </w:pPr>
      <w:rPr>
        <w:rFonts w:ascii="Times New Roman" w:hAnsi="Times New Roman" w:cs="Times New Roman" w:hint="default"/>
      </w:rPr>
    </w:lvl>
    <w:lvl w:ilvl="2" w:tplc="AEE06280">
      <w:start w:val="1"/>
      <w:numFmt w:val="bullet"/>
      <w:lvlText w:val="-"/>
      <w:lvlJc w:val="left"/>
      <w:pPr>
        <w:tabs>
          <w:tab w:val="num" w:pos="1800"/>
        </w:tabs>
        <w:ind w:left="1800" w:hanging="360"/>
      </w:pPr>
      <w:rPr>
        <w:rFonts w:ascii="Times New Roman" w:hAnsi="Times New Roman" w:cs="Times New Roman" w:hint="default"/>
      </w:rPr>
    </w:lvl>
    <w:lvl w:ilvl="3" w:tplc="580E811C">
      <w:start w:val="1"/>
      <w:numFmt w:val="bullet"/>
      <w:lvlText w:val="-"/>
      <w:lvlJc w:val="left"/>
      <w:pPr>
        <w:tabs>
          <w:tab w:val="num" w:pos="2520"/>
        </w:tabs>
        <w:ind w:left="2520" w:hanging="360"/>
      </w:pPr>
      <w:rPr>
        <w:rFonts w:ascii="Times New Roman" w:hAnsi="Times New Roman" w:cs="Times New Roman" w:hint="default"/>
      </w:rPr>
    </w:lvl>
    <w:lvl w:ilvl="4" w:tplc="A81CEBCA">
      <w:start w:val="1"/>
      <w:numFmt w:val="bullet"/>
      <w:lvlText w:val="-"/>
      <w:lvlJc w:val="left"/>
      <w:pPr>
        <w:tabs>
          <w:tab w:val="num" w:pos="3240"/>
        </w:tabs>
        <w:ind w:left="3240" w:hanging="360"/>
      </w:pPr>
      <w:rPr>
        <w:rFonts w:ascii="Times New Roman" w:hAnsi="Times New Roman" w:cs="Times New Roman" w:hint="default"/>
      </w:rPr>
    </w:lvl>
    <w:lvl w:ilvl="5" w:tplc="587C264C">
      <w:start w:val="1"/>
      <w:numFmt w:val="bullet"/>
      <w:lvlText w:val="-"/>
      <w:lvlJc w:val="left"/>
      <w:pPr>
        <w:tabs>
          <w:tab w:val="num" w:pos="3960"/>
        </w:tabs>
        <w:ind w:left="3960" w:hanging="360"/>
      </w:pPr>
      <w:rPr>
        <w:rFonts w:ascii="Times New Roman" w:hAnsi="Times New Roman" w:cs="Times New Roman" w:hint="default"/>
      </w:rPr>
    </w:lvl>
    <w:lvl w:ilvl="6" w:tplc="9A006B3A">
      <w:start w:val="1"/>
      <w:numFmt w:val="bullet"/>
      <w:lvlText w:val="-"/>
      <w:lvlJc w:val="left"/>
      <w:pPr>
        <w:tabs>
          <w:tab w:val="num" w:pos="4680"/>
        </w:tabs>
        <w:ind w:left="4680" w:hanging="360"/>
      </w:pPr>
      <w:rPr>
        <w:rFonts w:ascii="Times New Roman" w:hAnsi="Times New Roman" w:cs="Times New Roman" w:hint="default"/>
      </w:rPr>
    </w:lvl>
    <w:lvl w:ilvl="7" w:tplc="EC369060">
      <w:start w:val="1"/>
      <w:numFmt w:val="bullet"/>
      <w:lvlText w:val="-"/>
      <w:lvlJc w:val="left"/>
      <w:pPr>
        <w:tabs>
          <w:tab w:val="num" w:pos="5400"/>
        </w:tabs>
        <w:ind w:left="5400" w:hanging="360"/>
      </w:pPr>
      <w:rPr>
        <w:rFonts w:ascii="Times New Roman" w:hAnsi="Times New Roman" w:cs="Times New Roman" w:hint="default"/>
      </w:rPr>
    </w:lvl>
    <w:lvl w:ilvl="8" w:tplc="3C66966E">
      <w:start w:val="1"/>
      <w:numFmt w:val="bullet"/>
      <w:lvlText w:val="-"/>
      <w:lvlJc w:val="left"/>
      <w:pPr>
        <w:tabs>
          <w:tab w:val="num" w:pos="6120"/>
        </w:tabs>
        <w:ind w:left="6120" w:hanging="360"/>
      </w:pPr>
      <w:rPr>
        <w:rFonts w:ascii="Times New Roman" w:hAnsi="Times New Roman" w:cs="Times New Roman" w:hint="default"/>
      </w:rPr>
    </w:lvl>
  </w:abstractNum>
  <w:abstractNum w:abstractNumId="20" w15:restartNumberingAfterBreak="0">
    <w:nsid w:val="331E471C"/>
    <w:multiLevelType w:val="hybridMultilevel"/>
    <w:tmpl w:val="83BC4C82"/>
    <w:lvl w:ilvl="0" w:tplc="90C8D12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B37B3"/>
    <w:multiLevelType w:val="hybridMultilevel"/>
    <w:tmpl w:val="26F83D22"/>
    <w:lvl w:ilvl="0" w:tplc="08090017">
      <w:start w:val="1"/>
      <w:numFmt w:val="lowerLetter"/>
      <w:lvlText w:val="%1)"/>
      <w:lvlJc w:val="left"/>
      <w:pPr>
        <w:ind w:left="2132" w:hanging="360"/>
      </w:p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22" w15:restartNumberingAfterBreak="0">
    <w:nsid w:val="3C1B0916"/>
    <w:multiLevelType w:val="hybridMultilevel"/>
    <w:tmpl w:val="9A06565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8" w15:restartNumberingAfterBreak="0">
    <w:nsid w:val="61135E8C"/>
    <w:multiLevelType w:val="hybridMultilevel"/>
    <w:tmpl w:val="FBF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E12A4"/>
    <w:multiLevelType w:val="hybridMultilevel"/>
    <w:tmpl w:val="369428CA"/>
    <w:lvl w:ilvl="0" w:tplc="39F497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46148"/>
    <w:multiLevelType w:val="hybridMultilevel"/>
    <w:tmpl w:val="F4E806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E55662"/>
    <w:multiLevelType w:val="hybridMultilevel"/>
    <w:tmpl w:val="6EFC11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F8A20FE"/>
    <w:multiLevelType w:val="hybridMultilevel"/>
    <w:tmpl w:val="C8BA4460"/>
    <w:lvl w:ilvl="0" w:tplc="DF2AFC6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30"/>
  </w:num>
  <w:num w:numId="2">
    <w:abstractNumId w:val="34"/>
  </w:num>
  <w:num w:numId="3">
    <w:abstractNumId w:val="10"/>
  </w:num>
  <w:num w:numId="4">
    <w:abstractNumId w:val="32"/>
  </w:num>
  <w:num w:numId="5">
    <w:abstractNumId w:val="26"/>
  </w:num>
  <w:num w:numId="6">
    <w:abstractNumId w:val="25"/>
  </w:num>
  <w:num w:numId="7">
    <w:abstractNumId w:val="13"/>
  </w:num>
  <w:num w:numId="8">
    <w:abstractNumId w:val="31"/>
  </w:num>
  <w:num w:numId="9">
    <w:abstractNumId w:val="24"/>
  </w:num>
  <w:num w:numId="10">
    <w:abstractNumId w:val="30"/>
  </w:num>
  <w:num w:numId="11">
    <w:abstractNumId w:val="30"/>
  </w:num>
  <w:num w:numId="12">
    <w:abstractNumId w:val="30"/>
  </w:num>
  <w:num w:numId="13">
    <w:abstractNumId w:val="30"/>
  </w:num>
  <w:num w:numId="14">
    <w:abstractNumId w:val="23"/>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5"/>
  </w:num>
  <w:num w:numId="29">
    <w:abstractNumId w:val="29"/>
  </w:num>
  <w:num w:numId="30">
    <w:abstractNumId w:val="18"/>
  </w:num>
  <w:num w:numId="31">
    <w:abstractNumId w:val="21"/>
  </w:num>
  <w:num w:numId="32">
    <w:abstractNumId w:val="14"/>
  </w:num>
  <w:num w:numId="33">
    <w:abstractNumId w:val="22"/>
  </w:num>
  <w:num w:numId="34">
    <w:abstractNumId w:val="36"/>
  </w:num>
  <w:num w:numId="35">
    <w:abstractNumId w:val="20"/>
  </w:num>
  <w:num w:numId="36">
    <w:abstractNumId w:val="33"/>
  </w:num>
  <w:num w:numId="37">
    <w:abstractNumId w:val="19"/>
    <w:lvlOverride w:ilvl="0">
      <w:startOverride w:val="1"/>
    </w:lvlOverride>
    <w:lvlOverride w:ilvl="1"/>
    <w:lvlOverride w:ilvl="2"/>
    <w:lvlOverride w:ilvl="3"/>
    <w:lvlOverride w:ilvl="4"/>
    <w:lvlOverride w:ilvl="5"/>
    <w:lvlOverride w:ilvl="6"/>
    <w:lvlOverride w:ilvl="7"/>
    <w:lvlOverride w:ilvl="8"/>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28"/>
  </w:num>
  <w:num w:numId="41">
    <w:abstractNumId w:val="3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06F0"/>
    <w:rsid w:val="000042BF"/>
    <w:rsid w:val="000070CD"/>
    <w:rsid w:val="0000752A"/>
    <w:rsid w:val="00010BDD"/>
    <w:rsid w:val="000132BB"/>
    <w:rsid w:val="000141EE"/>
    <w:rsid w:val="00015F9B"/>
    <w:rsid w:val="00020004"/>
    <w:rsid w:val="000214BC"/>
    <w:rsid w:val="00022B9B"/>
    <w:rsid w:val="00024034"/>
    <w:rsid w:val="00025929"/>
    <w:rsid w:val="00027018"/>
    <w:rsid w:val="00030199"/>
    <w:rsid w:val="000301B1"/>
    <w:rsid w:val="0003079A"/>
    <w:rsid w:val="0003088F"/>
    <w:rsid w:val="000311C6"/>
    <w:rsid w:val="000346BC"/>
    <w:rsid w:val="000363C7"/>
    <w:rsid w:val="00040453"/>
    <w:rsid w:val="00040DE3"/>
    <w:rsid w:val="00043BF1"/>
    <w:rsid w:val="00044E23"/>
    <w:rsid w:val="00045E86"/>
    <w:rsid w:val="00046865"/>
    <w:rsid w:val="00046947"/>
    <w:rsid w:val="000469F2"/>
    <w:rsid w:val="00047E8B"/>
    <w:rsid w:val="00051E54"/>
    <w:rsid w:val="00054649"/>
    <w:rsid w:val="0005522E"/>
    <w:rsid w:val="0006039D"/>
    <w:rsid w:val="00060E8D"/>
    <w:rsid w:val="00061A71"/>
    <w:rsid w:val="00062178"/>
    <w:rsid w:val="0006302C"/>
    <w:rsid w:val="00067399"/>
    <w:rsid w:val="00067AF0"/>
    <w:rsid w:val="00071446"/>
    <w:rsid w:val="00073574"/>
    <w:rsid w:val="000736C3"/>
    <w:rsid w:val="00073DBA"/>
    <w:rsid w:val="00074E2A"/>
    <w:rsid w:val="00076C9A"/>
    <w:rsid w:val="000803FD"/>
    <w:rsid w:val="00081A93"/>
    <w:rsid w:val="000827A3"/>
    <w:rsid w:val="000859CA"/>
    <w:rsid w:val="00086DF6"/>
    <w:rsid w:val="00092643"/>
    <w:rsid w:val="00092F68"/>
    <w:rsid w:val="000934B1"/>
    <w:rsid w:val="0009425C"/>
    <w:rsid w:val="00094C7F"/>
    <w:rsid w:val="000975D0"/>
    <w:rsid w:val="000A18D2"/>
    <w:rsid w:val="000A2444"/>
    <w:rsid w:val="000A35E5"/>
    <w:rsid w:val="000A594D"/>
    <w:rsid w:val="000A5C19"/>
    <w:rsid w:val="000B2317"/>
    <w:rsid w:val="000B27FE"/>
    <w:rsid w:val="000B3B96"/>
    <w:rsid w:val="000B4682"/>
    <w:rsid w:val="000B4A9C"/>
    <w:rsid w:val="000B6ACF"/>
    <w:rsid w:val="000B7F45"/>
    <w:rsid w:val="000C0250"/>
    <w:rsid w:val="000C0B83"/>
    <w:rsid w:val="000C1113"/>
    <w:rsid w:val="000C1F24"/>
    <w:rsid w:val="000C54C0"/>
    <w:rsid w:val="000C5547"/>
    <w:rsid w:val="000C5F34"/>
    <w:rsid w:val="000C6302"/>
    <w:rsid w:val="000D2B63"/>
    <w:rsid w:val="000D311F"/>
    <w:rsid w:val="000D5E3F"/>
    <w:rsid w:val="000E1E26"/>
    <w:rsid w:val="000E235E"/>
    <w:rsid w:val="000E4EEC"/>
    <w:rsid w:val="000E7680"/>
    <w:rsid w:val="000F059F"/>
    <w:rsid w:val="000F2618"/>
    <w:rsid w:val="000F3169"/>
    <w:rsid w:val="000F4F9C"/>
    <w:rsid w:val="000F53FC"/>
    <w:rsid w:val="000F59FE"/>
    <w:rsid w:val="000F6B9E"/>
    <w:rsid w:val="0010109A"/>
    <w:rsid w:val="001011A1"/>
    <w:rsid w:val="00107068"/>
    <w:rsid w:val="00113698"/>
    <w:rsid w:val="00117809"/>
    <w:rsid w:val="00121585"/>
    <w:rsid w:val="00125CE8"/>
    <w:rsid w:val="0012669F"/>
    <w:rsid w:val="00132EFC"/>
    <w:rsid w:val="00134235"/>
    <w:rsid w:val="0013721D"/>
    <w:rsid w:val="0013768D"/>
    <w:rsid w:val="00137F23"/>
    <w:rsid w:val="001400B6"/>
    <w:rsid w:val="001402B1"/>
    <w:rsid w:val="00140D67"/>
    <w:rsid w:val="001425EB"/>
    <w:rsid w:val="0014296E"/>
    <w:rsid w:val="00143B85"/>
    <w:rsid w:val="00150566"/>
    <w:rsid w:val="001506E7"/>
    <w:rsid w:val="00152466"/>
    <w:rsid w:val="00152820"/>
    <w:rsid w:val="00157C95"/>
    <w:rsid w:val="00160E1A"/>
    <w:rsid w:val="00161065"/>
    <w:rsid w:val="00161672"/>
    <w:rsid w:val="00161BFE"/>
    <w:rsid w:val="0016232B"/>
    <w:rsid w:val="00163B21"/>
    <w:rsid w:val="00165FE5"/>
    <w:rsid w:val="00166C83"/>
    <w:rsid w:val="001670A4"/>
    <w:rsid w:val="0016791F"/>
    <w:rsid w:val="00171864"/>
    <w:rsid w:val="001720A7"/>
    <w:rsid w:val="001752AB"/>
    <w:rsid w:val="00176537"/>
    <w:rsid w:val="00177FC3"/>
    <w:rsid w:val="0018257A"/>
    <w:rsid w:val="001839EE"/>
    <w:rsid w:val="001851B2"/>
    <w:rsid w:val="0018609A"/>
    <w:rsid w:val="00191D9D"/>
    <w:rsid w:val="00193DFF"/>
    <w:rsid w:val="00194E99"/>
    <w:rsid w:val="00196FFE"/>
    <w:rsid w:val="0019777A"/>
    <w:rsid w:val="001A0DFA"/>
    <w:rsid w:val="001A10C1"/>
    <w:rsid w:val="001A1EC5"/>
    <w:rsid w:val="001A7E4B"/>
    <w:rsid w:val="001B057F"/>
    <w:rsid w:val="001B076B"/>
    <w:rsid w:val="001B14B2"/>
    <w:rsid w:val="001B1AEB"/>
    <w:rsid w:val="001B2710"/>
    <w:rsid w:val="001B2AFB"/>
    <w:rsid w:val="001B3141"/>
    <w:rsid w:val="001B372D"/>
    <w:rsid w:val="001C16CB"/>
    <w:rsid w:val="001C31C7"/>
    <w:rsid w:val="001C5FE4"/>
    <w:rsid w:val="001C667B"/>
    <w:rsid w:val="001C6E26"/>
    <w:rsid w:val="001D04D1"/>
    <w:rsid w:val="001D318E"/>
    <w:rsid w:val="001D3D75"/>
    <w:rsid w:val="001D7C60"/>
    <w:rsid w:val="001E2115"/>
    <w:rsid w:val="001E3B5E"/>
    <w:rsid w:val="001E5344"/>
    <w:rsid w:val="001F0D6A"/>
    <w:rsid w:val="001F19BA"/>
    <w:rsid w:val="001F1E94"/>
    <w:rsid w:val="001F2035"/>
    <w:rsid w:val="001F2907"/>
    <w:rsid w:val="001F32D4"/>
    <w:rsid w:val="001F33A9"/>
    <w:rsid w:val="001F482B"/>
    <w:rsid w:val="002006B8"/>
    <w:rsid w:val="00201EF3"/>
    <w:rsid w:val="00204A3C"/>
    <w:rsid w:val="002055B4"/>
    <w:rsid w:val="002057FF"/>
    <w:rsid w:val="0020643A"/>
    <w:rsid w:val="002071DC"/>
    <w:rsid w:val="002103CC"/>
    <w:rsid w:val="00212676"/>
    <w:rsid w:val="00214E4B"/>
    <w:rsid w:val="0021584B"/>
    <w:rsid w:val="0022214A"/>
    <w:rsid w:val="00223F9F"/>
    <w:rsid w:val="002244AB"/>
    <w:rsid w:val="00225747"/>
    <w:rsid w:val="0022575A"/>
    <w:rsid w:val="00226CEA"/>
    <w:rsid w:val="00226EA2"/>
    <w:rsid w:val="00227944"/>
    <w:rsid w:val="00230633"/>
    <w:rsid w:val="002332E8"/>
    <w:rsid w:val="00235889"/>
    <w:rsid w:val="00236385"/>
    <w:rsid w:val="00241582"/>
    <w:rsid w:val="00242248"/>
    <w:rsid w:val="0024262B"/>
    <w:rsid w:val="0024310D"/>
    <w:rsid w:val="00244551"/>
    <w:rsid w:val="002456E7"/>
    <w:rsid w:val="00253488"/>
    <w:rsid w:val="00253716"/>
    <w:rsid w:val="002537F8"/>
    <w:rsid w:val="00254837"/>
    <w:rsid w:val="00255CD2"/>
    <w:rsid w:val="00255E5F"/>
    <w:rsid w:val="00260117"/>
    <w:rsid w:val="0026153E"/>
    <w:rsid w:val="00266A6D"/>
    <w:rsid w:val="00266BEC"/>
    <w:rsid w:val="002739B6"/>
    <w:rsid w:val="00275729"/>
    <w:rsid w:val="00275F80"/>
    <w:rsid w:val="00276B4C"/>
    <w:rsid w:val="00280ED1"/>
    <w:rsid w:val="0028150B"/>
    <w:rsid w:val="00281CAF"/>
    <w:rsid w:val="0028205C"/>
    <w:rsid w:val="0028213A"/>
    <w:rsid w:val="00282A24"/>
    <w:rsid w:val="002875BD"/>
    <w:rsid w:val="00287E63"/>
    <w:rsid w:val="00290790"/>
    <w:rsid w:val="00291F62"/>
    <w:rsid w:val="00294ADD"/>
    <w:rsid w:val="00294CE4"/>
    <w:rsid w:val="002958B1"/>
    <w:rsid w:val="002A01A8"/>
    <w:rsid w:val="002A0751"/>
    <w:rsid w:val="002A07A3"/>
    <w:rsid w:val="002A1B91"/>
    <w:rsid w:val="002A7386"/>
    <w:rsid w:val="002A7EA6"/>
    <w:rsid w:val="002B02C4"/>
    <w:rsid w:val="002B1111"/>
    <w:rsid w:val="002B12B6"/>
    <w:rsid w:val="002B4FB4"/>
    <w:rsid w:val="002B60FE"/>
    <w:rsid w:val="002B6848"/>
    <w:rsid w:val="002B7C93"/>
    <w:rsid w:val="002C13FF"/>
    <w:rsid w:val="002C2E1A"/>
    <w:rsid w:val="002C39E2"/>
    <w:rsid w:val="002C6144"/>
    <w:rsid w:val="002D259F"/>
    <w:rsid w:val="002D5D9A"/>
    <w:rsid w:val="002E1796"/>
    <w:rsid w:val="002E1D16"/>
    <w:rsid w:val="002F1B1F"/>
    <w:rsid w:val="002F26E0"/>
    <w:rsid w:val="002F4CD3"/>
    <w:rsid w:val="002F735F"/>
    <w:rsid w:val="002F7C78"/>
    <w:rsid w:val="003009A2"/>
    <w:rsid w:val="00300B20"/>
    <w:rsid w:val="003013C4"/>
    <w:rsid w:val="003031DC"/>
    <w:rsid w:val="0030509D"/>
    <w:rsid w:val="00306630"/>
    <w:rsid w:val="003116F5"/>
    <w:rsid w:val="0031182A"/>
    <w:rsid w:val="003121B9"/>
    <w:rsid w:val="00313097"/>
    <w:rsid w:val="003202E1"/>
    <w:rsid w:val="00321A7B"/>
    <w:rsid w:val="00324E5E"/>
    <w:rsid w:val="00327749"/>
    <w:rsid w:val="003279EE"/>
    <w:rsid w:val="00330944"/>
    <w:rsid w:val="00330AC2"/>
    <w:rsid w:val="003311DA"/>
    <w:rsid w:val="00332729"/>
    <w:rsid w:val="00332808"/>
    <w:rsid w:val="00334855"/>
    <w:rsid w:val="00337264"/>
    <w:rsid w:val="00340588"/>
    <w:rsid w:val="00340BAC"/>
    <w:rsid w:val="00343175"/>
    <w:rsid w:val="00343CDD"/>
    <w:rsid w:val="00346283"/>
    <w:rsid w:val="0034648A"/>
    <w:rsid w:val="003520C8"/>
    <w:rsid w:val="00355E45"/>
    <w:rsid w:val="0035659B"/>
    <w:rsid w:val="0035660E"/>
    <w:rsid w:val="00360F97"/>
    <w:rsid w:val="00363E36"/>
    <w:rsid w:val="00371089"/>
    <w:rsid w:val="00371B7D"/>
    <w:rsid w:val="00372808"/>
    <w:rsid w:val="003731F7"/>
    <w:rsid w:val="003737F3"/>
    <w:rsid w:val="00373F36"/>
    <w:rsid w:val="0037659D"/>
    <w:rsid w:val="00376B4E"/>
    <w:rsid w:val="003774CF"/>
    <w:rsid w:val="00384C7B"/>
    <w:rsid w:val="00384FC1"/>
    <w:rsid w:val="00392029"/>
    <w:rsid w:val="003A228D"/>
    <w:rsid w:val="003A2720"/>
    <w:rsid w:val="003A2A96"/>
    <w:rsid w:val="003A3245"/>
    <w:rsid w:val="003A455F"/>
    <w:rsid w:val="003A5E6D"/>
    <w:rsid w:val="003A73CF"/>
    <w:rsid w:val="003B2653"/>
    <w:rsid w:val="003C0E71"/>
    <w:rsid w:val="003C10B9"/>
    <w:rsid w:val="003C1966"/>
    <w:rsid w:val="003C30C9"/>
    <w:rsid w:val="003C342B"/>
    <w:rsid w:val="003C36D3"/>
    <w:rsid w:val="003C3F0A"/>
    <w:rsid w:val="003C425A"/>
    <w:rsid w:val="003C42C0"/>
    <w:rsid w:val="003C4B75"/>
    <w:rsid w:val="003C7A93"/>
    <w:rsid w:val="003D12BE"/>
    <w:rsid w:val="003D2885"/>
    <w:rsid w:val="003D34FD"/>
    <w:rsid w:val="003D3ADE"/>
    <w:rsid w:val="003D4B25"/>
    <w:rsid w:val="003D6A06"/>
    <w:rsid w:val="003E075C"/>
    <w:rsid w:val="003E37F9"/>
    <w:rsid w:val="003E64B9"/>
    <w:rsid w:val="003E6F75"/>
    <w:rsid w:val="003F0B1C"/>
    <w:rsid w:val="003F45B8"/>
    <w:rsid w:val="003F4E9A"/>
    <w:rsid w:val="004030D7"/>
    <w:rsid w:val="00404F50"/>
    <w:rsid w:val="0040625C"/>
    <w:rsid w:val="00406A6B"/>
    <w:rsid w:val="00406B46"/>
    <w:rsid w:val="00410158"/>
    <w:rsid w:val="0041268D"/>
    <w:rsid w:val="00413CC0"/>
    <w:rsid w:val="00415041"/>
    <w:rsid w:val="00415418"/>
    <w:rsid w:val="00415D7B"/>
    <w:rsid w:val="00416769"/>
    <w:rsid w:val="00416877"/>
    <w:rsid w:val="00416E2A"/>
    <w:rsid w:val="00416E5C"/>
    <w:rsid w:val="004173E6"/>
    <w:rsid w:val="0042195E"/>
    <w:rsid w:val="00423FB7"/>
    <w:rsid w:val="00433D84"/>
    <w:rsid w:val="00434787"/>
    <w:rsid w:val="00435982"/>
    <w:rsid w:val="00436FCC"/>
    <w:rsid w:val="004375BF"/>
    <w:rsid w:val="00437919"/>
    <w:rsid w:val="00440F59"/>
    <w:rsid w:val="004418D5"/>
    <w:rsid w:val="004445D7"/>
    <w:rsid w:val="00450FE8"/>
    <w:rsid w:val="00451105"/>
    <w:rsid w:val="00451B02"/>
    <w:rsid w:val="004538D0"/>
    <w:rsid w:val="004543F1"/>
    <w:rsid w:val="0045445E"/>
    <w:rsid w:val="00460B92"/>
    <w:rsid w:val="00462A16"/>
    <w:rsid w:val="00462D7F"/>
    <w:rsid w:val="00464AA9"/>
    <w:rsid w:val="00466410"/>
    <w:rsid w:val="00470632"/>
    <w:rsid w:val="00472835"/>
    <w:rsid w:val="00473EDC"/>
    <w:rsid w:val="00474BB9"/>
    <w:rsid w:val="00482CFC"/>
    <w:rsid w:val="004836A2"/>
    <w:rsid w:val="00483E24"/>
    <w:rsid w:val="004862E4"/>
    <w:rsid w:val="004873B8"/>
    <w:rsid w:val="004927DC"/>
    <w:rsid w:val="004948D1"/>
    <w:rsid w:val="004957C8"/>
    <w:rsid w:val="00495D6A"/>
    <w:rsid w:val="004A002C"/>
    <w:rsid w:val="004A09F6"/>
    <w:rsid w:val="004A1522"/>
    <w:rsid w:val="004A319A"/>
    <w:rsid w:val="004A31EF"/>
    <w:rsid w:val="004A6346"/>
    <w:rsid w:val="004A6E72"/>
    <w:rsid w:val="004B3285"/>
    <w:rsid w:val="004B3570"/>
    <w:rsid w:val="004B35FF"/>
    <w:rsid w:val="004B5A77"/>
    <w:rsid w:val="004C135A"/>
    <w:rsid w:val="004C2BDB"/>
    <w:rsid w:val="004C3EDE"/>
    <w:rsid w:val="004C53DB"/>
    <w:rsid w:val="004D03E0"/>
    <w:rsid w:val="004D1F0E"/>
    <w:rsid w:val="004D22FC"/>
    <w:rsid w:val="004D3744"/>
    <w:rsid w:val="004D7A89"/>
    <w:rsid w:val="004D7B84"/>
    <w:rsid w:val="004E04A9"/>
    <w:rsid w:val="004E077D"/>
    <w:rsid w:val="004E0CC0"/>
    <w:rsid w:val="004E248D"/>
    <w:rsid w:val="004E35AA"/>
    <w:rsid w:val="004E3900"/>
    <w:rsid w:val="004E7435"/>
    <w:rsid w:val="004F1E12"/>
    <w:rsid w:val="004F373C"/>
    <w:rsid w:val="004F4398"/>
    <w:rsid w:val="004F74E8"/>
    <w:rsid w:val="00500A85"/>
    <w:rsid w:val="0050266A"/>
    <w:rsid w:val="00502870"/>
    <w:rsid w:val="00507FDD"/>
    <w:rsid w:val="00510DB4"/>
    <w:rsid w:val="00511689"/>
    <w:rsid w:val="0051175B"/>
    <w:rsid w:val="00511C24"/>
    <w:rsid w:val="00511FB3"/>
    <w:rsid w:val="0051385E"/>
    <w:rsid w:val="00513975"/>
    <w:rsid w:val="00513EED"/>
    <w:rsid w:val="00515387"/>
    <w:rsid w:val="005208DC"/>
    <w:rsid w:val="00520E33"/>
    <w:rsid w:val="005210E2"/>
    <w:rsid w:val="00521F08"/>
    <w:rsid w:val="00522D72"/>
    <w:rsid w:val="0052428F"/>
    <w:rsid w:val="005248DA"/>
    <w:rsid w:val="0053002D"/>
    <w:rsid w:val="00531440"/>
    <w:rsid w:val="00532753"/>
    <w:rsid w:val="00540C1D"/>
    <w:rsid w:val="005413AD"/>
    <w:rsid w:val="00544AB2"/>
    <w:rsid w:val="005451E9"/>
    <w:rsid w:val="00545BB3"/>
    <w:rsid w:val="00545D48"/>
    <w:rsid w:val="005460C3"/>
    <w:rsid w:val="00546BAB"/>
    <w:rsid w:val="00546E76"/>
    <w:rsid w:val="0055461D"/>
    <w:rsid w:val="00554E1C"/>
    <w:rsid w:val="00556AE1"/>
    <w:rsid w:val="00561C93"/>
    <w:rsid w:val="00561E93"/>
    <w:rsid w:val="005632F6"/>
    <w:rsid w:val="00565399"/>
    <w:rsid w:val="005673B1"/>
    <w:rsid w:val="00571716"/>
    <w:rsid w:val="0057207E"/>
    <w:rsid w:val="00574027"/>
    <w:rsid w:val="005746FD"/>
    <w:rsid w:val="00581FD2"/>
    <w:rsid w:val="0058250F"/>
    <w:rsid w:val="00582D6C"/>
    <w:rsid w:val="00583006"/>
    <w:rsid w:val="0058731A"/>
    <w:rsid w:val="00590ACD"/>
    <w:rsid w:val="00592369"/>
    <w:rsid w:val="00595C69"/>
    <w:rsid w:val="00597B63"/>
    <w:rsid w:val="00597DB0"/>
    <w:rsid w:val="005A119F"/>
    <w:rsid w:val="005A1470"/>
    <w:rsid w:val="005A184F"/>
    <w:rsid w:val="005A2461"/>
    <w:rsid w:val="005A26A3"/>
    <w:rsid w:val="005A4B8B"/>
    <w:rsid w:val="005B12BA"/>
    <w:rsid w:val="005B17DB"/>
    <w:rsid w:val="005B262E"/>
    <w:rsid w:val="005C0B65"/>
    <w:rsid w:val="005C57D8"/>
    <w:rsid w:val="005C7622"/>
    <w:rsid w:val="005D1B10"/>
    <w:rsid w:val="005D5D1A"/>
    <w:rsid w:val="005D6E2B"/>
    <w:rsid w:val="005D70C8"/>
    <w:rsid w:val="005E232D"/>
    <w:rsid w:val="005E2411"/>
    <w:rsid w:val="005E2DF5"/>
    <w:rsid w:val="005E3BC9"/>
    <w:rsid w:val="005E42FA"/>
    <w:rsid w:val="005E785E"/>
    <w:rsid w:val="005E79BB"/>
    <w:rsid w:val="005E7BDA"/>
    <w:rsid w:val="005F0BE2"/>
    <w:rsid w:val="005F1726"/>
    <w:rsid w:val="005F22CC"/>
    <w:rsid w:val="005F272F"/>
    <w:rsid w:val="005F3F6F"/>
    <w:rsid w:val="005F4C1C"/>
    <w:rsid w:val="005F7AE9"/>
    <w:rsid w:val="00602E6B"/>
    <w:rsid w:val="00606368"/>
    <w:rsid w:val="00610BFE"/>
    <w:rsid w:val="006120F6"/>
    <w:rsid w:val="00612684"/>
    <w:rsid w:val="0061276A"/>
    <w:rsid w:val="00613317"/>
    <w:rsid w:val="00613BFE"/>
    <w:rsid w:val="0061633B"/>
    <w:rsid w:val="00620745"/>
    <w:rsid w:val="0062268F"/>
    <w:rsid w:val="0062331B"/>
    <w:rsid w:val="00624218"/>
    <w:rsid w:val="0062617C"/>
    <w:rsid w:val="0062655A"/>
    <w:rsid w:val="00630265"/>
    <w:rsid w:val="006302DC"/>
    <w:rsid w:val="00633F54"/>
    <w:rsid w:val="00634DE5"/>
    <w:rsid w:val="00636840"/>
    <w:rsid w:val="006369F1"/>
    <w:rsid w:val="00637B2B"/>
    <w:rsid w:val="006400DD"/>
    <w:rsid w:val="006419EB"/>
    <w:rsid w:val="00642F97"/>
    <w:rsid w:val="00645FF0"/>
    <w:rsid w:val="0064644C"/>
    <w:rsid w:val="00651069"/>
    <w:rsid w:val="00653AC1"/>
    <w:rsid w:val="006557C0"/>
    <w:rsid w:val="0066009D"/>
    <w:rsid w:val="00660F3F"/>
    <w:rsid w:val="00661DE9"/>
    <w:rsid w:val="00662F59"/>
    <w:rsid w:val="00667004"/>
    <w:rsid w:val="00673C82"/>
    <w:rsid w:val="006743E5"/>
    <w:rsid w:val="00681B66"/>
    <w:rsid w:val="0068242C"/>
    <w:rsid w:val="006843EA"/>
    <w:rsid w:val="00686B73"/>
    <w:rsid w:val="0068765F"/>
    <w:rsid w:val="00687D31"/>
    <w:rsid w:val="00690B77"/>
    <w:rsid w:val="00690B7F"/>
    <w:rsid w:val="00693DB1"/>
    <w:rsid w:val="00694F84"/>
    <w:rsid w:val="006A0EFF"/>
    <w:rsid w:val="006A2B57"/>
    <w:rsid w:val="006A2B9B"/>
    <w:rsid w:val="006A2C7D"/>
    <w:rsid w:val="006A6576"/>
    <w:rsid w:val="006A714C"/>
    <w:rsid w:val="006B4086"/>
    <w:rsid w:val="006B41EE"/>
    <w:rsid w:val="006B5CE9"/>
    <w:rsid w:val="006C32FF"/>
    <w:rsid w:val="006C3E4A"/>
    <w:rsid w:val="006C69F3"/>
    <w:rsid w:val="006C72EF"/>
    <w:rsid w:val="006C7813"/>
    <w:rsid w:val="006D00A5"/>
    <w:rsid w:val="006D0ABC"/>
    <w:rsid w:val="006D0D9D"/>
    <w:rsid w:val="006D2A61"/>
    <w:rsid w:val="006D3DF1"/>
    <w:rsid w:val="006D3E76"/>
    <w:rsid w:val="006D42F8"/>
    <w:rsid w:val="006D48E6"/>
    <w:rsid w:val="006D6740"/>
    <w:rsid w:val="006D7D91"/>
    <w:rsid w:val="006E0172"/>
    <w:rsid w:val="006E2147"/>
    <w:rsid w:val="006E236B"/>
    <w:rsid w:val="006E2FFA"/>
    <w:rsid w:val="006E3D65"/>
    <w:rsid w:val="006E6FA9"/>
    <w:rsid w:val="006F19E0"/>
    <w:rsid w:val="006F2CCE"/>
    <w:rsid w:val="006F46AE"/>
    <w:rsid w:val="006F5300"/>
    <w:rsid w:val="006F595D"/>
    <w:rsid w:val="006F76FA"/>
    <w:rsid w:val="007012EE"/>
    <w:rsid w:val="007019CB"/>
    <w:rsid w:val="007022EC"/>
    <w:rsid w:val="0070305B"/>
    <w:rsid w:val="007036BC"/>
    <w:rsid w:val="007038FB"/>
    <w:rsid w:val="00704E2D"/>
    <w:rsid w:val="00705D5B"/>
    <w:rsid w:val="007069FD"/>
    <w:rsid w:val="00712AC8"/>
    <w:rsid w:val="00714B44"/>
    <w:rsid w:val="007151CA"/>
    <w:rsid w:val="00716334"/>
    <w:rsid w:val="00717408"/>
    <w:rsid w:val="00717965"/>
    <w:rsid w:val="00717AF4"/>
    <w:rsid w:val="00721DDD"/>
    <w:rsid w:val="00724B7B"/>
    <w:rsid w:val="00730092"/>
    <w:rsid w:val="00730445"/>
    <w:rsid w:val="0073161A"/>
    <w:rsid w:val="00733B5F"/>
    <w:rsid w:val="007356FB"/>
    <w:rsid w:val="00736546"/>
    <w:rsid w:val="007369A6"/>
    <w:rsid w:val="00737044"/>
    <w:rsid w:val="00737F80"/>
    <w:rsid w:val="00740DBB"/>
    <w:rsid w:val="00741BCD"/>
    <w:rsid w:val="00742A7A"/>
    <w:rsid w:val="00746878"/>
    <w:rsid w:val="00747605"/>
    <w:rsid w:val="00750365"/>
    <w:rsid w:val="00750465"/>
    <w:rsid w:val="00752709"/>
    <w:rsid w:val="00752FF4"/>
    <w:rsid w:val="0075331C"/>
    <w:rsid w:val="00754C8D"/>
    <w:rsid w:val="007552E9"/>
    <w:rsid w:val="00755CB4"/>
    <w:rsid w:val="007571FD"/>
    <w:rsid w:val="00760AB4"/>
    <w:rsid w:val="00760F29"/>
    <w:rsid w:val="007624FE"/>
    <w:rsid w:val="00763C20"/>
    <w:rsid w:val="00764A83"/>
    <w:rsid w:val="0076675C"/>
    <w:rsid w:val="00770C3A"/>
    <w:rsid w:val="00771004"/>
    <w:rsid w:val="00771400"/>
    <w:rsid w:val="00772B95"/>
    <w:rsid w:val="0077369A"/>
    <w:rsid w:val="00780DFC"/>
    <w:rsid w:val="007813C7"/>
    <w:rsid w:val="00781920"/>
    <w:rsid w:val="00783025"/>
    <w:rsid w:val="00783CFE"/>
    <w:rsid w:val="0078582D"/>
    <w:rsid w:val="00787CA8"/>
    <w:rsid w:val="00792D74"/>
    <w:rsid w:val="007935C2"/>
    <w:rsid w:val="007941A9"/>
    <w:rsid w:val="00794369"/>
    <w:rsid w:val="00795DAB"/>
    <w:rsid w:val="00796779"/>
    <w:rsid w:val="007A06F5"/>
    <w:rsid w:val="007A1141"/>
    <w:rsid w:val="007A1696"/>
    <w:rsid w:val="007A4E42"/>
    <w:rsid w:val="007A5031"/>
    <w:rsid w:val="007A540E"/>
    <w:rsid w:val="007A5FA8"/>
    <w:rsid w:val="007A7387"/>
    <w:rsid w:val="007B0719"/>
    <w:rsid w:val="007B0788"/>
    <w:rsid w:val="007B18E5"/>
    <w:rsid w:val="007B30CC"/>
    <w:rsid w:val="007B3828"/>
    <w:rsid w:val="007B3E28"/>
    <w:rsid w:val="007B6546"/>
    <w:rsid w:val="007C009D"/>
    <w:rsid w:val="007C08DC"/>
    <w:rsid w:val="007C14A3"/>
    <w:rsid w:val="007C1AC1"/>
    <w:rsid w:val="007C1E4D"/>
    <w:rsid w:val="007C2016"/>
    <w:rsid w:val="007C4159"/>
    <w:rsid w:val="007C61DB"/>
    <w:rsid w:val="007C654B"/>
    <w:rsid w:val="007D0BC0"/>
    <w:rsid w:val="007D15C1"/>
    <w:rsid w:val="007D20E6"/>
    <w:rsid w:val="007D5A7A"/>
    <w:rsid w:val="007D6912"/>
    <w:rsid w:val="007E223C"/>
    <w:rsid w:val="007E2D47"/>
    <w:rsid w:val="007E349C"/>
    <w:rsid w:val="007E440B"/>
    <w:rsid w:val="007E657B"/>
    <w:rsid w:val="007F1D3F"/>
    <w:rsid w:val="007F2FED"/>
    <w:rsid w:val="007F3611"/>
    <w:rsid w:val="007F3AC6"/>
    <w:rsid w:val="007F43A0"/>
    <w:rsid w:val="007F5C09"/>
    <w:rsid w:val="008020C1"/>
    <w:rsid w:val="008022AB"/>
    <w:rsid w:val="008032FE"/>
    <w:rsid w:val="008041C3"/>
    <w:rsid w:val="00805D2A"/>
    <w:rsid w:val="008110FA"/>
    <w:rsid w:val="00813843"/>
    <w:rsid w:val="00814BE1"/>
    <w:rsid w:val="00814E2C"/>
    <w:rsid w:val="00815A9A"/>
    <w:rsid w:val="00817224"/>
    <w:rsid w:val="00820224"/>
    <w:rsid w:val="00820E35"/>
    <w:rsid w:val="008211FF"/>
    <w:rsid w:val="00821807"/>
    <w:rsid w:val="00822CBF"/>
    <w:rsid w:val="00822F3B"/>
    <w:rsid w:val="0083094E"/>
    <w:rsid w:val="008309AD"/>
    <w:rsid w:val="008322A2"/>
    <w:rsid w:val="008326C4"/>
    <w:rsid w:val="00832D63"/>
    <w:rsid w:val="00832DC8"/>
    <w:rsid w:val="0083354F"/>
    <w:rsid w:val="0083778C"/>
    <w:rsid w:val="0084091E"/>
    <w:rsid w:val="00842BB8"/>
    <w:rsid w:val="008446FD"/>
    <w:rsid w:val="00844E80"/>
    <w:rsid w:val="00850D23"/>
    <w:rsid w:val="0085283D"/>
    <w:rsid w:val="008547EC"/>
    <w:rsid w:val="00854DD7"/>
    <w:rsid w:val="0085649E"/>
    <w:rsid w:val="00862495"/>
    <w:rsid w:val="00862DAD"/>
    <w:rsid w:val="00862FFE"/>
    <w:rsid w:val="00863850"/>
    <w:rsid w:val="00864A4B"/>
    <w:rsid w:val="00867C65"/>
    <w:rsid w:val="008704E7"/>
    <w:rsid w:val="00871A96"/>
    <w:rsid w:val="00871C3F"/>
    <w:rsid w:val="008720A0"/>
    <w:rsid w:val="008737E6"/>
    <w:rsid w:val="00874382"/>
    <w:rsid w:val="0087464E"/>
    <w:rsid w:val="008779EF"/>
    <w:rsid w:val="00877BBD"/>
    <w:rsid w:val="00880A9D"/>
    <w:rsid w:val="008830EF"/>
    <w:rsid w:val="0088320F"/>
    <w:rsid w:val="0088465C"/>
    <w:rsid w:val="00885C2F"/>
    <w:rsid w:val="00887C1B"/>
    <w:rsid w:val="00890FC5"/>
    <w:rsid w:val="00891C27"/>
    <w:rsid w:val="00893123"/>
    <w:rsid w:val="00896F36"/>
    <w:rsid w:val="008970FB"/>
    <w:rsid w:val="008A0523"/>
    <w:rsid w:val="008A3CB6"/>
    <w:rsid w:val="008A4564"/>
    <w:rsid w:val="008A4DCF"/>
    <w:rsid w:val="008A5FA7"/>
    <w:rsid w:val="008A65DF"/>
    <w:rsid w:val="008A67F0"/>
    <w:rsid w:val="008A6C46"/>
    <w:rsid w:val="008B0F6C"/>
    <w:rsid w:val="008B1994"/>
    <w:rsid w:val="008B2844"/>
    <w:rsid w:val="008B52EE"/>
    <w:rsid w:val="008B7AA1"/>
    <w:rsid w:val="008C4351"/>
    <w:rsid w:val="008C5C1B"/>
    <w:rsid w:val="008C7DBC"/>
    <w:rsid w:val="008D0C4B"/>
    <w:rsid w:val="008D1654"/>
    <w:rsid w:val="008D4536"/>
    <w:rsid w:val="008D5198"/>
    <w:rsid w:val="008E0BFF"/>
    <w:rsid w:val="008E6C87"/>
    <w:rsid w:val="008F2E5A"/>
    <w:rsid w:val="008F3069"/>
    <w:rsid w:val="008F59F4"/>
    <w:rsid w:val="008F5A30"/>
    <w:rsid w:val="008F7F18"/>
    <w:rsid w:val="00901873"/>
    <w:rsid w:val="00901DE5"/>
    <w:rsid w:val="009023A0"/>
    <w:rsid w:val="0090274C"/>
    <w:rsid w:val="0090456D"/>
    <w:rsid w:val="009122A9"/>
    <w:rsid w:val="00912D5B"/>
    <w:rsid w:val="00912E7A"/>
    <w:rsid w:val="00913246"/>
    <w:rsid w:val="009171D3"/>
    <w:rsid w:val="009176CE"/>
    <w:rsid w:val="009201AB"/>
    <w:rsid w:val="0092071D"/>
    <w:rsid w:val="009218FB"/>
    <w:rsid w:val="00922AEF"/>
    <w:rsid w:val="00924F19"/>
    <w:rsid w:val="00930F93"/>
    <w:rsid w:val="00931FF8"/>
    <w:rsid w:val="00932AAB"/>
    <w:rsid w:val="00935F35"/>
    <w:rsid w:val="00941F41"/>
    <w:rsid w:val="00942642"/>
    <w:rsid w:val="009434C0"/>
    <w:rsid w:val="0094551F"/>
    <w:rsid w:val="0094572E"/>
    <w:rsid w:val="00946A31"/>
    <w:rsid w:val="00946AE1"/>
    <w:rsid w:val="009506BC"/>
    <w:rsid w:val="00951F00"/>
    <w:rsid w:val="00956C19"/>
    <w:rsid w:val="0095753F"/>
    <w:rsid w:val="009575B0"/>
    <w:rsid w:val="0096175A"/>
    <w:rsid w:val="00963EFA"/>
    <w:rsid w:val="009659DB"/>
    <w:rsid w:val="009717A2"/>
    <w:rsid w:val="00971BE7"/>
    <w:rsid w:val="00977238"/>
    <w:rsid w:val="009811F1"/>
    <w:rsid w:val="00982A6A"/>
    <w:rsid w:val="009849D3"/>
    <w:rsid w:val="009855D0"/>
    <w:rsid w:val="009863B3"/>
    <w:rsid w:val="009865D2"/>
    <w:rsid w:val="00992935"/>
    <w:rsid w:val="0099540D"/>
    <w:rsid w:val="00995B3F"/>
    <w:rsid w:val="009962C4"/>
    <w:rsid w:val="009964B5"/>
    <w:rsid w:val="009A03C3"/>
    <w:rsid w:val="009A47E3"/>
    <w:rsid w:val="009A5883"/>
    <w:rsid w:val="009A7189"/>
    <w:rsid w:val="009B00D4"/>
    <w:rsid w:val="009B11B2"/>
    <w:rsid w:val="009B1561"/>
    <w:rsid w:val="009B4F3E"/>
    <w:rsid w:val="009B651B"/>
    <w:rsid w:val="009B77B5"/>
    <w:rsid w:val="009B7A43"/>
    <w:rsid w:val="009B7C35"/>
    <w:rsid w:val="009B7C82"/>
    <w:rsid w:val="009C00A0"/>
    <w:rsid w:val="009C0D7D"/>
    <w:rsid w:val="009C3340"/>
    <w:rsid w:val="009C6587"/>
    <w:rsid w:val="009D236D"/>
    <w:rsid w:val="009D25C9"/>
    <w:rsid w:val="009D36CA"/>
    <w:rsid w:val="009D45A5"/>
    <w:rsid w:val="009D6B3E"/>
    <w:rsid w:val="009D72CC"/>
    <w:rsid w:val="009D759F"/>
    <w:rsid w:val="009D7CDD"/>
    <w:rsid w:val="009E1F11"/>
    <w:rsid w:val="009E1F6D"/>
    <w:rsid w:val="009E245E"/>
    <w:rsid w:val="009E42E4"/>
    <w:rsid w:val="009F0AA7"/>
    <w:rsid w:val="009F10BE"/>
    <w:rsid w:val="009F184B"/>
    <w:rsid w:val="009F3091"/>
    <w:rsid w:val="009F4551"/>
    <w:rsid w:val="009F4D06"/>
    <w:rsid w:val="009F50F7"/>
    <w:rsid w:val="009F5734"/>
    <w:rsid w:val="009F5B65"/>
    <w:rsid w:val="00A00A08"/>
    <w:rsid w:val="00A01B36"/>
    <w:rsid w:val="00A01D81"/>
    <w:rsid w:val="00A02964"/>
    <w:rsid w:val="00A049EC"/>
    <w:rsid w:val="00A0580B"/>
    <w:rsid w:val="00A078DD"/>
    <w:rsid w:val="00A108A6"/>
    <w:rsid w:val="00A11CCB"/>
    <w:rsid w:val="00A15ED1"/>
    <w:rsid w:val="00A15F5F"/>
    <w:rsid w:val="00A1665B"/>
    <w:rsid w:val="00A20B35"/>
    <w:rsid w:val="00A20B4C"/>
    <w:rsid w:val="00A21208"/>
    <w:rsid w:val="00A22FE0"/>
    <w:rsid w:val="00A23D70"/>
    <w:rsid w:val="00A23E8E"/>
    <w:rsid w:val="00A2507D"/>
    <w:rsid w:val="00A25245"/>
    <w:rsid w:val="00A2764D"/>
    <w:rsid w:val="00A27661"/>
    <w:rsid w:val="00A303CA"/>
    <w:rsid w:val="00A31103"/>
    <w:rsid w:val="00A322EE"/>
    <w:rsid w:val="00A32F10"/>
    <w:rsid w:val="00A357BD"/>
    <w:rsid w:val="00A40B8F"/>
    <w:rsid w:val="00A411C6"/>
    <w:rsid w:val="00A415D7"/>
    <w:rsid w:val="00A42639"/>
    <w:rsid w:val="00A43C52"/>
    <w:rsid w:val="00A43F4F"/>
    <w:rsid w:val="00A44D2E"/>
    <w:rsid w:val="00A44E8B"/>
    <w:rsid w:val="00A45838"/>
    <w:rsid w:val="00A46375"/>
    <w:rsid w:val="00A53539"/>
    <w:rsid w:val="00A5364D"/>
    <w:rsid w:val="00A55BFD"/>
    <w:rsid w:val="00A57ACB"/>
    <w:rsid w:val="00A61F6F"/>
    <w:rsid w:val="00A62151"/>
    <w:rsid w:val="00A62449"/>
    <w:rsid w:val="00A63120"/>
    <w:rsid w:val="00A65C57"/>
    <w:rsid w:val="00A7056D"/>
    <w:rsid w:val="00A72105"/>
    <w:rsid w:val="00A74091"/>
    <w:rsid w:val="00A74149"/>
    <w:rsid w:val="00A76E7E"/>
    <w:rsid w:val="00A8052D"/>
    <w:rsid w:val="00A80B1B"/>
    <w:rsid w:val="00A82162"/>
    <w:rsid w:val="00A83142"/>
    <w:rsid w:val="00A83A4A"/>
    <w:rsid w:val="00A84ADA"/>
    <w:rsid w:val="00A85FC4"/>
    <w:rsid w:val="00A91B52"/>
    <w:rsid w:val="00A91F89"/>
    <w:rsid w:val="00A93199"/>
    <w:rsid w:val="00A931D8"/>
    <w:rsid w:val="00A94D28"/>
    <w:rsid w:val="00A951F7"/>
    <w:rsid w:val="00A96196"/>
    <w:rsid w:val="00AA2128"/>
    <w:rsid w:val="00AA2CF1"/>
    <w:rsid w:val="00AA3D2B"/>
    <w:rsid w:val="00AA4176"/>
    <w:rsid w:val="00AA5754"/>
    <w:rsid w:val="00AB0376"/>
    <w:rsid w:val="00AB053B"/>
    <w:rsid w:val="00AB1E7F"/>
    <w:rsid w:val="00AB6AAE"/>
    <w:rsid w:val="00AC4652"/>
    <w:rsid w:val="00AC4EEC"/>
    <w:rsid w:val="00AC54EC"/>
    <w:rsid w:val="00AC695F"/>
    <w:rsid w:val="00AC7597"/>
    <w:rsid w:val="00AD08C3"/>
    <w:rsid w:val="00AD1B51"/>
    <w:rsid w:val="00AD65CD"/>
    <w:rsid w:val="00AD759B"/>
    <w:rsid w:val="00AE0560"/>
    <w:rsid w:val="00AE20E1"/>
    <w:rsid w:val="00AE2401"/>
    <w:rsid w:val="00AE29E3"/>
    <w:rsid w:val="00AE345F"/>
    <w:rsid w:val="00AE489D"/>
    <w:rsid w:val="00AE499D"/>
    <w:rsid w:val="00AE4C78"/>
    <w:rsid w:val="00AE6CDB"/>
    <w:rsid w:val="00AF08F2"/>
    <w:rsid w:val="00AF2453"/>
    <w:rsid w:val="00AF56C8"/>
    <w:rsid w:val="00AF5FCC"/>
    <w:rsid w:val="00AF7049"/>
    <w:rsid w:val="00AF70F5"/>
    <w:rsid w:val="00AF779F"/>
    <w:rsid w:val="00B02AA4"/>
    <w:rsid w:val="00B039C9"/>
    <w:rsid w:val="00B069A8"/>
    <w:rsid w:val="00B06D6A"/>
    <w:rsid w:val="00B10545"/>
    <w:rsid w:val="00B10823"/>
    <w:rsid w:val="00B13745"/>
    <w:rsid w:val="00B147C3"/>
    <w:rsid w:val="00B149EE"/>
    <w:rsid w:val="00B15BE7"/>
    <w:rsid w:val="00B2045C"/>
    <w:rsid w:val="00B21C0B"/>
    <w:rsid w:val="00B226E9"/>
    <w:rsid w:val="00B22F61"/>
    <w:rsid w:val="00B23245"/>
    <w:rsid w:val="00B24B26"/>
    <w:rsid w:val="00B27ABA"/>
    <w:rsid w:val="00B27FB1"/>
    <w:rsid w:val="00B333A5"/>
    <w:rsid w:val="00B336E7"/>
    <w:rsid w:val="00B33910"/>
    <w:rsid w:val="00B3466F"/>
    <w:rsid w:val="00B36188"/>
    <w:rsid w:val="00B37C3E"/>
    <w:rsid w:val="00B41804"/>
    <w:rsid w:val="00B427B0"/>
    <w:rsid w:val="00B43DC0"/>
    <w:rsid w:val="00B47D86"/>
    <w:rsid w:val="00B504A2"/>
    <w:rsid w:val="00B50B6C"/>
    <w:rsid w:val="00B51EB0"/>
    <w:rsid w:val="00B56E76"/>
    <w:rsid w:val="00B60A9A"/>
    <w:rsid w:val="00B64854"/>
    <w:rsid w:val="00B64D0F"/>
    <w:rsid w:val="00B65741"/>
    <w:rsid w:val="00B659E7"/>
    <w:rsid w:val="00B65C92"/>
    <w:rsid w:val="00B66F17"/>
    <w:rsid w:val="00B67AFB"/>
    <w:rsid w:val="00B7692D"/>
    <w:rsid w:val="00B77E3D"/>
    <w:rsid w:val="00B8012D"/>
    <w:rsid w:val="00B809D3"/>
    <w:rsid w:val="00B82060"/>
    <w:rsid w:val="00B83234"/>
    <w:rsid w:val="00B834EB"/>
    <w:rsid w:val="00B8470F"/>
    <w:rsid w:val="00B85035"/>
    <w:rsid w:val="00B85487"/>
    <w:rsid w:val="00B8609B"/>
    <w:rsid w:val="00B94A0E"/>
    <w:rsid w:val="00B952FD"/>
    <w:rsid w:val="00B95792"/>
    <w:rsid w:val="00B977F1"/>
    <w:rsid w:val="00BA02A2"/>
    <w:rsid w:val="00BA0E5D"/>
    <w:rsid w:val="00BA118B"/>
    <w:rsid w:val="00BA386B"/>
    <w:rsid w:val="00BA44E3"/>
    <w:rsid w:val="00BA586E"/>
    <w:rsid w:val="00BA5CB9"/>
    <w:rsid w:val="00BB1255"/>
    <w:rsid w:val="00BB1BD6"/>
    <w:rsid w:val="00BB1F3E"/>
    <w:rsid w:val="00BB1F87"/>
    <w:rsid w:val="00BB2DDA"/>
    <w:rsid w:val="00BB2F90"/>
    <w:rsid w:val="00BB4D43"/>
    <w:rsid w:val="00BB612A"/>
    <w:rsid w:val="00BB7BEE"/>
    <w:rsid w:val="00BC171F"/>
    <w:rsid w:val="00BC49F8"/>
    <w:rsid w:val="00BD0E50"/>
    <w:rsid w:val="00BD61B9"/>
    <w:rsid w:val="00BD61D4"/>
    <w:rsid w:val="00BD63BE"/>
    <w:rsid w:val="00BE046E"/>
    <w:rsid w:val="00BE119B"/>
    <w:rsid w:val="00BE222D"/>
    <w:rsid w:val="00BE4566"/>
    <w:rsid w:val="00BE4F39"/>
    <w:rsid w:val="00BE56CD"/>
    <w:rsid w:val="00BE6735"/>
    <w:rsid w:val="00BF0E50"/>
    <w:rsid w:val="00BF113A"/>
    <w:rsid w:val="00BF2F48"/>
    <w:rsid w:val="00BF3710"/>
    <w:rsid w:val="00BF3875"/>
    <w:rsid w:val="00BF5789"/>
    <w:rsid w:val="00BF65B4"/>
    <w:rsid w:val="00C002E8"/>
    <w:rsid w:val="00C01F21"/>
    <w:rsid w:val="00C022A5"/>
    <w:rsid w:val="00C02382"/>
    <w:rsid w:val="00C04D51"/>
    <w:rsid w:val="00C07ABD"/>
    <w:rsid w:val="00C1028F"/>
    <w:rsid w:val="00C111F4"/>
    <w:rsid w:val="00C1122D"/>
    <w:rsid w:val="00C12706"/>
    <w:rsid w:val="00C13089"/>
    <w:rsid w:val="00C13576"/>
    <w:rsid w:val="00C13CA9"/>
    <w:rsid w:val="00C13F89"/>
    <w:rsid w:val="00C14EBA"/>
    <w:rsid w:val="00C15E6D"/>
    <w:rsid w:val="00C160AA"/>
    <w:rsid w:val="00C169E8"/>
    <w:rsid w:val="00C22F17"/>
    <w:rsid w:val="00C2381B"/>
    <w:rsid w:val="00C27156"/>
    <w:rsid w:val="00C30610"/>
    <w:rsid w:val="00C318D0"/>
    <w:rsid w:val="00C32F81"/>
    <w:rsid w:val="00C33D50"/>
    <w:rsid w:val="00C348B0"/>
    <w:rsid w:val="00C34CD9"/>
    <w:rsid w:val="00C354F0"/>
    <w:rsid w:val="00C35958"/>
    <w:rsid w:val="00C40A48"/>
    <w:rsid w:val="00C40DB5"/>
    <w:rsid w:val="00C439EA"/>
    <w:rsid w:val="00C44676"/>
    <w:rsid w:val="00C446FE"/>
    <w:rsid w:val="00C456F8"/>
    <w:rsid w:val="00C45953"/>
    <w:rsid w:val="00C464F1"/>
    <w:rsid w:val="00C46BBC"/>
    <w:rsid w:val="00C5116F"/>
    <w:rsid w:val="00C52351"/>
    <w:rsid w:val="00C53546"/>
    <w:rsid w:val="00C5390E"/>
    <w:rsid w:val="00C55D07"/>
    <w:rsid w:val="00C55F0A"/>
    <w:rsid w:val="00C57413"/>
    <w:rsid w:val="00C57482"/>
    <w:rsid w:val="00C57DE0"/>
    <w:rsid w:val="00C6010B"/>
    <w:rsid w:val="00C60AE5"/>
    <w:rsid w:val="00C63A74"/>
    <w:rsid w:val="00C63C6E"/>
    <w:rsid w:val="00C6414B"/>
    <w:rsid w:val="00C64CCA"/>
    <w:rsid w:val="00C65283"/>
    <w:rsid w:val="00C65CB3"/>
    <w:rsid w:val="00C66E3F"/>
    <w:rsid w:val="00C70C8D"/>
    <w:rsid w:val="00C70FBC"/>
    <w:rsid w:val="00C71A75"/>
    <w:rsid w:val="00C727DE"/>
    <w:rsid w:val="00C82896"/>
    <w:rsid w:val="00C83A2A"/>
    <w:rsid w:val="00C8462A"/>
    <w:rsid w:val="00C846BC"/>
    <w:rsid w:val="00C855A6"/>
    <w:rsid w:val="00C9046E"/>
    <w:rsid w:val="00C90E4D"/>
    <w:rsid w:val="00C921CF"/>
    <w:rsid w:val="00C92454"/>
    <w:rsid w:val="00C926F6"/>
    <w:rsid w:val="00C94FAF"/>
    <w:rsid w:val="00C969C0"/>
    <w:rsid w:val="00CA0BFD"/>
    <w:rsid w:val="00CA28D8"/>
    <w:rsid w:val="00CA5128"/>
    <w:rsid w:val="00CA7831"/>
    <w:rsid w:val="00CB0AA8"/>
    <w:rsid w:val="00CB162B"/>
    <w:rsid w:val="00CB2E35"/>
    <w:rsid w:val="00CB345A"/>
    <w:rsid w:val="00CB4090"/>
    <w:rsid w:val="00CB4F1B"/>
    <w:rsid w:val="00CB7286"/>
    <w:rsid w:val="00CC4E88"/>
    <w:rsid w:val="00CC69C0"/>
    <w:rsid w:val="00CD3876"/>
    <w:rsid w:val="00CD512A"/>
    <w:rsid w:val="00CD5219"/>
    <w:rsid w:val="00CD5C8D"/>
    <w:rsid w:val="00CD61AE"/>
    <w:rsid w:val="00CD6413"/>
    <w:rsid w:val="00CD6783"/>
    <w:rsid w:val="00CD7CE4"/>
    <w:rsid w:val="00CE031D"/>
    <w:rsid w:val="00CE4905"/>
    <w:rsid w:val="00CE50FD"/>
    <w:rsid w:val="00CE5143"/>
    <w:rsid w:val="00CE6284"/>
    <w:rsid w:val="00CF1E6F"/>
    <w:rsid w:val="00CF2B51"/>
    <w:rsid w:val="00CF3C61"/>
    <w:rsid w:val="00CF4B9E"/>
    <w:rsid w:val="00CF4BF7"/>
    <w:rsid w:val="00CF5E7D"/>
    <w:rsid w:val="00CF726A"/>
    <w:rsid w:val="00D026DA"/>
    <w:rsid w:val="00D035CF"/>
    <w:rsid w:val="00D03A2D"/>
    <w:rsid w:val="00D0796E"/>
    <w:rsid w:val="00D14673"/>
    <w:rsid w:val="00D15940"/>
    <w:rsid w:val="00D172DC"/>
    <w:rsid w:val="00D21201"/>
    <w:rsid w:val="00D23E22"/>
    <w:rsid w:val="00D249AD"/>
    <w:rsid w:val="00D25134"/>
    <w:rsid w:val="00D25736"/>
    <w:rsid w:val="00D257DC"/>
    <w:rsid w:val="00D26347"/>
    <w:rsid w:val="00D30209"/>
    <w:rsid w:val="00D33189"/>
    <w:rsid w:val="00D345FC"/>
    <w:rsid w:val="00D349B8"/>
    <w:rsid w:val="00D357D6"/>
    <w:rsid w:val="00D36453"/>
    <w:rsid w:val="00D37B8A"/>
    <w:rsid w:val="00D427E0"/>
    <w:rsid w:val="00D47EAC"/>
    <w:rsid w:val="00D500FB"/>
    <w:rsid w:val="00D509E4"/>
    <w:rsid w:val="00D51118"/>
    <w:rsid w:val="00D51D1F"/>
    <w:rsid w:val="00D56A35"/>
    <w:rsid w:val="00D62CCE"/>
    <w:rsid w:val="00D63357"/>
    <w:rsid w:val="00D639E4"/>
    <w:rsid w:val="00D64E2A"/>
    <w:rsid w:val="00D65404"/>
    <w:rsid w:val="00D660CB"/>
    <w:rsid w:val="00D670CE"/>
    <w:rsid w:val="00D70C0B"/>
    <w:rsid w:val="00D718E5"/>
    <w:rsid w:val="00D72F9C"/>
    <w:rsid w:val="00D73F46"/>
    <w:rsid w:val="00D7452E"/>
    <w:rsid w:val="00D74E42"/>
    <w:rsid w:val="00D766EE"/>
    <w:rsid w:val="00D767FB"/>
    <w:rsid w:val="00D810AF"/>
    <w:rsid w:val="00D828D7"/>
    <w:rsid w:val="00D841B8"/>
    <w:rsid w:val="00D86BE3"/>
    <w:rsid w:val="00D86C1D"/>
    <w:rsid w:val="00D86E69"/>
    <w:rsid w:val="00D90ACE"/>
    <w:rsid w:val="00D918AD"/>
    <w:rsid w:val="00D92293"/>
    <w:rsid w:val="00D927A8"/>
    <w:rsid w:val="00D943EB"/>
    <w:rsid w:val="00D94C85"/>
    <w:rsid w:val="00D94CE7"/>
    <w:rsid w:val="00D94EBD"/>
    <w:rsid w:val="00D95022"/>
    <w:rsid w:val="00D96176"/>
    <w:rsid w:val="00D9694D"/>
    <w:rsid w:val="00D971C7"/>
    <w:rsid w:val="00DA02F2"/>
    <w:rsid w:val="00DA0F19"/>
    <w:rsid w:val="00DA2795"/>
    <w:rsid w:val="00DA2CE8"/>
    <w:rsid w:val="00DA6169"/>
    <w:rsid w:val="00DA7712"/>
    <w:rsid w:val="00DB175A"/>
    <w:rsid w:val="00DB3754"/>
    <w:rsid w:val="00DB521F"/>
    <w:rsid w:val="00DC0111"/>
    <w:rsid w:val="00DC1C96"/>
    <w:rsid w:val="00DC4B06"/>
    <w:rsid w:val="00DC6884"/>
    <w:rsid w:val="00DC69CD"/>
    <w:rsid w:val="00DD396E"/>
    <w:rsid w:val="00DD5122"/>
    <w:rsid w:val="00DD6648"/>
    <w:rsid w:val="00DD6B90"/>
    <w:rsid w:val="00DE30CF"/>
    <w:rsid w:val="00DE37D5"/>
    <w:rsid w:val="00DF1332"/>
    <w:rsid w:val="00DF1908"/>
    <w:rsid w:val="00DF225F"/>
    <w:rsid w:val="00E002DD"/>
    <w:rsid w:val="00E01B70"/>
    <w:rsid w:val="00E040F4"/>
    <w:rsid w:val="00E04572"/>
    <w:rsid w:val="00E10CB8"/>
    <w:rsid w:val="00E10E26"/>
    <w:rsid w:val="00E11030"/>
    <w:rsid w:val="00E11ECF"/>
    <w:rsid w:val="00E12A37"/>
    <w:rsid w:val="00E15AE8"/>
    <w:rsid w:val="00E15B1F"/>
    <w:rsid w:val="00E15E49"/>
    <w:rsid w:val="00E15E8F"/>
    <w:rsid w:val="00E1727E"/>
    <w:rsid w:val="00E25694"/>
    <w:rsid w:val="00E26063"/>
    <w:rsid w:val="00E30EAB"/>
    <w:rsid w:val="00E319C2"/>
    <w:rsid w:val="00E34A39"/>
    <w:rsid w:val="00E354A6"/>
    <w:rsid w:val="00E36278"/>
    <w:rsid w:val="00E37D44"/>
    <w:rsid w:val="00E42175"/>
    <w:rsid w:val="00E424EB"/>
    <w:rsid w:val="00E449C3"/>
    <w:rsid w:val="00E44BB9"/>
    <w:rsid w:val="00E44E42"/>
    <w:rsid w:val="00E453F7"/>
    <w:rsid w:val="00E45B58"/>
    <w:rsid w:val="00E46745"/>
    <w:rsid w:val="00E46856"/>
    <w:rsid w:val="00E51F65"/>
    <w:rsid w:val="00E528FF"/>
    <w:rsid w:val="00E54691"/>
    <w:rsid w:val="00E6142A"/>
    <w:rsid w:val="00E62A34"/>
    <w:rsid w:val="00E64101"/>
    <w:rsid w:val="00E67EC9"/>
    <w:rsid w:val="00E67F2E"/>
    <w:rsid w:val="00E7212E"/>
    <w:rsid w:val="00E7222C"/>
    <w:rsid w:val="00E728D4"/>
    <w:rsid w:val="00E74A0F"/>
    <w:rsid w:val="00E75373"/>
    <w:rsid w:val="00E76A5B"/>
    <w:rsid w:val="00E81A14"/>
    <w:rsid w:val="00E8213E"/>
    <w:rsid w:val="00E857B6"/>
    <w:rsid w:val="00E86C19"/>
    <w:rsid w:val="00E86FBA"/>
    <w:rsid w:val="00E9275E"/>
    <w:rsid w:val="00E92A80"/>
    <w:rsid w:val="00E92EA5"/>
    <w:rsid w:val="00E93287"/>
    <w:rsid w:val="00E95152"/>
    <w:rsid w:val="00E97960"/>
    <w:rsid w:val="00E97BCE"/>
    <w:rsid w:val="00EA0AF7"/>
    <w:rsid w:val="00EA1A66"/>
    <w:rsid w:val="00EA1BCC"/>
    <w:rsid w:val="00EA2057"/>
    <w:rsid w:val="00EA3397"/>
    <w:rsid w:val="00EA358E"/>
    <w:rsid w:val="00EA3D72"/>
    <w:rsid w:val="00EA3F81"/>
    <w:rsid w:val="00EA4EB1"/>
    <w:rsid w:val="00EA5B52"/>
    <w:rsid w:val="00EB1291"/>
    <w:rsid w:val="00EB1349"/>
    <w:rsid w:val="00EB45F8"/>
    <w:rsid w:val="00EB572A"/>
    <w:rsid w:val="00EB5FB6"/>
    <w:rsid w:val="00EC134A"/>
    <w:rsid w:val="00EC3004"/>
    <w:rsid w:val="00EC3F38"/>
    <w:rsid w:val="00EC5F04"/>
    <w:rsid w:val="00EC7690"/>
    <w:rsid w:val="00ED297F"/>
    <w:rsid w:val="00ED4CDD"/>
    <w:rsid w:val="00ED6732"/>
    <w:rsid w:val="00ED7B65"/>
    <w:rsid w:val="00EE3546"/>
    <w:rsid w:val="00EE35C8"/>
    <w:rsid w:val="00EE3F46"/>
    <w:rsid w:val="00EE758E"/>
    <w:rsid w:val="00EF01DD"/>
    <w:rsid w:val="00EF5871"/>
    <w:rsid w:val="00EF5E69"/>
    <w:rsid w:val="00EF6435"/>
    <w:rsid w:val="00EF6A47"/>
    <w:rsid w:val="00EF7037"/>
    <w:rsid w:val="00F01DF9"/>
    <w:rsid w:val="00F01FE4"/>
    <w:rsid w:val="00F02637"/>
    <w:rsid w:val="00F0357D"/>
    <w:rsid w:val="00F04BAF"/>
    <w:rsid w:val="00F06692"/>
    <w:rsid w:val="00F068CC"/>
    <w:rsid w:val="00F123A8"/>
    <w:rsid w:val="00F12746"/>
    <w:rsid w:val="00F12923"/>
    <w:rsid w:val="00F13194"/>
    <w:rsid w:val="00F147A4"/>
    <w:rsid w:val="00F20240"/>
    <w:rsid w:val="00F21BB4"/>
    <w:rsid w:val="00F22714"/>
    <w:rsid w:val="00F22851"/>
    <w:rsid w:val="00F237A6"/>
    <w:rsid w:val="00F25946"/>
    <w:rsid w:val="00F27B37"/>
    <w:rsid w:val="00F27F2C"/>
    <w:rsid w:val="00F30B63"/>
    <w:rsid w:val="00F34E15"/>
    <w:rsid w:val="00F37A47"/>
    <w:rsid w:val="00F40B9C"/>
    <w:rsid w:val="00F414FF"/>
    <w:rsid w:val="00F41857"/>
    <w:rsid w:val="00F41B6B"/>
    <w:rsid w:val="00F42BF4"/>
    <w:rsid w:val="00F42D1A"/>
    <w:rsid w:val="00F52E02"/>
    <w:rsid w:val="00F567C6"/>
    <w:rsid w:val="00F56BAB"/>
    <w:rsid w:val="00F61981"/>
    <w:rsid w:val="00F652E8"/>
    <w:rsid w:val="00F66133"/>
    <w:rsid w:val="00F675E5"/>
    <w:rsid w:val="00F70DBF"/>
    <w:rsid w:val="00F717DC"/>
    <w:rsid w:val="00F71977"/>
    <w:rsid w:val="00F7320D"/>
    <w:rsid w:val="00F770F0"/>
    <w:rsid w:val="00F77B2F"/>
    <w:rsid w:val="00F81BDD"/>
    <w:rsid w:val="00F8249E"/>
    <w:rsid w:val="00F825C7"/>
    <w:rsid w:val="00F84822"/>
    <w:rsid w:val="00F84D1C"/>
    <w:rsid w:val="00F84D75"/>
    <w:rsid w:val="00F85DE2"/>
    <w:rsid w:val="00F87403"/>
    <w:rsid w:val="00F87A03"/>
    <w:rsid w:val="00F95815"/>
    <w:rsid w:val="00F9607C"/>
    <w:rsid w:val="00F97556"/>
    <w:rsid w:val="00F97CED"/>
    <w:rsid w:val="00FA0F0E"/>
    <w:rsid w:val="00FA63B2"/>
    <w:rsid w:val="00FA67E2"/>
    <w:rsid w:val="00FA7237"/>
    <w:rsid w:val="00FB0354"/>
    <w:rsid w:val="00FB0538"/>
    <w:rsid w:val="00FB0F9F"/>
    <w:rsid w:val="00FB346D"/>
    <w:rsid w:val="00FB3D6D"/>
    <w:rsid w:val="00FB53FD"/>
    <w:rsid w:val="00FB6240"/>
    <w:rsid w:val="00FB66FA"/>
    <w:rsid w:val="00FB6AC4"/>
    <w:rsid w:val="00FB75C1"/>
    <w:rsid w:val="00FC4277"/>
    <w:rsid w:val="00FC4A68"/>
    <w:rsid w:val="00FC6139"/>
    <w:rsid w:val="00FD00A3"/>
    <w:rsid w:val="00FD29C3"/>
    <w:rsid w:val="00FE06CE"/>
    <w:rsid w:val="00FE1190"/>
    <w:rsid w:val="00FE179E"/>
    <w:rsid w:val="00FE2220"/>
    <w:rsid w:val="00FE253F"/>
    <w:rsid w:val="00FE40DD"/>
    <w:rsid w:val="00FE4203"/>
    <w:rsid w:val="00FF315A"/>
    <w:rsid w:val="00FF551C"/>
    <w:rsid w:val="00FF66EF"/>
    <w:rsid w:val="00FF78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D311CA43-17F3-4F92-B5EC-39953519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 w:type="character" w:customStyle="1" w:styleId="apple-converted-space">
    <w:name w:val="apple-converted-space"/>
    <w:basedOn w:val="DefaultParagraphFont"/>
    <w:rsid w:val="0057207E"/>
  </w:style>
  <w:style w:type="paragraph" w:customStyle="1" w:styleId="GHSSubparas1">
    <w:name w:val="GHS Subparas1"/>
    <w:basedOn w:val="Normal"/>
    <w:qFormat/>
    <w:rsid w:val="00582D6C"/>
    <w:pPr>
      <w:suppressAutoHyphens w:val="0"/>
      <w:spacing w:after="240" w:line="240" w:lineRule="auto"/>
      <w:ind w:left="1973" w:hanging="561"/>
      <w:jc w:val="both"/>
    </w:pPr>
    <w:rPr>
      <w:bCs/>
      <w:color w:val="000000"/>
      <w:szCs w:val="24"/>
    </w:rPr>
  </w:style>
  <w:style w:type="paragraph" w:customStyle="1" w:styleId="GHStext">
    <w:name w:val="GHS_text"/>
    <w:basedOn w:val="Normal"/>
    <w:link w:val="GHStextChar"/>
    <w:qFormat/>
    <w:rsid w:val="001B076B"/>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1B076B"/>
    <w:rPr>
      <w:rFonts w:eastAsia="SimSun"/>
      <w:snapToGrid w:val="0"/>
      <w:color w:val="000000"/>
      <w:szCs w:val="22"/>
      <w:lang w:val="es-ES" w:eastAsia="en-US"/>
    </w:rPr>
  </w:style>
  <w:style w:type="paragraph" w:styleId="NormalWeb">
    <w:name w:val="Normal (Web)"/>
    <w:basedOn w:val="Normal"/>
    <w:uiPriority w:val="99"/>
    <w:semiHidden/>
    <w:unhideWhenUsed/>
    <w:rsid w:val="00AB1E7F"/>
    <w:pPr>
      <w:suppressAutoHyphens w:val="0"/>
      <w:spacing w:before="100" w:beforeAutospacing="1" w:after="100" w:afterAutospacing="1" w:line="240" w:lineRule="auto"/>
    </w:pPr>
    <w:rPr>
      <w:sz w:val="24"/>
      <w:szCs w:val="24"/>
      <w:lang w:val="it-IT" w:eastAsia="it-IT"/>
    </w:rPr>
  </w:style>
  <w:style w:type="paragraph" w:styleId="Revision">
    <w:name w:val="Revision"/>
    <w:hidden/>
    <w:uiPriority w:val="99"/>
    <w:semiHidden/>
    <w:rsid w:val="00717AF4"/>
    <w:rPr>
      <w:rFonts w:eastAsia="Times New Roman"/>
      <w:lang w:eastAsia="en-US"/>
    </w:rPr>
  </w:style>
  <w:style w:type="paragraph" w:customStyle="1" w:styleId="paragraph">
    <w:name w:val="paragraph"/>
    <w:basedOn w:val="Normal"/>
    <w:rsid w:val="001F0D6A"/>
    <w:pPr>
      <w:suppressAutoHyphens w:val="0"/>
      <w:spacing w:before="100" w:beforeAutospacing="1" w:after="100" w:afterAutospacing="1" w:line="240" w:lineRule="auto"/>
    </w:pPr>
    <w:rPr>
      <w:sz w:val="24"/>
      <w:szCs w:val="24"/>
      <w:lang w:val="it-IT" w:eastAsia="it-IT"/>
    </w:rPr>
  </w:style>
  <w:style w:type="character" w:customStyle="1" w:styleId="normaltextrun">
    <w:name w:val="normaltextrun"/>
    <w:basedOn w:val="DefaultParagraphFont"/>
    <w:rsid w:val="001F0D6A"/>
  </w:style>
  <w:style w:type="character" w:customStyle="1" w:styleId="spellingerror">
    <w:name w:val="spellingerror"/>
    <w:basedOn w:val="DefaultParagraphFont"/>
    <w:rsid w:val="001F0D6A"/>
  </w:style>
  <w:style w:type="character" w:customStyle="1" w:styleId="eop">
    <w:name w:val="eop"/>
    <w:basedOn w:val="DefaultParagraphFont"/>
    <w:rsid w:val="001F0D6A"/>
  </w:style>
  <w:style w:type="character" w:customStyle="1" w:styleId="id-label">
    <w:name w:val="id-label"/>
    <w:basedOn w:val="DefaultParagraphFont"/>
    <w:rsid w:val="001A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2643">
      <w:bodyDiv w:val="1"/>
      <w:marLeft w:val="0"/>
      <w:marRight w:val="0"/>
      <w:marTop w:val="0"/>
      <w:marBottom w:val="0"/>
      <w:divBdr>
        <w:top w:val="none" w:sz="0" w:space="0" w:color="auto"/>
        <w:left w:val="none" w:sz="0" w:space="0" w:color="auto"/>
        <w:bottom w:val="none" w:sz="0" w:space="0" w:color="auto"/>
        <w:right w:val="none" w:sz="0" w:space="0" w:color="auto"/>
      </w:divBdr>
    </w:div>
    <w:div w:id="238446519">
      <w:bodyDiv w:val="1"/>
      <w:marLeft w:val="0"/>
      <w:marRight w:val="0"/>
      <w:marTop w:val="0"/>
      <w:marBottom w:val="0"/>
      <w:divBdr>
        <w:top w:val="none" w:sz="0" w:space="0" w:color="auto"/>
        <w:left w:val="none" w:sz="0" w:space="0" w:color="auto"/>
        <w:bottom w:val="none" w:sz="0" w:space="0" w:color="auto"/>
        <w:right w:val="none" w:sz="0" w:space="0" w:color="auto"/>
      </w:divBdr>
    </w:div>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944772626">
      <w:bodyDiv w:val="1"/>
      <w:marLeft w:val="0"/>
      <w:marRight w:val="0"/>
      <w:marTop w:val="0"/>
      <w:marBottom w:val="0"/>
      <w:divBdr>
        <w:top w:val="none" w:sz="0" w:space="0" w:color="auto"/>
        <w:left w:val="none" w:sz="0" w:space="0" w:color="auto"/>
        <w:bottom w:val="none" w:sz="0" w:space="0" w:color="auto"/>
        <w:right w:val="none" w:sz="0" w:space="0" w:color="auto"/>
      </w:divBdr>
    </w:div>
    <w:div w:id="1041246612">
      <w:bodyDiv w:val="1"/>
      <w:marLeft w:val="0"/>
      <w:marRight w:val="0"/>
      <w:marTop w:val="0"/>
      <w:marBottom w:val="0"/>
      <w:divBdr>
        <w:top w:val="none" w:sz="0" w:space="0" w:color="auto"/>
        <w:left w:val="none" w:sz="0" w:space="0" w:color="auto"/>
        <w:bottom w:val="none" w:sz="0" w:space="0" w:color="auto"/>
        <w:right w:val="none" w:sz="0" w:space="0" w:color="auto"/>
      </w:divBdr>
    </w:div>
    <w:div w:id="1539125770">
      <w:bodyDiv w:val="1"/>
      <w:marLeft w:val="0"/>
      <w:marRight w:val="0"/>
      <w:marTop w:val="0"/>
      <w:marBottom w:val="0"/>
      <w:divBdr>
        <w:top w:val="none" w:sz="0" w:space="0" w:color="auto"/>
        <w:left w:val="none" w:sz="0" w:space="0" w:color="auto"/>
        <w:bottom w:val="none" w:sz="0" w:space="0" w:color="auto"/>
        <w:right w:val="none" w:sz="0" w:space="0" w:color="auto"/>
      </w:divBdr>
    </w:div>
    <w:div w:id="1835412402">
      <w:bodyDiv w:val="1"/>
      <w:marLeft w:val="0"/>
      <w:marRight w:val="0"/>
      <w:marTop w:val="0"/>
      <w:marBottom w:val="0"/>
      <w:divBdr>
        <w:top w:val="none" w:sz="0" w:space="0" w:color="auto"/>
        <w:left w:val="none" w:sz="0" w:space="0" w:color="auto"/>
        <w:bottom w:val="none" w:sz="0" w:space="0" w:color="auto"/>
        <w:right w:val="none" w:sz="0" w:space="0" w:color="auto"/>
      </w:divBdr>
    </w:div>
    <w:div w:id="21273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787/9789264221444-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doi.org%2F10.1080%2F15569520801904655&amp;data=05%7C01%7CDeborah.Traynor%40hse.gov.uk%7C44f63a397eb94ac4ed8408dab75a1efc%7C6b5953be6b1d4980b26b56ed8b0bf3dc%7C0%7C0%7C638023895105907376%7CUnknown%7CTWFpbGZsb3d8eyJWIjoiMC4wLjAwMDAiLCJQIjoiV2luMzIiLCJBTiI6Ik1haWwiLCJXVCI6Mn0%3D%7C3000%7C%7C%7C&amp;sdata=cqoe8SHuWdB%2FODCwY%2FCgneYTFfjbbKSna5voGUYYcbk%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C22F7-FAF9-4254-BED4-9BABC1BAAFED}">
  <ds:schemaRefs>
    <ds:schemaRef ds:uri="http://schemas.openxmlformats.org/officeDocument/2006/bibliography"/>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21A234E-6379-43F6-B6F9-0CE5F27CD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7</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Rosa Garcia Couto</cp:lastModifiedBy>
  <cp:revision>85</cp:revision>
  <cp:lastPrinted>2022-10-27T09:58:00Z</cp:lastPrinted>
  <dcterms:created xsi:type="dcterms:W3CDTF">2022-11-07T10:25:00Z</dcterms:created>
  <dcterms:modified xsi:type="dcterms:W3CDTF">2022-11-10T09:37:00Z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