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C83C554" w14:textId="77777777" w:rsidTr="00F01738">
        <w:trPr>
          <w:trHeight w:hRule="exact" w:val="851"/>
        </w:trPr>
        <w:tc>
          <w:tcPr>
            <w:tcW w:w="1276" w:type="dxa"/>
            <w:tcBorders>
              <w:bottom w:val="single" w:sz="4" w:space="0" w:color="auto"/>
            </w:tcBorders>
          </w:tcPr>
          <w:p w14:paraId="1E429DF4" w14:textId="77777777" w:rsidR="00132EA9" w:rsidRPr="00DB58B5" w:rsidRDefault="00132EA9" w:rsidP="00664A4D"/>
        </w:tc>
        <w:tc>
          <w:tcPr>
            <w:tcW w:w="2268" w:type="dxa"/>
            <w:tcBorders>
              <w:bottom w:val="single" w:sz="4" w:space="0" w:color="auto"/>
            </w:tcBorders>
            <w:vAlign w:val="bottom"/>
          </w:tcPr>
          <w:p w14:paraId="7CB24A7E"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E0AE18" w14:textId="6CD96FA5" w:rsidR="00132EA9" w:rsidRPr="00DB58B5" w:rsidRDefault="00664A4D" w:rsidP="00664A4D">
            <w:pPr>
              <w:jc w:val="right"/>
            </w:pPr>
            <w:r w:rsidRPr="00664A4D">
              <w:rPr>
                <w:sz w:val="40"/>
              </w:rPr>
              <w:t>ST</w:t>
            </w:r>
            <w:r>
              <w:t>/SG/AC.10/C.4/2022/14</w:t>
            </w:r>
          </w:p>
        </w:tc>
      </w:tr>
      <w:tr w:rsidR="00132EA9" w:rsidRPr="00DB58B5" w14:paraId="3FD255EB" w14:textId="77777777" w:rsidTr="00F01738">
        <w:trPr>
          <w:trHeight w:hRule="exact" w:val="2835"/>
        </w:trPr>
        <w:tc>
          <w:tcPr>
            <w:tcW w:w="1276" w:type="dxa"/>
            <w:tcBorders>
              <w:top w:val="single" w:sz="4" w:space="0" w:color="auto"/>
              <w:bottom w:val="single" w:sz="12" w:space="0" w:color="auto"/>
            </w:tcBorders>
          </w:tcPr>
          <w:p w14:paraId="163615F6" w14:textId="77777777" w:rsidR="00132EA9" w:rsidRPr="00DB58B5" w:rsidRDefault="00132EA9" w:rsidP="00F01738">
            <w:pPr>
              <w:spacing w:before="120"/>
              <w:jc w:val="center"/>
            </w:pPr>
            <w:r>
              <w:rPr>
                <w:noProof/>
                <w:lang w:eastAsia="fr-CH"/>
              </w:rPr>
              <w:drawing>
                <wp:inline distT="0" distB="0" distL="0" distR="0" wp14:anchorId="704F9842" wp14:editId="38910A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F54E5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3A89BD0" w14:textId="77777777" w:rsidR="00132EA9" w:rsidRDefault="00664A4D" w:rsidP="00F01738">
            <w:pPr>
              <w:spacing w:before="240"/>
            </w:pPr>
            <w:proofErr w:type="spellStart"/>
            <w:r>
              <w:t>Distr</w:t>
            </w:r>
            <w:proofErr w:type="spellEnd"/>
            <w:r>
              <w:t xml:space="preserve">. </w:t>
            </w:r>
            <w:proofErr w:type="gramStart"/>
            <w:r>
              <w:t>générale</w:t>
            </w:r>
            <w:proofErr w:type="gramEnd"/>
          </w:p>
          <w:p w14:paraId="28C0CC85" w14:textId="77777777" w:rsidR="00664A4D" w:rsidRDefault="00664A4D" w:rsidP="00664A4D">
            <w:pPr>
              <w:spacing w:line="240" w:lineRule="exact"/>
            </w:pPr>
            <w:r>
              <w:t>15 septembre 2022</w:t>
            </w:r>
          </w:p>
          <w:p w14:paraId="47075A20" w14:textId="77777777" w:rsidR="00664A4D" w:rsidRDefault="00664A4D" w:rsidP="00664A4D">
            <w:pPr>
              <w:spacing w:line="240" w:lineRule="exact"/>
            </w:pPr>
            <w:r>
              <w:t>Français</w:t>
            </w:r>
          </w:p>
          <w:p w14:paraId="64CA4BFF" w14:textId="65FB5063" w:rsidR="00664A4D" w:rsidRPr="00DB58B5" w:rsidRDefault="00664A4D" w:rsidP="00664A4D">
            <w:pPr>
              <w:spacing w:line="240" w:lineRule="exact"/>
            </w:pPr>
            <w:r>
              <w:t>Original : anglais</w:t>
            </w:r>
          </w:p>
        </w:tc>
      </w:tr>
    </w:tbl>
    <w:p w14:paraId="2DF1BF0F" w14:textId="77777777" w:rsidR="008D328F" w:rsidRPr="00CA0680" w:rsidRDefault="008D328F"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2E3B6D74" w14:textId="77777777" w:rsidR="008D328F" w:rsidRPr="00CA0680" w:rsidRDefault="008D328F" w:rsidP="000305D3">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14:paraId="38E2CE29" w14:textId="679DB923" w:rsidR="008D328F" w:rsidRDefault="008D328F" w:rsidP="000305D3">
      <w:pPr>
        <w:spacing w:before="120"/>
        <w:rPr>
          <w:b/>
        </w:rPr>
      </w:pPr>
      <w:r>
        <w:rPr>
          <w:b/>
        </w:rPr>
        <w:t>Quarante-troisième</w:t>
      </w:r>
      <w:r w:rsidRPr="00CA0680">
        <w:rPr>
          <w:b/>
        </w:rPr>
        <w:t xml:space="preserve"> session</w:t>
      </w:r>
    </w:p>
    <w:p w14:paraId="700BDE9F" w14:textId="41C9476D" w:rsidR="008D328F" w:rsidRDefault="008D328F" w:rsidP="000305D3">
      <w:r>
        <w:t xml:space="preserve">Genève, 7-9 décembre 2022 </w:t>
      </w:r>
    </w:p>
    <w:p w14:paraId="126870E7" w14:textId="244D4B7A" w:rsidR="008D328F" w:rsidRDefault="008D328F" w:rsidP="000305D3">
      <w:r>
        <w:t>Point 3 c) de l’ordre du jour provisoire</w:t>
      </w:r>
    </w:p>
    <w:p w14:paraId="23B28760" w14:textId="251794DA" w:rsidR="00B178A7" w:rsidRPr="00A241BD" w:rsidRDefault="00B178A7" w:rsidP="00B178A7">
      <w:pPr>
        <w:ind w:right="2693"/>
        <w:rPr>
          <w:lang w:val="fr-FR"/>
        </w:rPr>
      </w:pPr>
      <w:r w:rsidRPr="006513EE">
        <w:rPr>
          <w:b/>
          <w:bCs/>
          <w:lang w:val="fr-FR"/>
        </w:rPr>
        <w:t xml:space="preserve">Travaux relatifs au Système général harmonisé de classification </w:t>
      </w:r>
      <w:r w:rsidR="00A93042">
        <w:rPr>
          <w:b/>
          <w:bCs/>
          <w:lang w:val="fr-FR"/>
        </w:rPr>
        <w:br/>
      </w:r>
      <w:r w:rsidRPr="006513EE">
        <w:rPr>
          <w:b/>
          <w:bCs/>
          <w:lang w:val="fr-FR"/>
        </w:rPr>
        <w:t>et d</w:t>
      </w:r>
      <w:r>
        <w:rPr>
          <w:b/>
          <w:bCs/>
          <w:lang w:val="fr-FR"/>
        </w:rPr>
        <w:t>’</w:t>
      </w:r>
      <w:r w:rsidRPr="006513EE">
        <w:rPr>
          <w:b/>
          <w:bCs/>
          <w:lang w:val="fr-FR"/>
        </w:rPr>
        <w:t>étiquetage des produits chimiques</w:t>
      </w:r>
      <w:r>
        <w:rPr>
          <w:b/>
          <w:bCs/>
          <w:lang w:val="fr-FR"/>
        </w:rPr>
        <w:t> :</w:t>
      </w:r>
      <w:r w:rsidRPr="00A241BD">
        <w:rPr>
          <w:b/>
          <w:bCs/>
          <w:lang w:val="fr-FR"/>
        </w:rPr>
        <w:t xml:space="preserve"> </w:t>
      </w:r>
      <w:r>
        <w:rPr>
          <w:b/>
          <w:bCs/>
          <w:lang w:val="fr-FR"/>
        </w:rPr>
        <w:t>u</w:t>
      </w:r>
      <w:r w:rsidRPr="006513EE">
        <w:rPr>
          <w:b/>
          <w:bCs/>
          <w:lang w:val="fr-FR"/>
        </w:rPr>
        <w:t xml:space="preserve">tilisation de </w:t>
      </w:r>
      <w:bookmarkStart w:id="0" w:name="_Hlk116325854"/>
      <w:r w:rsidRPr="006513EE">
        <w:rPr>
          <w:b/>
          <w:bCs/>
          <w:lang w:val="fr-FR"/>
        </w:rPr>
        <w:t>méthodes d</w:t>
      </w:r>
      <w:r>
        <w:rPr>
          <w:b/>
          <w:bCs/>
          <w:lang w:val="fr-FR"/>
        </w:rPr>
        <w:t>’</w:t>
      </w:r>
      <w:r w:rsidRPr="006513EE">
        <w:rPr>
          <w:b/>
          <w:bCs/>
          <w:lang w:val="fr-FR"/>
        </w:rPr>
        <w:t xml:space="preserve">expérimentation non animales </w:t>
      </w:r>
      <w:bookmarkEnd w:id="0"/>
      <w:r w:rsidRPr="006513EE">
        <w:rPr>
          <w:b/>
          <w:bCs/>
          <w:lang w:val="fr-FR"/>
        </w:rPr>
        <w:t xml:space="preserve">pour le classement des dangers </w:t>
      </w:r>
      <w:r w:rsidR="00A93042">
        <w:rPr>
          <w:b/>
          <w:bCs/>
          <w:lang w:val="fr-FR"/>
        </w:rPr>
        <w:br/>
      </w:r>
      <w:r w:rsidRPr="006513EE">
        <w:rPr>
          <w:b/>
          <w:bCs/>
          <w:lang w:val="fr-FR"/>
        </w:rPr>
        <w:t>pour la santé</w:t>
      </w:r>
    </w:p>
    <w:p w14:paraId="130032F6" w14:textId="1DEC7C90" w:rsidR="00B178A7" w:rsidRPr="00A241BD" w:rsidRDefault="00B178A7" w:rsidP="00A93042">
      <w:pPr>
        <w:pStyle w:val="HChG"/>
        <w:spacing w:before="300"/>
        <w:rPr>
          <w:lang w:val="fr-FR"/>
        </w:rPr>
      </w:pPr>
      <w:r w:rsidRPr="00A241BD">
        <w:rPr>
          <w:lang w:val="fr-FR" w:eastAsia="ja-JP"/>
        </w:rPr>
        <w:tab/>
      </w:r>
      <w:r w:rsidRPr="00A241BD">
        <w:rPr>
          <w:lang w:val="fr-FR" w:eastAsia="ja-JP"/>
        </w:rPr>
        <w:tab/>
        <w:t xml:space="preserve">Révision du chapitre 3.4 </w:t>
      </w:r>
      <w:r>
        <w:rPr>
          <w:lang w:val="fr-FR" w:eastAsia="ja-JP"/>
        </w:rPr>
        <w:t xml:space="preserve">tendant à y </w:t>
      </w:r>
      <w:r w:rsidRPr="00A241BD">
        <w:rPr>
          <w:lang w:val="fr-FR" w:eastAsia="ja-JP"/>
        </w:rPr>
        <w:t xml:space="preserve">intégrer pleinement </w:t>
      </w:r>
      <w:r w:rsidR="00D12C8F">
        <w:rPr>
          <w:lang w:val="fr-FR" w:eastAsia="ja-JP"/>
        </w:rPr>
        <w:br/>
      </w:r>
      <w:r w:rsidRPr="00A241BD">
        <w:rPr>
          <w:lang w:val="fr-FR" w:eastAsia="ja-JP"/>
        </w:rPr>
        <w:t>les</w:t>
      </w:r>
      <w:r w:rsidR="00D12C8F">
        <w:rPr>
          <w:lang w:val="fr-FR" w:eastAsia="ja-JP"/>
        </w:rPr>
        <w:t xml:space="preserve"> </w:t>
      </w:r>
      <w:r w:rsidRPr="00F84B82">
        <w:rPr>
          <w:lang w:val="fr-FR" w:eastAsia="ja-JP"/>
        </w:rPr>
        <w:t>méthodes d</w:t>
      </w:r>
      <w:r>
        <w:rPr>
          <w:lang w:val="fr-FR" w:eastAsia="ja-JP"/>
        </w:rPr>
        <w:t>’</w:t>
      </w:r>
      <w:r w:rsidRPr="00F84B82">
        <w:rPr>
          <w:lang w:val="fr-FR" w:eastAsia="ja-JP"/>
        </w:rPr>
        <w:t xml:space="preserve">expérimentation non animales </w:t>
      </w:r>
      <w:r>
        <w:rPr>
          <w:lang w:val="fr-FR"/>
        </w:rPr>
        <w:t>pour</w:t>
      </w:r>
      <w:r w:rsidRPr="00A241BD">
        <w:rPr>
          <w:lang w:val="fr-FR"/>
        </w:rPr>
        <w:t xml:space="preserve"> </w:t>
      </w:r>
      <w:r w:rsidR="00D12C8F">
        <w:rPr>
          <w:lang w:val="fr-FR"/>
        </w:rPr>
        <w:br/>
      </w:r>
      <w:r w:rsidRPr="00A241BD">
        <w:rPr>
          <w:lang w:val="fr-FR"/>
        </w:rPr>
        <w:t>la sensibilisation cutanée</w:t>
      </w:r>
    </w:p>
    <w:p w14:paraId="09AFCCFB" w14:textId="095D7082" w:rsidR="00B178A7" w:rsidRPr="00A241BD" w:rsidRDefault="00B178A7" w:rsidP="00A93042">
      <w:pPr>
        <w:pStyle w:val="H1G"/>
        <w:spacing w:before="300"/>
        <w:rPr>
          <w:lang w:val="fr-FR"/>
        </w:rPr>
      </w:pPr>
      <w:r w:rsidRPr="00A241BD">
        <w:rPr>
          <w:lang w:val="fr-FR"/>
        </w:rPr>
        <w:tab/>
      </w:r>
      <w:r w:rsidRPr="00A241BD">
        <w:rPr>
          <w:lang w:val="fr-FR"/>
        </w:rPr>
        <w:tab/>
      </w:r>
      <w:r>
        <w:rPr>
          <w:lang w:val="fr-FR"/>
        </w:rPr>
        <w:t>Communication d</w:t>
      </w:r>
      <w:r w:rsidRPr="00A241BD">
        <w:rPr>
          <w:lang w:val="fr-FR"/>
        </w:rPr>
        <w:t xml:space="preserve">es experts du Royaume-Uni </w:t>
      </w:r>
      <w:r>
        <w:rPr>
          <w:lang w:val="fr-FR"/>
        </w:rPr>
        <w:t xml:space="preserve">et </w:t>
      </w:r>
      <w:r w:rsidRPr="00A241BD">
        <w:rPr>
          <w:lang w:val="fr-FR"/>
        </w:rPr>
        <w:t xml:space="preserve">des Pays-Bas </w:t>
      </w:r>
      <w:r w:rsidR="00D12C8F">
        <w:rPr>
          <w:lang w:val="fr-FR"/>
        </w:rPr>
        <w:br/>
      </w:r>
      <w:r w:rsidRPr="00A241BD">
        <w:rPr>
          <w:lang w:val="fr-FR"/>
        </w:rPr>
        <w:t>au</w:t>
      </w:r>
      <w:r w:rsidR="00D12C8F">
        <w:rPr>
          <w:lang w:val="fr-FR"/>
        </w:rPr>
        <w:t xml:space="preserve"> </w:t>
      </w:r>
      <w:r w:rsidRPr="00A241BD">
        <w:rPr>
          <w:lang w:val="fr-FR"/>
        </w:rPr>
        <w:t>nom</w:t>
      </w:r>
      <w:r w:rsidR="00D12C8F">
        <w:rPr>
          <w:lang w:val="fr-FR"/>
        </w:rPr>
        <w:t xml:space="preserve"> </w:t>
      </w:r>
      <w:r w:rsidRPr="00A241BD">
        <w:rPr>
          <w:lang w:val="fr-FR"/>
        </w:rPr>
        <w:t xml:space="preserve">du </w:t>
      </w:r>
      <w:r w:rsidRPr="00F84B82">
        <w:rPr>
          <w:lang w:val="fr-FR"/>
        </w:rPr>
        <w:t xml:space="preserve">groupe de travail informel </w:t>
      </w:r>
      <w:r>
        <w:rPr>
          <w:lang w:val="fr-FR"/>
        </w:rPr>
        <w:t>de</w:t>
      </w:r>
      <w:r w:rsidRPr="00F84B82">
        <w:rPr>
          <w:lang w:val="fr-FR"/>
        </w:rPr>
        <w:t xml:space="preserve"> l</w:t>
      </w:r>
      <w:r>
        <w:rPr>
          <w:lang w:val="fr-FR"/>
        </w:rPr>
        <w:t>’</w:t>
      </w:r>
      <w:r w:rsidRPr="00F84B82">
        <w:rPr>
          <w:lang w:val="fr-FR"/>
        </w:rPr>
        <w:t>utilisation de méthodes d</w:t>
      </w:r>
      <w:r>
        <w:rPr>
          <w:lang w:val="fr-FR"/>
        </w:rPr>
        <w:t>’</w:t>
      </w:r>
      <w:r w:rsidRPr="00F84B82">
        <w:rPr>
          <w:lang w:val="fr-FR"/>
        </w:rPr>
        <w:t>expérimentation non animale</w:t>
      </w:r>
      <w:r>
        <w:rPr>
          <w:lang w:val="fr-FR"/>
        </w:rPr>
        <w:t>s</w:t>
      </w:r>
      <w:r w:rsidRPr="00F84B82">
        <w:rPr>
          <w:lang w:val="fr-FR"/>
        </w:rPr>
        <w:t xml:space="preserve"> pour </w:t>
      </w:r>
      <w:r>
        <w:rPr>
          <w:lang w:val="fr-FR"/>
        </w:rPr>
        <w:t>le classement</w:t>
      </w:r>
      <w:r w:rsidRPr="00F84B82">
        <w:rPr>
          <w:lang w:val="fr-FR"/>
        </w:rPr>
        <w:t xml:space="preserve"> des dangers </w:t>
      </w:r>
      <w:r w:rsidR="00D12C8F">
        <w:rPr>
          <w:lang w:val="fr-FR"/>
        </w:rPr>
        <w:br/>
      </w:r>
      <w:r w:rsidRPr="00F84B82">
        <w:rPr>
          <w:lang w:val="fr-FR"/>
        </w:rPr>
        <w:t>pour</w:t>
      </w:r>
      <w:r w:rsidR="00D12C8F">
        <w:rPr>
          <w:lang w:val="fr-FR"/>
        </w:rPr>
        <w:t xml:space="preserve"> </w:t>
      </w:r>
      <w:r w:rsidRPr="00F84B82">
        <w:rPr>
          <w:lang w:val="fr-FR"/>
        </w:rPr>
        <w:t>la santé</w:t>
      </w:r>
      <w:r w:rsidRPr="00A241BD">
        <w:rPr>
          <w:lang w:val="fr-FR"/>
        </w:rPr>
        <w:t xml:space="preserve"> et l</w:t>
      </w:r>
      <w:r>
        <w:rPr>
          <w:lang w:val="fr-FR"/>
        </w:rPr>
        <w:t>’</w:t>
      </w:r>
      <w:r w:rsidRPr="00A241BD">
        <w:rPr>
          <w:lang w:val="fr-FR"/>
        </w:rPr>
        <w:t>environnement</w:t>
      </w:r>
      <w:r w:rsidRPr="002800B5">
        <w:rPr>
          <w:rStyle w:val="FootnoteReference"/>
          <w:b w:val="0"/>
          <w:bCs/>
          <w:sz w:val="20"/>
          <w:vertAlign w:val="baseline"/>
          <w:lang w:val="fr-FR"/>
        </w:rPr>
        <w:footnoteReference w:customMarkFollows="1" w:id="2"/>
        <w:t>*</w:t>
      </w:r>
    </w:p>
    <w:p w14:paraId="385762D8" w14:textId="305784E3" w:rsidR="00B178A7" w:rsidRPr="00A241BD" w:rsidRDefault="00B178A7" w:rsidP="00A93042">
      <w:pPr>
        <w:pStyle w:val="HChG"/>
        <w:spacing w:before="300"/>
        <w:rPr>
          <w:sz w:val="24"/>
          <w:szCs w:val="24"/>
          <w:lang w:val="fr-FR"/>
        </w:rPr>
      </w:pPr>
      <w:r w:rsidRPr="00A241BD">
        <w:rPr>
          <w:lang w:val="fr-FR"/>
        </w:rPr>
        <w:tab/>
      </w:r>
      <w:r w:rsidRPr="00A241BD">
        <w:rPr>
          <w:lang w:val="fr-FR"/>
        </w:rPr>
        <w:tab/>
        <w:t>Introduction</w:t>
      </w:r>
    </w:p>
    <w:p w14:paraId="0B77D203" w14:textId="7C2A36AE" w:rsidR="00B178A7" w:rsidRPr="00A241BD" w:rsidRDefault="00B178A7" w:rsidP="00A93042">
      <w:pPr>
        <w:pStyle w:val="SingleTxtG"/>
        <w:spacing w:line="236" w:lineRule="atLeast"/>
        <w:rPr>
          <w:lang w:val="fr-FR"/>
        </w:rPr>
      </w:pPr>
      <w:r w:rsidRPr="00A241BD">
        <w:rPr>
          <w:lang w:val="fr-FR"/>
        </w:rPr>
        <w:t>1.</w:t>
      </w:r>
      <w:r w:rsidRPr="00A241BD">
        <w:rPr>
          <w:lang w:val="fr-FR"/>
        </w:rPr>
        <w:tab/>
      </w:r>
      <w:r>
        <w:rPr>
          <w:lang w:val="fr-FR"/>
        </w:rPr>
        <w:t>On trouvera résumées dans l</w:t>
      </w:r>
      <w:r w:rsidRPr="00A241BD">
        <w:rPr>
          <w:lang w:val="fr-FR"/>
        </w:rPr>
        <w:t xml:space="preserve">e présent document les </w:t>
      </w:r>
      <w:r>
        <w:rPr>
          <w:lang w:val="fr-FR"/>
        </w:rPr>
        <w:t>activités</w:t>
      </w:r>
      <w:r w:rsidRPr="00A241BD">
        <w:rPr>
          <w:lang w:val="fr-FR"/>
        </w:rPr>
        <w:t xml:space="preserve"> du groupe de travail informel </w:t>
      </w:r>
      <w:r>
        <w:rPr>
          <w:lang w:val="fr-FR"/>
        </w:rPr>
        <w:t>de</w:t>
      </w:r>
      <w:r w:rsidRPr="00A241BD">
        <w:rPr>
          <w:lang w:val="fr-FR"/>
        </w:rPr>
        <w:t xml:space="preserve"> l</w:t>
      </w:r>
      <w:r>
        <w:rPr>
          <w:lang w:val="fr-FR"/>
        </w:rPr>
        <w:t>’</w:t>
      </w:r>
      <w:r w:rsidRPr="00A241BD">
        <w:rPr>
          <w:lang w:val="fr-FR"/>
        </w:rPr>
        <w:t>utilisation de méthodes d</w:t>
      </w:r>
      <w:r>
        <w:rPr>
          <w:lang w:val="fr-FR"/>
        </w:rPr>
        <w:t>’</w:t>
      </w:r>
      <w:r w:rsidRPr="00A241BD">
        <w:rPr>
          <w:lang w:val="fr-FR"/>
        </w:rPr>
        <w:t xml:space="preserve">essai non animales pour </w:t>
      </w:r>
      <w:r>
        <w:rPr>
          <w:lang w:val="fr-FR"/>
        </w:rPr>
        <w:t>le classement</w:t>
      </w:r>
      <w:r w:rsidRPr="00A241BD">
        <w:rPr>
          <w:lang w:val="fr-FR"/>
        </w:rPr>
        <w:t xml:space="preserve"> des dangers pour la santé sur le chapitre 3.4 (Sensibilisation respiratoire ou cutanée) </w:t>
      </w:r>
      <w:r>
        <w:rPr>
          <w:lang w:val="fr-FR"/>
        </w:rPr>
        <w:t>concernant</w:t>
      </w:r>
      <w:r w:rsidRPr="00A241BD">
        <w:rPr>
          <w:lang w:val="fr-FR"/>
        </w:rPr>
        <w:t xml:space="preserve"> la sensibilisation cutanée, conformément au programme de travail pour l</w:t>
      </w:r>
      <w:r>
        <w:rPr>
          <w:lang w:val="fr-FR"/>
        </w:rPr>
        <w:t>’</w:t>
      </w:r>
      <w:r w:rsidRPr="00A241BD">
        <w:rPr>
          <w:lang w:val="fr-FR"/>
        </w:rPr>
        <w:t>exercice 2021-2022</w:t>
      </w:r>
      <w:r w:rsidRPr="004A79D8">
        <w:rPr>
          <w:rStyle w:val="FootnoteReference"/>
        </w:rPr>
        <w:footnoteReference w:id="3"/>
      </w:r>
      <w:r w:rsidRPr="00A241BD">
        <w:rPr>
          <w:lang w:val="fr-FR"/>
        </w:rPr>
        <w:t xml:space="preserve">. </w:t>
      </w:r>
      <w:r>
        <w:rPr>
          <w:lang w:val="fr-FR"/>
        </w:rPr>
        <w:t>Dans l</w:t>
      </w:r>
      <w:r w:rsidRPr="00A241BD">
        <w:rPr>
          <w:lang w:val="fr-FR"/>
        </w:rPr>
        <w:t xml:space="preserve">e présent document, ainsi que </w:t>
      </w:r>
      <w:r>
        <w:rPr>
          <w:lang w:val="fr-FR"/>
        </w:rPr>
        <w:t xml:space="preserve">dans </w:t>
      </w:r>
      <w:r w:rsidRPr="00A241BD">
        <w:rPr>
          <w:lang w:val="fr-FR"/>
        </w:rPr>
        <w:t xml:space="preserve">le document informel INF.3, une révision de ce chapitre </w:t>
      </w:r>
      <w:r>
        <w:rPr>
          <w:lang w:val="fr-FR"/>
        </w:rPr>
        <w:t xml:space="preserve">est </w:t>
      </w:r>
      <w:r w:rsidRPr="00A241BD">
        <w:rPr>
          <w:lang w:val="fr-FR"/>
        </w:rPr>
        <w:t>soum</w:t>
      </w:r>
      <w:r>
        <w:rPr>
          <w:lang w:val="fr-FR"/>
        </w:rPr>
        <w:t>ise</w:t>
      </w:r>
      <w:r w:rsidRPr="00A241BD">
        <w:rPr>
          <w:lang w:val="fr-FR"/>
        </w:rPr>
        <w:t xml:space="preserve"> à l</w:t>
      </w:r>
      <w:r>
        <w:rPr>
          <w:lang w:val="fr-FR"/>
        </w:rPr>
        <w:t>’</w:t>
      </w:r>
      <w:r w:rsidRPr="00A241BD">
        <w:rPr>
          <w:lang w:val="fr-FR"/>
        </w:rPr>
        <w:t xml:space="preserve">approbation du Sous-Comité </w:t>
      </w:r>
      <w:r>
        <w:rPr>
          <w:lang w:val="fr-FR"/>
        </w:rPr>
        <w:t>dans l’objectif</w:t>
      </w:r>
      <w:r w:rsidRPr="00A241BD">
        <w:rPr>
          <w:lang w:val="fr-FR"/>
        </w:rPr>
        <w:t xml:space="preserve"> de mieux </w:t>
      </w:r>
      <w:r>
        <w:rPr>
          <w:lang w:val="fr-FR"/>
        </w:rPr>
        <w:t>tenir compte de l’accroissement de</w:t>
      </w:r>
      <w:r w:rsidRPr="00A241BD">
        <w:rPr>
          <w:lang w:val="fr-FR"/>
        </w:rPr>
        <w:t xml:space="preserve"> la capacité, </w:t>
      </w:r>
      <w:r>
        <w:rPr>
          <w:lang w:val="fr-FR"/>
        </w:rPr>
        <w:t xml:space="preserve">de </w:t>
      </w:r>
      <w:r w:rsidRPr="00A241BD">
        <w:rPr>
          <w:lang w:val="fr-FR"/>
        </w:rPr>
        <w:t xml:space="preserve">la disponibilité et </w:t>
      </w:r>
      <w:r>
        <w:rPr>
          <w:lang w:val="fr-FR"/>
        </w:rPr>
        <w:t xml:space="preserve">de </w:t>
      </w:r>
      <w:r w:rsidRPr="00A241BD">
        <w:rPr>
          <w:lang w:val="fr-FR"/>
        </w:rPr>
        <w:t>l</w:t>
      </w:r>
      <w:r>
        <w:rPr>
          <w:lang w:val="fr-FR"/>
        </w:rPr>
        <w:t>’</w:t>
      </w:r>
      <w:r w:rsidRPr="00A241BD">
        <w:rPr>
          <w:lang w:val="fr-FR"/>
        </w:rPr>
        <w:t>utilité, pour l</w:t>
      </w:r>
      <w:r>
        <w:rPr>
          <w:lang w:val="fr-FR"/>
        </w:rPr>
        <w:t>e</w:t>
      </w:r>
      <w:r w:rsidRPr="00A241BD">
        <w:rPr>
          <w:lang w:val="fr-FR"/>
        </w:rPr>
        <w:t xml:space="preserve"> </w:t>
      </w:r>
      <w:r>
        <w:rPr>
          <w:lang w:val="fr-FR"/>
        </w:rPr>
        <w:t>classement</w:t>
      </w:r>
      <w:r w:rsidRPr="00A241BD">
        <w:rPr>
          <w:lang w:val="fr-FR"/>
        </w:rPr>
        <w:t>, des méthodes d</w:t>
      </w:r>
      <w:r>
        <w:rPr>
          <w:lang w:val="fr-FR"/>
        </w:rPr>
        <w:t>’</w:t>
      </w:r>
      <w:r w:rsidRPr="00A241BD">
        <w:rPr>
          <w:lang w:val="fr-FR"/>
        </w:rPr>
        <w:t xml:space="preserve">essai </w:t>
      </w:r>
      <w:r>
        <w:rPr>
          <w:i/>
          <w:lang w:val="fr-FR"/>
        </w:rPr>
        <w:t xml:space="preserve">in </w:t>
      </w:r>
      <w:proofErr w:type="spellStart"/>
      <w:r>
        <w:rPr>
          <w:i/>
          <w:lang w:val="fr-FR"/>
        </w:rPr>
        <w:t>chemico</w:t>
      </w:r>
      <w:proofErr w:type="spellEnd"/>
      <w:r>
        <w:rPr>
          <w:i/>
          <w:lang w:val="fr-FR"/>
        </w:rPr>
        <w:t>/in vitro</w:t>
      </w:r>
      <w:r w:rsidRPr="00A241BD">
        <w:rPr>
          <w:lang w:val="fr-FR"/>
        </w:rPr>
        <w:t xml:space="preserve">, des </w:t>
      </w:r>
      <w:bookmarkStart w:id="1" w:name="_Hlk116414516"/>
      <w:r>
        <w:rPr>
          <w:lang w:val="fr-FR"/>
        </w:rPr>
        <w:t>méthodes</w:t>
      </w:r>
      <w:r w:rsidRPr="00A241BD">
        <w:rPr>
          <w:lang w:val="fr-FR"/>
        </w:rPr>
        <w:t xml:space="preserve"> défini</w:t>
      </w:r>
      <w:r>
        <w:rPr>
          <w:lang w:val="fr-FR"/>
        </w:rPr>
        <w:t>e</w:t>
      </w:r>
      <w:r w:rsidRPr="00A241BD">
        <w:rPr>
          <w:lang w:val="fr-FR"/>
        </w:rPr>
        <w:t xml:space="preserve">s </w:t>
      </w:r>
      <w:bookmarkEnd w:id="1"/>
      <w:r w:rsidRPr="00A241BD">
        <w:rPr>
          <w:lang w:val="fr-FR"/>
        </w:rPr>
        <w:t xml:space="preserve">et des </w:t>
      </w:r>
      <w:bookmarkStart w:id="2" w:name="_Hlk116415752"/>
      <w:r w:rsidRPr="000A24D6">
        <w:rPr>
          <w:lang w:val="fr-FR"/>
        </w:rPr>
        <w:t>méthodes non fondées sur des essais</w:t>
      </w:r>
      <w:bookmarkEnd w:id="2"/>
      <w:r w:rsidRPr="00A241BD">
        <w:rPr>
          <w:lang w:val="fr-FR"/>
        </w:rPr>
        <w:t xml:space="preserve">, tels les modèles informatiques et la lecture croisée. La présente proposition se limite aux modifications des critères de classification des </w:t>
      </w:r>
      <w:r>
        <w:rPr>
          <w:lang w:val="fr-FR"/>
        </w:rPr>
        <w:t>substance</w:t>
      </w:r>
      <w:r w:rsidRPr="00A241BD">
        <w:rPr>
          <w:lang w:val="fr-FR"/>
        </w:rPr>
        <w:t>s. L</w:t>
      </w:r>
      <w:r>
        <w:rPr>
          <w:lang w:val="fr-FR"/>
        </w:rPr>
        <w:t>e</w:t>
      </w:r>
      <w:r w:rsidRPr="00A241BD">
        <w:rPr>
          <w:lang w:val="fr-FR"/>
        </w:rPr>
        <w:t xml:space="preserve"> </w:t>
      </w:r>
      <w:r>
        <w:rPr>
          <w:lang w:val="fr-FR"/>
        </w:rPr>
        <w:t>débat</w:t>
      </w:r>
      <w:r w:rsidRPr="00A241BD">
        <w:rPr>
          <w:lang w:val="fr-FR"/>
        </w:rPr>
        <w:t xml:space="preserve"> sur les orientations et les critères pour les mélanges se poursuivra. Le groupe </w:t>
      </w:r>
      <w:r>
        <w:rPr>
          <w:lang w:val="fr-FR"/>
        </w:rPr>
        <w:t xml:space="preserve">de travail </w:t>
      </w:r>
      <w:r w:rsidRPr="00A241BD">
        <w:rPr>
          <w:lang w:val="fr-FR"/>
        </w:rPr>
        <w:t>prévoit que des propositions actualisées sur les orientations s</w:t>
      </w:r>
      <w:r>
        <w:rPr>
          <w:lang w:val="fr-FR"/>
        </w:rPr>
        <w:t>oie</w:t>
      </w:r>
      <w:r w:rsidRPr="00A241BD">
        <w:rPr>
          <w:lang w:val="fr-FR"/>
        </w:rPr>
        <w:t>nt fournies dans un document informel supplémentaire qu</w:t>
      </w:r>
      <w:r>
        <w:rPr>
          <w:lang w:val="fr-FR"/>
        </w:rPr>
        <w:t>’</w:t>
      </w:r>
      <w:r w:rsidRPr="00A241BD">
        <w:rPr>
          <w:lang w:val="fr-FR"/>
        </w:rPr>
        <w:t>il envisage de soumettre à l</w:t>
      </w:r>
      <w:r>
        <w:rPr>
          <w:lang w:val="fr-FR"/>
        </w:rPr>
        <w:t>’</w:t>
      </w:r>
      <w:r w:rsidRPr="00A241BD">
        <w:rPr>
          <w:lang w:val="fr-FR"/>
        </w:rPr>
        <w:t>examen du Sous-Comité à sa quarante</w:t>
      </w:r>
      <w:r w:rsidR="000C0E9C">
        <w:rPr>
          <w:lang w:val="fr-FR"/>
        </w:rPr>
        <w:noBreakHyphen/>
      </w:r>
      <w:r w:rsidRPr="00A241BD">
        <w:rPr>
          <w:lang w:val="fr-FR"/>
        </w:rPr>
        <w:t>troisième session, les propositions relatives aux mélanges devant être soumises au début de la période biennale</w:t>
      </w:r>
      <w:r>
        <w:rPr>
          <w:lang w:val="fr-FR"/>
        </w:rPr>
        <w:t xml:space="preserve"> suivante</w:t>
      </w:r>
      <w:r w:rsidRPr="00A241BD">
        <w:rPr>
          <w:lang w:val="fr-FR"/>
        </w:rPr>
        <w:t xml:space="preserve">. En outre, </w:t>
      </w:r>
      <w:r>
        <w:rPr>
          <w:lang w:val="fr-FR"/>
        </w:rPr>
        <w:t>afin d’</w:t>
      </w:r>
      <w:r w:rsidRPr="00A241BD">
        <w:rPr>
          <w:lang w:val="fr-FR"/>
        </w:rPr>
        <w:t>aligner les chapitres 1.2, 3.2 et 3.3 sur le chapitre</w:t>
      </w:r>
      <w:r>
        <w:rPr>
          <w:lang w:val="fr-FR"/>
        </w:rPr>
        <w:t> </w:t>
      </w:r>
      <w:r w:rsidRPr="00A241BD">
        <w:rPr>
          <w:lang w:val="fr-FR"/>
        </w:rPr>
        <w:t>3.4, il est également proposé d</w:t>
      </w:r>
      <w:r>
        <w:rPr>
          <w:lang w:val="fr-FR"/>
        </w:rPr>
        <w:t>’</w:t>
      </w:r>
      <w:r w:rsidRPr="00A241BD">
        <w:rPr>
          <w:lang w:val="fr-FR"/>
        </w:rPr>
        <w:t xml:space="preserve">apporter à ces chapitres </w:t>
      </w:r>
      <w:r>
        <w:rPr>
          <w:lang w:val="fr-FR"/>
        </w:rPr>
        <w:t>plusieurs amendements</w:t>
      </w:r>
      <w:r w:rsidRPr="00A241BD">
        <w:rPr>
          <w:lang w:val="fr-FR"/>
        </w:rPr>
        <w:t xml:space="preserve"> </w:t>
      </w:r>
      <w:r>
        <w:rPr>
          <w:lang w:val="fr-FR"/>
        </w:rPr>
        <w:t>de conséquence</w:t>
      </w:r>
      <w:r w:rsidRPr="00A241BD">
        <w:rPr>
          <w:lang w:val="fr-FR"/>
        </w:rPr>
        <w:t xml:space="preserve"> (voir ST/SG/AC.10/C.4/2022/15).</w:t>
      </w:r>
    </w:p>
    <w:p w14:paraId="0EC072E4" w14:textId="77777777" w:rsidR="00B178A7" w:rsidRPr="00A241BD" w:rsidRDefault="00B178A7" w:rsidP="002800B5">
      <w:pPr>
        <w:pStyle w:val="HChG"/>
        <w:rPr>
          <w:lang w:val="fr-FR"/>
        </w:rPr>
      </w:pPr>
      <w:r w:rsidRPr="00A241BD">
        <w:rPr>
          <w:lang w:val="fr-FR"/>
        </w:rPr>
        <w:lastRenderedPageBreak/>
        <w:tab/>
      </w:r>
      <w:r w:rsidRPr="00A241BD">
        <w:rPr>
          <w:lang w:val="fr-FR"/>
        </w:rPr>
        <w:tab/>
        <w:t>Contexte</w:t>
      </w:r>
    </w:p>
    <w:p w14:paraId="08045858" w14:textId="77777777" w:rsidR="00B178A7" w:rsidRDefault="00B178A7" w:rsidP="002800B5">
      <w:pPr>
        <w:pStyle w:val="SingleTxtG"/>
        <w:keepNext/>
        <w:rPr>
          <w:lang w:val="fr-FR"/>
        </w:rPr>
      </w:pPr>
      <w:r>
        <w:rPr>
          <w:lang w:val="fr-FR"/>
        </w:rPr>
        <w:t>2.</w:t>
      </w:r>
      <w:r w:rsidRPr="00A241BD">
        <w:rPr>
          <w:lang w:val="fr-FR"/>
        </w:rPr>
        <w:tab/>
        <w:t>Le mandat que le Sous-Comité a confié au groupe de travail informel (voir le document informel INF.26 de la trente-neuvième session) prévoit cinq activités principales</w:t>
      </w:r>
      <w:r>
        <w:rPr>
          <w:lang w:val="fr-FR"/>
        </w:rPr>
        <w:t> :</w:t>
      </w:r>
    </w:p>
    <w:p w14:paraId="29BDCE55" w14:textId="77777777" w:rsidR="00B178A7" w:rsidRDefault="00B178A7" w:rsidP="00B178A7">
      <w:pPr>
        <w:pStyle w:val="SingleTxtG"/>
        <w:ind w:firstLine="567"/>
        <w:rPr>
          <w:lang w:val="fr-FR"/>
        </w:rPr>
      </w:pPr>
      <w:r w:rsidRPr="00A241BD">
        <w:rPr>
          <w:lang w:val="fr-FR"/>
        </w:rPr>
        <w:t>a)</w:t>
      </w:r>
      <w:r>
        <w:rPr>
          <w:lang w:val="fr-FR"/>
        </w:rPr>
        <w:tab/>
        <w:t>Recenser</w:t>
      </w:r>
      <w:r w:rsidRPr="00A241BD">
        <w:rPr>
          <w:lang w:val="fr-FR"/>
        </w:rPr>
        <w:t xml:space="preserve"> et évaluer</w:t>
      </w:r>
      <w:r w:rsidRPr="004A79D8">
        <w:rPr>
          <w:rStyle w:val="FootnoteReference"/>
        </w:rPr>
        <w:footnoteReference w:id="4"/>
      </w:r>
      <w:r w:rsidRPr="00A241BD">
        <w:rPr>
          <w:lang w:val="fr-FR"/>
        </w:rPr>
        <w:t xml:space="preserve"> les méthodes d</w:t>
      </w:r>
      <w:r>
        <w:rPr>
          <w:lang w:val="fr-FR"/>
        </w:rPr>
        <w:t>’</w:t>
      </w:r>
      <w:r w:rsidRPr="00A241BD">
        <w:rPr>
          <w:lang w:val="fr-FR"/>
        </w:rPr>
        <w:t xml:space="preserve">essai </w:t>
      </w:r>
      <w:r w:rsidRPr="00A241BD">
        <w:rPr>
          <w:i/>
          <w:lang w:val="fr-FR"/>
        </w:rPr>
        <w:t xml:space="preserve">in vitro </w:t>
      </w:r>
      <w:r w:rsidRPr="00A241BD">
        <w:rPr>
          <w:lang w:val="fr-FR"/>
        </w:rPr>
        <w:t xml:space="preserve">et </w:t>
      </w:r>
      <w:r w:rsidRPr="00A241BD">
        <w:rPr>
          <w:i/>
          <w:lang w:val="fr-FR"/>
        </w:rPr>
        <w:t xml:space="preserve">in </w:t>
      </w:r>
      <w:proofErr w:type="spellStart"/>
      <w:r w:rsidRPr="00A241BD">
        <w:rPr>
          <w:i/>
          <w:lang w:val="fr-FR"/>
        </w:rPr>
        <w:t>chemico</w:t>
      </w:r>
      <w:proofErr w:type="spellEnd"/>
      <w:r w:rsidRPr="00A241BD">
        <w:rPr>
          <w:i/>
          <w:lang w:val="fr-FR"/>
        </w:rPr>
        <w:t xml:space="preserve"> </w:t>
      </w:r>
      <w:r w:rsidRPr="00A241BD">
        <w:rPr>
          <w:lang w:val="fr-FR"/>
        </w:rPr>
        <w:t>disponibles</w:t>
      </w:r>
      <w:r>
        <w:rPr>
          <w:lang w:val="fr-FR"/>
        </w:rPr>
        <w:t xml:space="preserve"> et</w:t>
      </w:r>
      <w:r w:rsidRPr="00A241BD">
        <w:rPr>
          <w:lang w:val="fr-FR"/>
        </w:rPr>
        <w:t xml:space="preserve"> validées au niveau international, </w:t>
      </w:r>
      <w:r>
        <w:rPr>
          <w:lang w:val="fr-FR"/>
        </w:rPr>
        <w:t>ainsi que</w:t>
      </w:r>
      <w:r w:rsidRPr="00A241BD">
        <w:rPr>
          <w:lang w:val="fr-FR"/>
        </w:rPr>
        <w:t xml:space="preserve"> les orientations existantes sur les méthodes </w:t>
      </w:r>
      <w:r w:rsidRPr="00A241BD">
        <w:rPr>
          <w:i/>
          <w:lang w:val="fr-FR"/>
        </w:rPr>
        <w:t xml:space="preserve">in silico </w:t>
      </w:r>
      <w:r w:rsidRPr="00A241BD">
        <w:rPr>
          <w:lang w:val="fr-FR"/>
        </w:rPr>
        <w:t xml:space="preserve">(y compris les </w:t>
      </w:r>
      <w:r>
        <w:rPr>
          <w:lang w:val="fr-FR"/>
        </w:rPr>
        <w:t>méthodes</w:t>
      </w:r>
      <w:r w:rsidRPr="00A241BD">
        <w:rPr>
          <w:lang w:val="fr-FR"/>
        </w:rPr>
        <w:t xml:space="preserve"> de regroupement, les relations quantitatives structure-activité (QSAR) et la lecture croisée), en tenant compte de leurs limites, de leurs incertitudes et des </w:t>
      </w:r>
      <w:r>
        <w:rPr>
          <w:lang w:val="fr-FR"/>
        </w:rPr>
        <w:t>évolutions</w:t>
      </w:r>
      <w:r w:rsidRPr="00A241BD">
        <w:rPr>
          <w:lang w:val="fr-FR"/>
        </w:rPr>
        <w:t xml:space="preserve"> futur</w:t>
      </w:r>
      <w:r>
        <w:rPr>
          <w:lang w:val="fr-FR"/>
        </w:rPr>
        <w:t>e</w:t>
      </w:r>
      <w:r w:rsidRPr="00A241BD">
        <w:rPr>
          <w:lang w:val="fr-FR"/>
        </w:rPr>
        <w:t>s attendu</w:t>
      </w:r>
      <w:r>
        <w:rPr>
          <w:lang w:val="fr-FR"/>
        </w:rPr>
        <w:t>e</w:t>
      </w:r>
      <w:r w:rsidRPr="00A241BD">
        <w:rPr>
          <w:lang w:val="fr-FR"/>
        </w:rPr>
        <w:t xml:space="preserve">s, qui pourraient être utiles pour </w:t>
      </w:r>
      <w:r>
        <w:rPr>
          <w:lang w:val="fr-FR"/>
        </w:rPr>
        <w:t>le classement</w:t>
      </w:r>
      <w:r w:rsidRPr="00A241BD">
        <w:rPr>
          <w:lang w:val="fr-FR"/>
        </w:rPr>
        <w:t xml:space="preserve"> des dangers d</w:t>
      </w:r>
      <w:r>
        <w:rPr>
          <w:lang w:val="fr-FR"/>
        </w:rPr>
        <w:t>ans le</w:t>
      </w:r>
      <w:r w:rsidRPr="00A241BD">
        <w:rPr>
          <w:lang w:val="fr-FR"/>
        </w:rPr>
        <w:t xml:space="preserve"> SGH </w:t>
      </w:r>
      <w:r>
        <w:rPr>
          <w:lang w:val="fr-FR"/>
        </w:rPr>
        <w:t>en ce qui concerne</w:t>
      </w:r>
      <w:r w:rsidRPr="00A241BD">
        <w:rPr>
          <w:lang w:val="fr-FR"/>
        </w:rPr>
        <w:t xml:space="preserve"> les classes de danger pour la santé et pour l</w:t>
      </w:r>
      <w:r>
        <w:rPr>
          <w:lang w:val="fr-FR"/>
        </w:rPr>
        <w:t>’</w:t>
      </w:r>
      <w:r w:rsidRPr="00A241BD">
        <w:rPr>
          <w:lang w:val="fr-FR"/>
        </w:rPr>
        <w:t xml:space="preserve">environnement, en utilisant une </w:t>
      </w:r>
      <w:r>
        <w:rPr>
          <w:lang w:val="fr-FR"/>
        </w:rPr>
        <w:t>démarche</w:t>
      </w:r>
      <w:r w:rsidRPr="00A241BD">
        <w:rPr>
          <w:lang w:val="fr-FR"/>
        </w:rPr>
        <w:t xml:space="preserve"> progressive et en commençant par une classe de danger à déterminer par </w:t>
      </w:r>
      <w:r>
        <w:rPr>
          <w:lang w:val="fr-FR"/>
        </w:rPr>
        <w:t xml:space="preserve">le </w:t>
      </w:r>
      <w:r w:rsidRPr="00A241BD">
        <w:rPr>
          <w:lang w:val="fr-FR"/>
        </w:rPr>
        <w:t>groupe</w:t>
      </w:r>
      <w:r>
        <w:rPr>
          <w:lang w:val="fr-FR"/>
        </w:rPr>
        <w:t xml:space="preserve"> informel ;</w:t>
      </w:r>
    </w:p>
    <w:p w14:paraId="71A16CB7" w14:textId="77777777" w:rsidR="00B178A7" w:rsidRDefault="00B178A7" w:rsidP="000C0E9C">
      <w:pPr>
        <w:pStyle w:val="SingleTxtG"/>
        <w:keepNext/>
        <w:ind w:firstLine="567"/>
        <w:rPr>
          <w:lang w:val="fr-FR"/>
        </w:rPr>
      </w:pPr>
      <w:r w:rsidRPr="00A241BD">
        <w:rPr>
          <w:lang w:val="fr-FR"/>
        </w:rPr>
        <w:t>b)</w:t>
      </w:r>
      <w:r w:rsidRPr="00A241BD">
        <w:rPr>
          <w:lang w:val="fr-FR"/>
        </w:rPr>
        <w:tab/>
        <w:t>Pour chaque classe et catégorie de danger pertinente, évaluer</w:t>
      </w:r>
      <w:r>
        <w:rPr>
          <w:lang w:val="fr-FR"/>
        </w:rPr>
        <w:t xml:space="preserve"> les questions de savoir :</w:t>
      </w:r>
    </w:p>
    <w:p w14:paraId="58D4A084" w14:textId="77777777" w:rsidR="00B178A7" w:rsidRDefault="00B178A7" w:rsidP="002800B5">
      <w:pPr>
        <w:pStyle w:val="SingleTxtG"/>
        <w:ind w:left="1701"/>
        <w:rPr>
          <w:lang w:val="fr-FR"/>
        </w:rPr>
      </w:pPr>
      <w:r w:rsidRPr="00A241BD">
        <w:rPr>
          <w:lang w:val="fr-FR"/>
        </w:rPr>
        <w:t>i)</w:t>
      </w:r>
      <w:r w:rsidRPr="00A241BD">
        <w:rPr>
          <w:lang w:val="fr-FR"/>
        </w:rPr>
        <w:tab/>
      </w:r>
      <w:r>
        <w:rPr>
          <w:lang w:val="fr-FR"/>
        </w:rPr>
        <w:t>Si</w:t>
      </w:r>
      <w:r w:rsidRPr="00A241BD">
        <w:rPr>
          <w:lang w:val="fr-FR"/>
        </w:rPr>
        <w:t xml:space="preserve"> les </w:t>
      </w:r>
      <w:r>
        <w:rPr>
          <w:lang w:val="fr-FR"/>
        </w:rPr>
        <w:t>substances</w:t>
      </w:r>
      <w:r w:rsidRPr="00A241BD">
        <w:rPr>
          <w:lang w:val="fr-FR"/>
        </w:rPr>
        <w:t xml:space="preserve"> et les mélanges peuvent être classés </w:t>
      </w:r>
      <w:r>
        <w:rPr>
          <w:lang w:val="fr-FR"/>
        </w:rPr>
        <w:t xml:space="preserve">au moyen </w:t>
      </w:r>
      <w:r w:rsidRPr="00A241BD">
        <w:rPr>
          <w:lang w:val="fr-FR"/>
        </w:rPr>
        <w:t>de méthodes n</w:t>
      </w:r>
      <w:r>
        <w:rPr>
          <w:lang w:val="fr-FR"/>
        </w:rPr>
        <w:t>’utili</w:t>
      </w:r>
      <w:r w:rsidRPr="00A241BD">
        <w:rPr>
          <w:lang w:val="fr-FR"/>
        </w:rPr>
        <w:t>sant pas l</w:t>
      </w:r>
      <w:r>
        <w:rPr>
          <w:lang w:val="fr-FR"/>
        </w:rPr>
        <w:t>’</w:t>
      </w:r>
      <w:r w:rsidRPr="00A241BD">
        <w:rPr>
          <w:lang w:val="fr-FR"/>
        </w:rPr>
        <w:t xml:space="preserve">animal, en utilisant toutes les informations scientifiques pertinentes et en indiquant si des critères de </w:t>
      </w:r>
      <w:r>
        <w:rPr>
          <w:lang w:val="fr-FR"/>
        </w:rPr>
        <w:t>classement</w:t>
      </w:r>
      <w:r w:rsidRPr="00A241BD">
        <w:rPr>
          <w:lang w:val="fr-FR"/>
        </w:rPr>
        <w:t xml:space="preserve"> du SGH nouveaux ou modifiés sont nécessaires pour faciliter l</w:t>
      </w:r>
      <w:r>
        <w:rPr>
          <w:lang w:val="fr-FR"/>
        </w:rPr>
        <w:t>’</w:t>
      </w:r>
      <w:r w:rsidRPr="00A241BD">
        <w:rPr>
          <w:lang w:val="fr-FR"/>
        </w:rPr>
        <w:t xml:space="preserve">utilisation de ces méthodes pour </w:t>
      </w:r>
      <w:r>
        <w:rPr>
          <w:lang w:val="fr-FR"/>
        </w:rPr>
        <w:t xml:space="preserve">le classement </w:t>
      </w:r>
      <w:r w:rsidRPr="00A241BD">
        <w:rPr>
          <w:lang w:val="fr-FR"/>
        </w:rPr>
        <w:t>des dangers</w:t>
      </w:r>
      <w:r>
        <w:rPr>
          <w:lang w:val="fr-FR"/>
        </w:rPr>
        <w:t> ;</w:t>
      </w:r>
      <w:r w:rsidRPr="00A241BD">
        <w:rPr>
          <w:lang w:val="fr-FR"/>
        </w:rPr>
        <w:t xml:space="preserve"> </w:t>
      </w:r>
    </w:p>
    <w:p w14:paraId="701EC17D" w14:textId="77777777" w:rsidR="00B178A7" w:rsidRDefault="00B178A7" w:rsidP="002800B5">
      <w:pPr>
        <w:pStyle w:val="SingleTxtG"/>
        <w:ind w:left="1701"/>
        <w:rPr>
          <w:lang w:val="fr-FR"/>
        </w:rPr>
      </w:pPr>
      <w:r w:rsidRPr="00A241BD">
        <w:rPr>
          <w:lang w:val="fr-FR"/>
        </w:rPr>
        <w:t>ii)</w:t>
      </w:r>
      <w:r w:rsidRPr="00A241BD">
        <w:rPr>
          <w:lang w:val="fr-FR"/>
        </w:rPr>
        <w:tab/>
        <w:t>S</w:t>
      </w:r>
      <w:r>
        <w:rPr>
          <w:lang w:val="fr-FR"/>
        </w:rPr>
        <w:t>’</w:t>
      </w:r>
      <w:r w:rsidRPr="00A241BD">
        <w:rPr>
          <w:lang w:val="fr-FR"/>
        </w:rPr>
        <w:t>il convient d</w:t>
      </w:r>
      <w:r>
        <w:rPr>
          <w:lang w:val="fr-FR"/>
        </w:rPr>
        <w:t>’</w:t>
      </w:r>
      <w:r w:rsidRPr="00A241BD">
        <w:rPr>
          <w:lang w:val="fr-FR"/>
        </w:rPr>
        <w:t>élaborer</w:t>
      </w:r>
      <w:r>
        <w:rPr>
          <w:lang w:val="fr-FR"/>
        </w:rPr>
        <w:t xml:space="preserve"> </w:t>
      </w:r>
      <w:r w:rsidRPr="00A241BD">
        <w:rPr>
          <w:lang w:val="fr-FR"/>
        </w:rPr>
        <w:t xml:space="preserve">une </w:t>
      </w:r>
      <w:r>
        <w:rPr>
          <w:lang w:val="fr-FR"/>
        </w:rPr>
        <w:t>méthode</w:t>
      </w:r>
      <w:r w:rsidRPr="00A241BD">
        <w:rPr>
          <w:lang w:val="fr-FR"/>
        </w:rPr>
        <w:t xml:space="preserve"> d</w:t>
      </w:r>
      <w:r>
        <w:rPr>
          <w:lang w:val="fr-FR"/>
        </w:rPr>
        <w:t>’</w:t>
      </w:r>
      <w:r w:rsidRPr="00A241BD">
        <w:rPr>
          <w:lang w:val="fr-FR"/>
        </w:rPr>
        <w:t xml:space="preserve">évaluation intégrée ou </w:t>
      </w:r>
      <w:r>
        <w:rPr>
          <w:lang w:val="fr-FR"/>
        </w:rPr>
        <w:t>par étapes</w:t>
      </w:r>
      <w:r w:rsidRPr="00A241BD">
        <w:rPr>
          <w:lang w:val="fr-FR"/>
        </w:rPr>
        <w:t xml:space="preserve"> tenant compte de toutes les informations scientifiques pertinentes et de la combinaison des méthodes de </w:t>
      </w:r>
      <w:r>
        <w:rPr>
          <w:lang w:val="fr-FR"/>
        </w:rPr>
        <w:t>classement</w:t>
      </w:r>
      <w:r w:rsidRPr="00A241BD">
        <w:rPr>
          <w:lang w:val="fr-FR"/>
        </w:rPr>
        <w:t xml:space="preserve"> des dangers</w:t>
      </w:r>
      <w:r>
        <w:rPr>
          <w:lang w:val="fr-FR"/>
        </w:rPr>
        <w:t> ;</w:t>
      </w:r>
    </w:p>
    <w:p w14:paraId="66F1DAEF" w14:textId="77777777" w:rsidR="00B178A7" w:rsidRDefault="00B178A7" w:rsidP="00B178A7">
      <w:pPr>
        <w:pStyle w:val="SingleTxtG"/>
        <w:ind w:firstLine="567"/>
        <w:rPr>
          <w:lang w:val="fr-FR"/>
        </w:rPr>
      </w:pPr>
      <w:r w:rsidRPr="00A241BD">
        <w:rPr>
          <w:lang w:val="fr-FR"/>
        </w:rPr>
        <w:t>c)</w:t>
      </w:r>
      <w:r>
        <w:rPr>
          <w:lang w:val="fr-FR"/>
        </w:rPr>
        <w:tab/>
        <w:t>Établir</w:t>
      </w:r>
      <w:r w:rsidRPr="00A241BD">
        <w:rPr>
          <w:lang w:val="fr-FR"/>
        </w:rPr>
        <w:t xml:space="preserve"> des projets d</w:t>
      </w:r>
      <w:r>
        <w:rPr>
          <w:lang w:val="fr-FR"/>
        </w:rPr>
        <w:t>’</w:t>
      </w:r>
      <w:r w:rsidRPr="00A241BD">
        <w:rPr>
          <w:lang w:val="fr-FR"/>
        </w:rPr>
        <w:t>amendements et d</w:t>
      </w:r>
      <w:r>
        <w:rPr>
          <w:lang w:val="fr-FR"/>
        </w:rPr>
        <w:t>’</w:t>
      </w:r>
      <w:r w:rsidRPr="00A241BD">
        <w:rPr>
          <w:lang w:val="fr-FR"/>
        </w:rPr>
        <w:t xml:space="preserve">ajouts au SGH afin de faciliter </w:t>
      </w:r>
      <w:r>
        <w:rPr>
          <w:lang w:val="fr-FR"/>
        </w:rPr>
        <w:t xml:space="preserve">le classement </w:t>
      </w:r>
      <w:r w:rsidRPr="00A241BD">
        <w:rPr>
          <w:lang w:val="fr-FR"/>
        </w:rPr>
        <w:t>des dangers à l</w:t>
      </w:r>
      <w:r>
        <w:rPr>
          <w:lang w:val="fr-FR"/>
        </w:rPr>
        <w:t>’</w:t>
      </w:r>
      <w:r w:rsidRPr="00A241BD">
        <w:rPr>
          <w:lang w:val="fr-FR"/>
        </w:rPr>
        <w:t>aide de méthodes non animales, le cas échéant, en tenant compte des limitations et incertitudes pertinentes. Les amendements et les ajouts d</w:t>
      </w:r>
      <w:r>
        <w:rPr>
          <w:lang w:val="fr-FR"/>
        </w:rPr>
        <w:t>oiv</w:t>
      </w:r>
      <w:r w:rsidRPr="00A241BD">
        <w:rPr>
          <w:lang w:val="fr-FR"/>
        </w:rPr>
        <w:t xml:space="preserve">ent comprendre, selon le cas, des critères de </w:t>
      </w:r>
      <w:r>
        <w:rPr>
          <w:lang w:val="fr-FR"/>
        </w:rPr>
        <w:t>classement</w:t>
      </w:r>
      <w:r w:rsidRPr="00A241BD">
        <w:rPr>
          <w:lang w:val="fr-FR"/>
        </w:rPr>
        <w:t xml:space="preserve">, des notes, des logiques de décision, des évaluations et des orientations par étapes, et devraient tenir compte des besoins de tous les secteurs et, dans la mesure du possible, fournir une </w:t>
      </w:r>
      <w:r>
        <w:rPr>
          <w:lang w:val="fr-FR"/>
        </w:rPr>
        <w:t>méthode</w:t>
      </w:r>
      <w:r w:rsidRPr="00A241BD">
        <w:rPr>
          <w:lang w:val="fr-FR"/>
        </w:rPr>
        <w:t xml:space="preserve"> cohérente pour les différentes classes de danger</w:t>
      </w:r>
      <w:r>
        <w:rPr>
          <w:lang w:val="fr-FR"/>
        </w:rPr>
        <w:t> ;</w:t>
      </w:r>
    </w:p>
    <w:p w14:paraId="6768ECD8" w14:textId="77777777" w:rsidR="00B178A7" w:rsidRDefault="00B178A7" w:rsidP="00B178A7">
      <w:pPr>
        <w:pStyle w:val="SingleTxtG"/>
        <w:ind w:firstLine="567"/>
        <w:rPr>
          <w:lang w:val="fr-FR"/>
        </w:rPr>
      </w:pPr>
      <w:r w:rsidRPr="00A241BD">
        <w:rPr>
          <w:lang w:val="fr-FR"/>
        </w:rPr>
        <w:t>d)</w:t>
      </w:r>
      <w:r>
        <w:rPr>
          <w:lang w:val="fr-FR"/>
        </w:rPr>
        <w:tab/>
        <w:t>Recenser</w:t>
      </w:r>
      <w:r w:rsidRPr="00A241BD">
        <w:rPr>
          <w:lang w:val="fr-FR"/>
        </w:rPr>
        <w:t xml:space="preserve"> les erreurs techniques et les améliorations </w:t>
      </w:r>
      <w:r>
        <w:rPr>
          <w:lang w:val="fr-FR"/>
        </w:rPr>
        <w:t xml:space="preserve">d’ordre </w:t>
      </w:r>
      <w:r w:rsidRPr="00A241BD">
        <w:rPr>
          <w:lang w:val="fr-FR"/>
        </w:rPr>
        <w:t>rédactionnel lors de l</w:t>
      </w:r>
      <w:r>
        <w:rPr>
          <w:lang w:val="fr-FR"/>
        </w:rPr>
        <w:t>’</w:t>
      </w:r>
      <w:r w:rsidRPr="00A241BD">
        <w:rPr>
          <w:lang w:val="fr-FR"/>
        </w:rPr>
        <w:t xml:space="preserve">examen des chapitres qui ne </w:t>
      </w:r>
      <w:r>
        <w:rPr>
          <w:lang w:val="fr-FR"/>
        </w:rPr>
        <w:t>portent</w:t>
      </w:r>
      <w:r w:rsidRPr="00A241BD">
        <w:rPr>
          <w:lang w:val="fr-FR"/>
        </w:rPr>
        <w:t xml:space="preserve"> pas </w:t>
      </w:r>
      <w:r>
        <w:rPr>
          <w:lang w:val="fr-FR"/>
        </w:rPr>
        <w:t xml:space="preserve">sur les </w:t>
      </w:r>
      <w:r w:rsidRPr="00A241BD">
        <w:rPr>
          <w:lang w:val="fr-FR"/>
        </w:rPr>
        <w:t xml:space="preserve">critères </w:t>
      </w:r>
      <w:r>
        <w:rPr>
          <w:lang w:val="fr-FR"/>
        </w:rPr>
        <w:t xml:space="preserve">non </w:t>
      </w:r>
      <w:r w:rsidRPr="00A241BD">
        <w:rPr>
          <w:lang w:val="fr-FR"/>
        </w:rPr>
        <w:t xml:space="preserve">relatifs </w:t>
      </w:r>
      <w:r>
        <w:rPr>
          <w:lang w:val="fr-FR"/>
        </w:rPr>
        <w:t>à l’expérimentation</w:t>
      </w:r>
      <w:r w:rsidRPr="00A241BD">
        <w:rPr>
          <w:lang w:val="fr-FR"/>
        </w:rPr>
        <w:t xml:space="preserve"> anima</w:t>
      </w:r>
      <w:r>
        <w:rPr>
          <w:lang w:val="fr-FR"/>
        </w:rPr>
        <w:t>le</w:t>
      </w:r>
      <w:r w:rsidRPr="00A241BD">
        <w:rPr>
          <w:lang w:val="fr-FR"/>
        </w:rPr>
        <w:t xml:space="preserve"> et les </w:t>
      </w:r>
      <w:r>
        <w:rPr>
          <w:lang w:val="fr-FR"/>
        </w:rPr>
        <w:t>transmettre</w:t>
      </w:r>
      <w:r w:rsidRPr="00A241BD">
        <w:rPr>
          <w:lang w:val="fr-FR"/>
        </w:rPr>
        <w:t xml:space="preserve"> au groupe de travail approprié pour </w:t>
      </w:r>
      <w:r>
        <w:rPr>
          <w:lang w:val="fr-FR"/>
        </w:rPr>
        <w:t>rectification</w:t>
      </w:r>
      <w:r w:rsidRPr="00A241BD">
        <w:rPr>
          <w:lang w:val="fr-FR"/>
        </w:rPr>
        <w:t xml:space="preserve"> ou présent</w:t>
      </w:r>
      <w:r>
        <w:rPr>
          <w:lang w:val="fr-FR"/>
        </w:rPr>
        <w:t>ation</w:t>
      </w:r>
      <w:r w:rsidRPr="00A241BD">
        <w:rPr>
          <w:lang w:val="fr-FR"/>
        </w:rPr>
        <w:t xml:space="preserve"> dans un document de travail directement au </w:t>
      </w:r>
      <w:r>
        <w:rPr>
          <w:lang w:val="fr-FR"/>
        </w:rPr>
        <w:t>S</w:t>
      </w:r>
      <w:r w:rsidRPr="00A241BD">
        <w:rPr>
          <w:lang w:val="fr-FR"/>
        </w:rPr>
        <w:t>ous-</w:t>
      </w:r>
      <w:r>
        <w:rPr>
          <w:lang w:val="fr-FR"/>
        </w:rPr>
        <w:t>C</w:t>
      </w:r>
      <w:r w:rsidRPr="00A241BD">
        <w:rPr>
          <w:lang w:val="fr-FR"/>
        </w:rPr>
        <w:t>omité</w:t>
      </w:r>
      <w:r>
        <w:rPr>
          <w:lang w:val="fr-FR"/>
        </w:rPr>
        <w:t> ;</w:t>
      </w:r>
    </w:p>
    <w:p w14:paraId="3F531B7F" w14:textId="017C308F" w:rsidR="00B178A7" w:rsidRPr="00A241BD" w:rsidRDefault="00B178A7" w:rsidP="00B178A7">
      <w:pPr>
        <w:pStyle w:val="SingleTxtG"/>
        <w:ind w:firstLine="567"/>
        <w:rPr>
          <w:lang w:val="fr-FR"/>
        </w:rPr>
      </w:pPr>
      <w:r w:rsidRPr="00A241BD">
        <w:rPr>
          <w:lang w:val="fr-FR"/>
        </w:rPr>
        <w:t>e)</w:t>
      </w:r>
      <w:r>
        <w:rPr>
          <w:lang w:val="fr-FR"/>
        </w:rPr>
        <w:tab/>
      </w:r>
      <w:r w:rsidRPr="00A241BD">
        <w:rPr>
          <w:lang w:val="fr-FR"/>
        </w:rPr>
        <w:t>Rendre compte des progrès accomplis au Sous-Comité, le cas échéant. L</w:t>
      </w:r>
      <w:r>
        <w:rPr>
          <w:lang w:val="fr-FR"/>
        </w:rPr>
        <w:t>e</w:t>
      </w:r>
      <w:r w:rsidR="002C6567">
        <w:rPr>
          <w:lang w:val="fr-FR"/>
        </w:rPr>
        <w:t> </w:t>
      </w:r>
      <w:r w:rsidRPr="00A241BD">
        <w:rPr>
          <w:lang w:val="fr-FR"/>
        </w:rPr>
        <w:t>derni</w:t>
      </w:r>
      <w:r>
        <w:rPr>
          <w:lang w:val="fr-FR"/>
        </w:rPr>
        <w:t xml:space="preserve">er point sur </w:t>
      </w:r>
      <w:r w:rsidRPr="00A241BD">
        <w:rPr>
          <w:lang w:val="fr-FR"/>
        </w:rPr>
        <w:t>l</w:t>
      </w:r>
      <w:r>
        <w:rPr>
          <w:lang w:val="fr-FR"/>
        </w:rPr>
        <w:t>’</w:t>
      </w:r>
      <w:r w:rsidRPr="00A241BD">
        <w:rPr>
          <w:lang w:val="fr-FR"/>
        </w:rPr>
        <w:t>état d</w:t>
      </w:r>
      <w:r>
        <w:rPr>
          <w:lang w:val="fr-FR"/>
        </w:rPr>
        <w:t>’</w:t>
      </w:r>
      <w:r w:rsidRPr="00A241BD">
        <w:rPr>
          <w:lang w:val="fr-FR"/>
        </w:rPr>
        <w:t>avancement</w:t>
      </w:r>
      <w:r>
        <w:rPr>
          <w:lang w:val="fr-FR"/>
        </w:rPr>
        <w:t xml:space="preserve"> des travaux</w:t>
      </w:r>
      <w:r w:rsidRPr="00A241BD">
        <w:rPr>
          <w:lang w:val="fr-FR"/>
        </w:rPr>
        <w:t xml:space="preserve"> sera </w:t>
      </w:r>
      <w:r>
        <w:rPr>
          <w:lang w:val="fr-FR"/>
        </w:rPr>
        <w:t>présenté</w:t>
      </w:r>
      <w:r w:rsidRPr="00A241BD">
        <w:rPr>
          <w:lang w:val="fr-FR"/>
        </w:rPr>
        <w:t xml:space="preserve"> sous forme de document informel pour la quarante-troisième session.</w:t>
      </w:r>
    </w:p>
    <w:p w14:paraId="7252A8BB" w14:textId="77777777" w:rsidR="00B178A7" w:rsidRPr="00A241BD" w:rsidRDefault="00B178A7" w:rsidP="002800B5">
      <w:pPr>
        <w:pStyle w:val="SingleTxtG"/>
        <w:rPr>
          <w:lang w:val="fr-FR"/>
        </w:rPr>
      </w:pPr>
      <w:r>
        <w:rPr>
          <w:lang w:val="fr-FR"/>
        </w:rPr>
        <w:t>3.</w:t>
      </w:r>
      <w:r>
        <w:rPr>
          <w:lang w:val="fr-FR"/>
        </w:rPr>
        <w:tab/>
      </w:r>
      <w:r w:rsidRPr="00A241BD">
        <w:rPr>
          <w:lang w:val="fr-FR"/>
        </w:rPr>
        <w:t xml:space="preserve">Le groupe de travail informel compte une soixantaine de membres, ce qui </w:t>
      </w:r>
      <w:r>
        <w:rPr>
          <w:lang w:val="fr-FR"/>
        </w:rPr>
        <w:t>donne la mesure de</w:t>
      </w:r>
      <w:r w:rsidRPr="00A241BD">
        <w:rPr>
          <w:lang w:val="fr-FR"/>
        </w:rPr>
        <w:t xml:space="preserve"> l</w:t>
      </w:r>
      <w:r>
        <w:rPr>
          <w:lang w:val="fr-FR"/>
        </w:rPr>
        <w:t>’</w:t>
      </w:r>
      <w:r w:rsidRPr="00A241BD">
        <w:rPr>
          <w:lang w:val="fr-FR"/>
        </w:rPr>
        <w:t xml:space="preserve">importance de ses travaux et </w:t>
      </w:r>
      <w:r>
        <w:rPr>
          <w:lang w:val="fr-FR"/>
        </w:rPr>
        <w:t xml:space="preserve">de </w:t>
      </w:r>
      <w:r w:rsidRPr="00A241BD">
        <w:rPr>
          <w:lang w:val="fr-FR"/>
        </w:rPr>
        <w:t>l</w:t>
      </w:r>
      <w:r>
        <w:rPr>
          <w:lang w:val="fr-FR"/>
        </w:rPr>
        <w:t>’</w:t>
      </w:r>
      <w:r w:rsidRPr="00A241BD">
        <w:rPr>
          <w:lang w:val="fr-FR"/>
        </w:rPr>
        <w:t>intérêt</w:t>
      </w:r>
      <w:r>
        <w:rPr>
          <w:lang w:val="fr-FR"/>
        </w:rPr>
        <w:t xml:space="preserve"> que ceux-ci suscitent</w:t>
      </w:r>
      <w:r w:rsidRPr="00A241BD">
        <w:rPr>
          <w:lang w:val="fr-FR"/>
        </w:rPr>
        <w:t xml:space="preserve">. Les </w:t>
      </w:r>
      <w:r>
        <w:rPr>
          <w:lang w:val="fr-FR"/>
        </w:rPr>
        <w:t>débats</w:t>
      </w:r>
      <w:r w:rsidRPr="00A241BD">
        <w:rPr>
          <w:lang w:val="fr-FR"/>
        </w:rPr>
        <w:t xml:space="preserve"> du groupe sont très détaillés et animés par un fort désir de progresser dans l</w:t>
      </w:r>
      <w:r>
        <w:rPr>
          <w:lang w:val="fr-FR"/>
        </w:rPr>
        <w:t>’</w:t>
      </w:r>
      <w:r w:rsidRPr="00A241BD">
        <w:rPr>
          <w:lang w:val="fr-FR"/>
        </w:rPr>
        <w:t>accomplissement du mandat du groupe, qui est de veiller à ce que les méthodes d</w:t>
      </w:r>
      <w:r>
        <w:rPr>
          <w:lang w:val="fr-FR"/>
        </w:rPr>
        <w:t>’</w:t>
      </w:r>
      <w:r w:rsidRPr="00A241BD">
        <w:rPr>
          <w:lang w:val="fr-FR"/>
        </w:rPr>
        <w:t>expérimentation non animale</w:t>
      </w:r>
      <w:r>
        <w:rPr>
          <w:lang w:val="fr-FR"/>
        </w:rPr>
        <w:t>s</w:t>
      </w:r>
      <w:r w:rsidRPr="00A241BD">
        <w:rPr>
          <w:lang w:val="fr-FR"/>
        </w:rPr>
        <w:t xml:space="preserve"> soient systématiquement intégrées dans le SGH d</w:t>
      </w:r>
      <w:r>
        <w:rPr>
          <w:lang w:val="fr-FR"/>
        </w:rPr>
        <w:t>’</w:t>
      </w:r>
      <w:r w:rsidRPr="00A241BD">
        <w:rPr>
          <w:lang w:val="fr-FR"/>
        </w:rPr>
        <w:t xml:space="preserve">une manière </w:t>
      </w:r>
      <w:r>
        <w:rPr>
          <w:lang w:val="fr-FR"/>
        </w:rPr>
        <w:t xml:space="preserve">correspondant à </w:t>
      </w:r>
      <w:r w:rsidRPr="00A241BD">
        <w:rPr>
          <w:lang w:val="fr-FR"/>
        </w:rPr>
        <w:t xml:space="preserve">leur importance croissante et </w:t>
      </w:r>
      <w:r>
        <w:rPr>
          <w:lang w:val="fr-FR"/>
        </w:rPr>
        <w:t xml:space="preserve">à </w:t>
      </w:r>
      <w:r w:rsidRPr="00A241BD">
        <w:rPr>
          <w:lang w:val="fr-FR"/>
        </w:rPr>
        <w:t xml:space="preserve">leur pertinence scientifique, tout en </w:t>
      </w:r>
      <w:r>
        <w:rPr>
          <w:lang w:val="fr-FR"/>
        </w:rPr>
        <w:t>tenant compte de</w:t>
      </w:r>
      <w:r w:rsidRPr="00A241BD">
        <w:rPr>
          <w:lang w:val="fr-FR"/>
        </w:rPr>
        <w:t xml:space="preserve"> leurs limites.</w:t>
      </w:r>
    </w:p>
    <w:p w14:paraId="682006B7" w14:textId="77777777" w:rsidR="00B178A7" w:rsidRPr="00A241BD" w:rsidRDefault="00B178A7" w:rsidP="002800B5">
      <w:pPr>
        <w:pStyle w:val="SingleTxtG"/>
        <w:rPr>
          <w:lang w:val="fr-FR"/>
        </w:rPr>
      </w:pPr>
      <w:r>
        <w:rPr>
          <w:lang w:val="fr-FR"/>
        </w:rPr>
        <w:t>4.</w:t>
      </w:r>
      <w:r w:rsidRPr="00A241BD">
        <w:rPr>
          <w:lang w:val="fr-FR"/>
        </w:rPr>
        <w:tab/>
        <w:t xml:space="preserve">En mai 2021, le groupe de travail informel a commencé à travailler sur </w:t>
      </w:r>
      <w:bookmarkStart w:id="3" w:name="_Hlk116403503"/>
      <w:r>
        <w:rPr>
          <w:lang w:val="fr-FR"/>
        </w:rPr>
        <w:t>l’actualisation</w:t>
      </w:r>
      <w:r w:rsidRPr="00A241BD">
        <w:rPr>
          <w:lang w:val="fr-FR"/>
        </w:rPr>
        <w:t xml:space="preserve"> </w:t>
      </w:r>
      <w:bookmarkEnd w:id="3"/>
      <w:r w:rsidRPr="00A241BD">
        <w:rPr>
          <w:lang w:val="fr-FR"/>
        </w:rPr>
        <w:t xml:space="preserve">du chapitre 3.4 </w:t>
      </w:r>
      <w:r>
        <w:rPr>
          <w:lang w:val="fr-FR"/>
        </w:rPr>
        <w:t>en ce qui concerne</w:t>
      </w:r>
      <w:r w:rsidRPr="00A241BD">
        <w:rPr>
          <w:lang w:val="fr-FR"/>
        </w:rPr>
        <w:t xml:space="preserve"> la sensibilisation </w:t>
      </w:r>
      <w:r>
        <w:rPr>
          <w:lang w:val="fr-FR"/>
        </w:rPr>
        <w:t>cutanée</w:t>
      </w:r>
      <w:r w:rsidRPr="00A241BD">
        <w:rPr>
          <w:lang w:val="fr-FR"/>
        </w:rPr>
        <w:t xml:space="preserve"> en vue d</w:t>
      </w:r>
      <w:r>
        <w:rPr>
          <w:lang w:val="fr-FR"/>
        </w:rPr>
        <w:t>’y intégrer</w:t>
      </w:r>
      <w:r w:rsidRPr="00A241BD">
        <w:rPr>
          <w:lang w:val="fr-FR"/>
        </w:rPr>
        <w:t xml:space="preserve"> de</w:t>
      </w:r>
      <w:r>
        <w:rPr>
          <w:lang w:val="fr-FR"/>
        </w:rPr>
        <w:t>s</w:t>
      </w:r>
      <w:r w:rsidRPr="00A241BD">
        <w:rPr>
          <w:lang w:val="fr-FR"/>
        </w:rPr>
        <w:t xml:space="preserve"> </w:t>
      </w:r>
      <w:r w:rsidRPr="00A241BD">
        <w:rPr>
          <w:szCs w:val="24"/>
          <w:lang w:val="fr-FR" w:eastAsia="de-DE"/>
        </w:rPr>
        <w:t>méthodes d</w:t>
      </w:r>
      <w:r>
        <w:rPr>
          <w:szCs w:val="24"/>
          <w:lang w:val="fr-FR" w:eastAsia="de-DE"/>
        </w:rPr>
        <w:t>’expérimentation</w:t>
      </w:r>
      <w:r w:rsidRPr="00A241BD">
        <w:rPr>
          <w:szCs w:val="24"/>
          <w:lang w:val="fr-FR" w:eastAsia="de-DE"/>
        </w:rPr>
        <w:t xml:space="preserve"> non animales</w:t>
      </w:r>
      <w:r w:rsidRPr="00A241BD">
        <w:rPr>
          <w:lang w:val="fr-FR"/>
        </w:rPr>
        <w:t xml:space="preserve">. Le groupe a convenu que </w:t>
      </w:r>
      <w:r>
        <w:rPr>
          <w:lang w:val="fr-FR"/>
        </w:rPr>
        <w:t>cette actualisation</w:t>
      </w:r>
      <w:r w:rsidRPr="00A241BD">
        <w:rPr>
          <w:lang w:val="fr-FR"/>
        </w:rPr>
        <w:t xml:space="preserve"> serait alignée autant que possible sur le</w:t>
      </w:r>
      <w:r>
        <w:rPr>
          <w:lang w:val="fr-FR"/>
        </w:rPr>
        <w:t>s</w:t>
      </w:r>
      <w:r w:rsidRPr="00A241BD">
        <w:rPr>
          <w:lang w:val="fr-FR"/>
        </w:rPr>
        <w:t xml:space="preserve"> chapitre</w:t>
      </w:r>
      <w:r>
        <w:rPr>
          <w:lang w:val="fr-FR"/>
        </w:rPr>
        <w:t>s</w:t>
      </w:r>
      <w:r w:rsidRPr="00A241BD">
        <w:rPr>
          <w:lang w:val="fr-FR"/>
        </w:rPr>
        <w:t xml:space="preserve"> 3.2 (</w:t>
      </w:r>
      <w:r>
        <w:rPr>
          <w:lang w:val="fr-FR"/>
        </w:rPr>
        <w:t>C</w:t>
      </w:r>
      <w:r w:rsidRPr="00A241BD">
        <w:rPr>
          <w:lang w:val="fr-FR"/>
        </w:rPr>
        <w:t>orrosion</w:t>
      </w:r>
      <w:r w:rsidRPr="00BD3B48">
        <w:rPr>
          <w:lang w:val="fr-FR"/>
        </w:rPr>
        <w:t xml:space="preserve"> </w:t>
      </w:r>
      <w:r w:rsidRPr="00A241BD">
        <w:rPr>
          <w:lang w:val="fr-FR"/>
        </w:rPr>
        <w:t>cutanée /</w:t>
      </w:r>
      <w:r>
        <w:rPr>
          <w:lang w:val="fr-FR"/>
        </w:rPr>
        <w:t>I</w:t>
      </w:r>
      <w:r w:rsidRPr="00A241BD">
        <w:rPr>
          <w:lang w:val="fr-FR"/>
        </w:rPr>
        <w:t>rritation cutanée) et 3.3 (</w:t>
      </w:r>
      <w:r>
        <w:rPr>
          <w:lang w:val="fr-FR"/>
        </w:rPr>
        <w:t>L</w:t>
      </w:r>
      <w:r w:rsidRPr="00A241BD">
        <w:rPr>
          <w:lang w:val="fr-FR"/>
        </w:rPr>
        <w:t>ésions oculaires graves/</w:t>
      </w:r>
      <w:r>
        <w:rPr>
          <w:lang w:val="fr-FR"/>
        </w:rPr>
        <w:t>I</w:t>
      </w:r>
      <w:r w:rsidRPr="00A241BD">
        <w:rPr>
          <w:lang w:val="fr-FR"/>
        </w:rPr>
        <w:t>rritation oculaire)</w:t>
      </w:r>
      <w:r>
        <w:rPr>
          <w:lang w:val="fr-FR"/>
        </w:rPr>
        <w:t>,</w:t>
      </w:r>
      <w:r w:rsidRPr="00A241BD">
        <w:rPr>
          <w:lang w:val="fr-FR"/>
        </w:rPr>
        <w:t xml:space="preserve"> qui ont été révisés pour</w:t>
      </w:r>
      <w:r>
        <w:rPr>
          <w:lang w:val="fr-FR"/>
        </w:rPr>
        <w:t xml:space="preserve"> y</w:t>
      </w:r>
      <w:r w:rsidRPr="00A241BD">
        <w:rPr>
          <w:lang w:val="fr-FR"/>
        </w:rPr>
        <w:t xml:space="preserve"> in</w:t>
      </w:r>
      <w:r>
        <w:rPr>
          <w:lang w:val="fr-FR"/>
        </w:rPr>
        <w:t>tégrer</w:t>
      </w:r>
      <w:r w:rsidRPr="00A241BD">
        <w:rPr>
          <w:lang w:val="fr-FR"/>
        </w:rPr>
        <w:t xml:space="preserve"> des </w:t>
      </w:r>
      <w:r w:rsidRPr="00A241BD">
        <w:rPr>
          <w:szCs w:val="24"/>
          <w:lang w:val="fr-FR" w:eastAsia="de-DE"/>
        </w:rPr>
        <w:t xml:space="preserve">méthodes </w:t>
      </w:r>
      <w:r w:rsidRPr="00A241BD">
        <w:rPr>
          <w:lang w:val="fr-FR"/>
        </w:rPr>
        <w:t>d</w:t>
      </w:r>
      <w:r>
        <w:rPr>
          <w:lang w:val="fr-FR"/>
        </w:rPr>
        <w:t>’</w:t>
      </w:r>
      <w:r w:rsidRPr="00A241BD">
        <w:rPr>
          <w:lang w:val="fr-FR"/>
        </w:rPr>
        <w:t xml:space="preserve">expérimentation </w:t>
      </w:r>
      <w:r w:rsidRPr="00A241BD">
        <w:rPr>
          <w:szCs w:val="24"/>
          <w:lang w:val="fr-FR" w:eastAsia="de-DE"/>
        </w:rPr>
        <w:t>non animales</w:t>
      </w:r>
      <w:r w:rsidRPr="00A241BD">
        <w:rPr>
          <w:lang w:val="fr-FR"/>
        </w:rPr>
        <w:t>.</w:t>
      </w:r>
    </w:p>
    <w:p w14:paraId="2FAE9331" w14:textId="17152B01" w:rsidR="00B178A7" w:rsidRPr="00A241BD" w:rsidRDefault="00B178A7" w:rsidP="002800B5">
      <w:pPr>
        <w:pStyle w:val="SingleTxtG"/>
        <w:rPr>
          <w:lang w:val="fr-FR"/>
        </w:rPr>
      </w:pPr>
      <w:r w:rsidRPr="00A241BD">
        <w:rPr>
          <w:lang w:val="fr-FR"/>
        </w:rPr>
        <w:lastRenderedPageBreak/>
        <w:t>5.</w:t>
      </w:r>
      <w:r w:rsidRPr="00A241BD">
        <w:rPr>
          <w:lang w:val="fr-FR"/>
        </w:rPr>
        <w:tab/>
        <w:t>Le groupe est très actif</w:t>
      </w:r>
      <w:r>
        <w:rPr>
          <w:lang w:val="fr-FR"/>
        </w:rPr>
        <w:t xml:space="preserve"> et mène ses travaux </w:t>
      </w:r>
      <w:r w:rsidRPr="00A241BD">
        <w:rPr>
          <w:lang w:val="fr-FR"/>
        </w:rPr>
        <w:t>tant par correspondance qu</w:t>
      </w:r>
      <w:r>
        <w:rPr>
          <w:lang w:val="fr-FR"/>
        </w:rPr>
        <w:t>’au moyen de</w:t>
      </w:r>
      <w:r w:rsidRPr="00A241BD">
        <w:rPr>
          <w:lang w:val="fr-FR"/>
        </w:rPr>
        <w:t xml:space="preserve"> réunions virtuelles. Par exemple, au cours de l</w:t>
      </w:r>
      <w:r>
        <w:rPr>
          <w:lang w:val="fr-FR"/>
        </w:rPr>
        <w:t>’</w:t>
      </w:r>
      <w:r w:rsidRPr="00A241BD">
        <w:rPr>
          <w:lang w:val="fr-FR"/>
        </w:rPr>
        <w:t>exercice 2021-2022, le groupe a tenu</w:t>
      </w:r>
      <w:r>
        <w:rPr>
          <w:lang w:val="fr-FR"/>
        </w:rPr>
        <w:t xml:space="preserve"> ou</w:t>
      </w:r>
      <w:r w:rsidRPr="00A241BD">
        <w:rPr>
          <w:lang w:val="fr-FR"/>
        </w:rPr>
        <w:t xml:space="preserve"> programmé avant la fin de la quarante-deuxième session </w:t>
      </w:r>
      <w:r w:rsidR="00485C96">
        <w:rPr>
          <w:lang w:val="fr-FR"/>
        </w:rPr>
        <w:t>15 </w:t>
      </w:r>
      <w:r w:rsidRPr="00A241BD">
        <w:rPr>
          <w:lang w:val="fr-FR"/>
        </w:rPr>
        <w:t xml:space="preserve">webinaires et deux réunions en </w:t>
      </w:r>
      <w:r>
        <w:rPr>
          <w:lang w:val="fr-FR"/>
        </w:rPr>
        <w:t>présentiel</w:t>
      </w:r>
      <w:r w:rsidRPr="00A241BD">
        <w:rPr>
          <w:lang w:val="fr-FR"/>
        </w:rPr>
        <w:t xml:space="preserve"> (juillet et décembre 2022), les deux premières</w:t>
      </w:r>
      <w:r w:rsidRPr="00C80A98">
        <w:rPr>
          <w:lang w:val="fr-FR"/>
        </w:rPr>
        <w:t xml:space="preserve"> </w:t>
      </w:r>
      <w:r w:rsidRPr="00A241BD">
        <w:rPr>
          <w:lang w:val="fr-FR"/>
        </w:rPr>
        <w:t xml:space="preserve">réunions étant </w:t>
      </w:r>
      <w:r>
        <w:rPr>
          <w:lang w:val="fr-FR"/>
        </w:rPr>
        <w:t>consacr</w:t>
      </w:r>
      <w:r w:rsidRPr="00A241BD">
        <w:rPr>
          <w:lang w:val="fr-FR"/>
        </w:rPr>
        <w:t xml:space="preserve">ées </w:t>
      </w:r>
      <w:r>
        <w:rPr>
          <w:lang w:val="fr-FR"/>
        </w:rPr>
        <w:t>à</w:t>
      </w:r>
      <w:r w:rsidRPr="00A241BD">
        <w:rPr>
          <w:lang w:val="fr-FR"/>
        </w:rPr>
        <w:t xml:space="preserve"> l</w:t>
      </w:r>
      <w:r>
        <w:rPr>
          <w:lang w:val="fr-FR"/>
        </w:rPr>
        <w:t>’</w:t>
      </w:r>
      <w:r w:rsidRPr="00A241BD">
        <w:rPr>
          <w:lang w:val="fr-FR"/>
        </w:rPr>
        <w:t xml:space="preserve">achèvement du chapitre 3.3, les autres </w:t>
      </w:r>
      <w:r>
        <w:rPr>
          <w:lang w:val="fr-FR"/>
        </w:rPr>
        <w:t>visant à achever les</w:t>
      </w:r>
      <w:r w:rsidRPr="00A241BD">
        <w:rPr>
          <w:lang w:val="fr-FR"/>
        </w:rPr>
        <w:t xml:space="preserve"> travaux sur la révision du chapitre</w:t>
      </w:r>
      <w:r w:rsidR="00485C96">
        <w:rPr>
          <w:lang w:val="fr-FR"/>
        </w:rPr>
        <w:t> </w:t>
      </w:r>
      <w:r w:rsidRPr="00A241BD">
        <w:rPr>
          <w:lang w:val="fr-FR"/>
        </w:rPr>
        <w:t xml:space="preserve">3.4 </w:t>
      </w:r>
      <w:r>
        <w:rPr>
          <w:lang w:val="fr-FR"/>
        </w:rPr>
        <w:t>en ce qui concerne</w:t>
      </w:r>
      <w:r w:rsidRPr="00A241BD">
        <w:rPr>
          <w:lang w:val="fr-FR"/>
        </w:rPr>
        <w:t xml:space="preserve"> la sensibilisation </w:t>
      </w:r>
      <w:r>
        <w:rPr>
          <w:lang w:val="fr-FR"/>
        </w:rPr>
        <w:t>cutanée</w:t>
      </w:r>
      <w:r w:rsidRPr="00A241BD">
        <w:rPr>
          <w:lang w:val="fr-FR"/>
        </w:rPr>
        <w:t xml:space="preserve"> au cours d</w:t>
      </w:r>
      <w:r>
        <w:rPr>
          <w:lang w:val="fr-FR"/>
        </w:rPr>
        <w:t>u présen</w:t>
      </w:r>
      <w:r w:rsidRPr="00A241BD">
        <w:rPr>
          <w:lang w:val="fr-FR"/>
        </w:rPr>
        <w:t>t exercice</w:t>
      </w:r>
      <w:r>
        <w:rPr>
          <w:lang w:val="fr-FR"/>
        </w:rPr>
        <w:t xml:space="preserve"> biennal</w:t>
      </w:r>
      <w:r w:rsidRPr="00A241BD">
        <w:rPr>
          <w:lang w:val="fr-FR"/>
        </w:rPr>
        <w:t>. En outre, un petit sous-groupe dirigé par des collègues des États-Unis d</w:t>
      </w:r>
      <w:r>
        <w:rPr>
          <w:lang w:val="fr-FR"/>
        </w:rPr>
        <w:t>’</w:t>
      </w:r>
      <w:r w:rsidRPr="00A241BD">
        <w:rPr>
          <w:lang w:val="fr-FR"/>
        </w:rPr>
        <w:t>Amérique, avec l</w:t>
      </w:r>
      <w:r>
        <w:rPr>
          <w:lang w:val="fr-FR"/>
        </w:rPr>
        <w:t>’</w:t>
      </w:r>
      <w:r w:rsidRPr="00A241BD">
        <w:rPr>
          <w:lang w:val="fr-FR"/>
        </w:rPr>
        <w:t>aide du Royaume-Uni, des Pays-Bas, du Canada, de l</w:t>
      </w:r>
      <w:r>
        <w:rPr>
          <w:lang w:val="fr-FR"/>
        </w:rPr>
        <w:t>’</w:t>
      </w:r>
      <w:r w:rsidRPr="00A241BD">
        <w:rPr>
          <w:lang w:val="fr-FR"/>
        </w:rPr>
        <w:t>Agence européenne des produits chimiques (ECHA), du Centre commun de recherche (CCR) de la Commission européenne et de l</w:t>
      </w:r>
      <w:r>
        <w:rPr>
          <w:lang w:val="fr-FR"/>
        </w:rPr>
        <w:t>’</w:t>
      </w:r>
      <w:r w:rsidRPr="00A241BD">
        <w:rPr>
          <w:lang w:val="fr-FR"/>
        </w:rPr>
        <w:t>Allemagne, s</w:t>
      </w:r>
      <w:r>
        <w:rPr>
          <w:lang w:val="fr-FR"/>
        </w:rPr>
        <w:t>’</w:t>
      </w:r>
      <w:r w:rsidRPr="00A241BD">
        <w:rPr>
          <w:lang w:val="fr-FR"/>
        </w:rPr>
        <w:t xml:space="preserve">est concentré sur des questions techniques </w:t>
      </w:r>
      <w:r>
        <w:rPr>
          <w:lang w:val="fr-FR"/>
        </w:rPr>
        <w:t>précises</w:t>
      </w:r>
      <w:r w:rsidRPr="00A241BD">
        <w:rPr>
          <w:lang w:val="fr-FR"/>
        </w:rPr>
        <w:t xml:space="preserve">, ce qui a grandement aidé le groupe à </w:t>
      </w:r>
      <w:r>
        <w:rPr>
          <w:lang w:val="fr-FR"/>
        </w:rPr>
        <w:t xml:space="preserve">y </w:t>
      </w:r>
      <w:r w:rsidRPr="00A241BD">
        <w:rPr>
          <w:lang w:val="fr-FR"/>
        </w:rPr>
        <w:t xml:space="preserve">trouver une solution et donc à faire progresser la révision du chapitre. Après chaque réunion, les Pays-Bas et le Royaume-Uni, en tant que coresponsables, </w:t>
      </w:r>
      <w:r>
        <w:rPr>
          <w:lang w:val="fr-FR"/>
        </w:rPr>
        <w:t>avec le concours du</w:t>
      </w:r>
      <w:r w:rsidRPr="00A241BD">
        <w:rPr>
          <w:lang w:val="fr-FR"/>
        </w:rPr>
        <w:t xml:space="preserve"> CCR, ont révisé le projet de texte du chapitre</w:t>
      </w:r>
      <w:r>
        <w:rPr>
          <w:lang w:val="fr-FR"/>
        </w:rPr>
        <w:t> </w:t>
      </w:r>
      <w:r w:rsidRPr="00A241BD">
        <w:rPr>
          <w:lang w:val="fr-FR"/>
        </w:rPr>
        <w:t xml:space="preserve">3.4 et ont </w:t>
      </w:r>
      <w:r>
        <w:rPr>
          <w:lang w:val="fr-FR"/>
        </w:rPr>
        <w:t>établi</w:t>
      </w:r>
      <w:r w:rsidRPr="00A241BD">
        <w:rPr>
          <w:lang w:val="fr-FR"/>
        </w:rPr>
        <w:t xml:space="preserve"> des documents sur des sujets </w:t>
      </w:r>
      <w:r>
        <w:rPr>
          <w:lang w:val="fr-FR"/>
        </w:rPr>
        <w:t>déterminés</w:t>
      </w:r>
      <w:r w:rsidRPr="00A241BD">
        <w:rPr>
          <w:lang w:val="fr-FR"/>
        </w:rPr>
        <w:t xml:space="preserve"> pour faire </w:t>
      </w:r>
      <w:r>
        <w:rPr>
          <w:lang w:val="fr-FR"/>
        </w:rPr>
        <w:t>progresser</w:t>
      </w:r>
      <w:r w:rsidRPr="00A241BD">
        <w:rPr>
          <w:lang w:val="fr-FR"/>
        </w:rPr>
        <w:t xml:space="preserve"> les </w:t>
      </w:r>
      <w:r>
        <w:rPr>
          <w:lang w:val="fr-FR"/>
        </w:rPr>
        <w:t>débats</w:t>
      </w:r>
      <w:r w:rsidRPr="00A241BD">
        <w:rPr>
          <w:lang w:val="fr-FR"/>
        </w:rPr>
        <w:t xml:space="preserve">, en tenant compte des </w:t>
      </w:r>
      <w:r>
        <w:rPr>
          <w:lang w:val="fr-FR"/>
        </w:rPr>
        <w:t>observations</w:t>
      </w:r>
      <w:r w:rsidRPr="00A241BD">
        <w:rPr>
          <w:lang w:val="fr-FR"/>
        </w:rPr>
        <w:t xml:space="preserve"> écrit</w:t>
      </w:r>
      <w:r>
        <w:rPr>
          <w:lang w:val="fr-FR"/>
        </w:rPr>
        <w:t>e</w:t>
      </w:r>
      <w:r w:rsidRPr="00A241BD">
        <w:rPr>
          <w:lang w:val="fr-FR"/>
        </w:rPr>
        <w:t xml:space="preserve">s et des </w:t>
      </w:r>
      <w:r>
        <w:rPr>
          <w:lang w:val="fr-FR"/>
        </w:rPr>
        <w:t>renseignements</w:t>
      </w:r>
      <w:r w:rsidRPr="00A241BD">
        <w:rPr>
          <w:lang w:val="fr-FR"/>
        </w:rPr>
        <w:t xml:space="preserve"> fournis par les membres du groupe.</w:t>
      </w:r>
    </w:p>
    <w:p w14:paraId="57518A2D" w14:textId="77777777" w:rsidR="00B178A7" w:rsidRPr="00A241BD" w:rsidRDefault="00B178A7" w:rsidP="002800B5">
      <w:pPr>
        <w:pStyle w:val="SingleTxtG"/>
        <w:rPr>
          <w:lang w:val="fr-FR"/>
        </w:rPr>
      </w:pPr>
      <w:r>
        <w:rPr>
          <w:lang w:val="fr-FR"/>
        </w:rPr>
        <w:t>6.</w:t>
      </w:r>
      <w:r>
        <w:rPr>
          <w:lang w:val="fr-FR"/>
        </w:rPr>
        <w:tab/>
        <w:t>Le</w:t>
      </w:r>
      <w:r w:rsidRPr="00A241BD">
        <w:rPr>
          <w:lang w:val="fr-FR"/>
        </w:rPr>
        <w:t xml:space="preserve"> </w:t>
      </w:r>
      <w:r>
        <w:rPr>
          <w:lang w:val="fr-FR"/>
        </w:rPr>
        <w:t>S</w:t>
      </w:r>
      <w:r w:rsidRPr="00A241BD">
        <w:rPr>
          <w:lang w:val="fr-FR"/>
        </w:rPr>
        <w:t>ous-</w:t>
      </w:r>
      <w:r>
        <w:rPr>
          <w:lang w:val="fr-FR"/>
        </w:rPr>
        <w:t>C</w:t>
      </w:r>
      <w:r w:rsidRPr="00A241BD">
        <w:rPr>
          <w:lang w:val="fr-FR"/>
        </w:rPr>
        <w:t xml:space="preserve">omité </w:t>
      </w:r>
      <w:r>
        <w:rPr>
          <w:lang w:val="fr-FR"/>
        </w:rPr>
        <w:t xml:space="preserve">trouvera aux </w:t>
      </w:r>
      <w:r w:rsidRPr="00A241BD">
        <w:rPr>
          <w:lang w:val="fr-FR"/>
        </w:rPr>
        <w:t xml:space="preserve">paragraphes 7 à 26 ci-dessous une </w:t>
      </w:r>
      <w:r>
        <w:rPr>
          <w:lang w:val="fr-FR"/>
        </w:rPr>
        <w:t>expl</w:t>
      </w:r>
      <w:r w:rsidRPr="00A241BD">
        <w:rPr>
          <w:lang w:val="fr-FR"/>
        </w:rPr>
        <w:t xml:space="preserve">ication de la </w:t>
      </w:r>
      <w:proofErr w:type="gramStart"/>
      <w:r w:rsidRPr="00A241BD">
        <w:rPr>
          <w:lang w:val="fr-FR"/>
        </w:rPr>
        <w:t>nature</w:t>
      </w:r>
      <w:proofErr w:type="gramEnd"/>
      <w:r w:rsidRPr="00A241BD">
        <w:rPr>
          <w:lang w:val="fr-FR"/>
        </w:rPr>
        <w:t xml:space="preserve"> d</w:t>
      </w:r>
      <w:r>
        <w:rPr>
          <w:lang w:val="fr-FR"/>
        </w:rPr>
        <w:t>es</w:t>
      </w:r>
      <w:r w:rsidRPr="00A241BD">
        <w:rPr>
          <w:lang w:val="fr-FR"/>
        </w:rPr>
        <w:t xml:space="preserve"> trava</w:t>
      </w:r>
      <w:r>
        <w:rPr>
          <w:lang w:val="fr-FR"/>
        </w:rPr>
        <w:t>ux</w:t>
      </w:r>
      <w:r w:rsidRPr="00A241BD">
        <w:rPr>
          <w:lang w:val="fr-FR"/>
        </w:rPr>
        <w:t xml:space="preserve"> qui </w:t>
      </w:r>
      <w:r>
        <w:rPr>
          <w:lang w:val="fr-FR"/>
        </w:rPr>
        <w:t>ont</w:t>
      </w:r>
      <w:r w:rsidRPr="00A241BD">
        <w:rPr>
          <w:lang w:val="fr-FR"/>
        </w:rPr>
        <w:t xml:space="preserve"> été entrepris, des </w:t>
      </w:r>
      <w:r>
        <w:rPr>
          <w:lang w:val="fr-FR"/>
        </w:rPr>
        <w:t xml:space="preserve">principales difficultés recensées </w:t>
      </w:r>
      <w:r w:rsidRPr="00A241BD">
        <w:rPr>
          <w:lang w:val="fr-FR"/>
        </w:rPr>
        <w:t>et des solutions qui ont été adoptées. Les</w:t>
      </w:r>
      <w:r w:rsidRPr="00D93668">
        <w:rPr>
          <w:lang w:val="fr-FR"/>
        </w:rPr>
        <w:t xml:space="preserve"> </w:t>
      </w:r>
      <w:r w:rsidRPr="00A241BD">
        <w:rPr>
          <w:lang w:val="fr-FR"/>
        </w:rPr>
        <w:t>propos</w:t>
      </w:r>
      <w:r>
        <w:rPr>
          <w:lang w:val="fr-FR"/>
        </w:rPr>
        <w:t>ition</w:t>
      </w:r>
      <w:r w:rsidRPr="00A241BD">
        <w:rPr>
          <w:lang w:val="fr-FR"/>
        </w:rPr>
        <w:t xml:space="preserve">s </w:t>
      </w:r>
      <w:r>
        <w:rPr>
          <w:lang w:val="fr-FR"/>
        </w:rPr>
        <w:t>d’amendements</w:t>
      </w:r>
      <w:r w:rsidRPr="00A241BD">
        <w:rPr>
          <w:lang w:val="fr-FR"/>
        </w:rPr>
        <w:t xml:space="preserve"> au chapitre 3.4 sont </w:t>
      </w:r>
      <w:r>
        <w:rPr>
          <w:lang w:val="fr-FR"/>
        </w:rPr>
        <w:t>énoncées</w:t>
      </w:r>
      <w:r w:rsidRPr="00A241BD">
        <w:rPr>
          <w:lang w:val="fr-FR"/>
        </w:rPr>
        <w:t xml:space="preserve"> dans l</w:t>
      </w:r>
      <w:r>
        <w:rPr>
          <w:lang w:val="fr-FR"/>
        </w:rPr>
        <w:t>’</w:t>
      </w:r>
      <w:r w:rsidRPr="00A241BD">
        <w:rPr>
          <w:lang w:val="fr-FR"/>
        </w:rPr>
        <w:t xml:space="preserve">annexe </w:t>
      </w:r>
      <w:r>
        <w:rPr>
          <w:lang w:val="fr-FR"/>
        </w:rPr>
        <w:t>d</w:t>
      </w:r>
      <w:r w:rsidRPr="00A241BD">
        <w:rPr>
          <w:lang w:val="fr-FR"/>
        </w:rPr>
        <w:t>u présent document. Pour plus de clarté, le texte complet du chapitre 3.4 révisé est présenté dans le document informel INF.3</w:t>
      </w:r>
      <w:r>
        <w:rPr>
          <w:lang w:val="fr-FR"/>
        </w:rPr>
        <w:t>,</w:t>
      </w:r>
      <w:r w:rsidRPr="00A241BD">
        <w:rPr>
          <w:lang w:val="fr-FR"/>
        </w:rPr>
        <w:t xml:space="preserve"> </w:t>
      </w:r>
      <w:r>
        <w:rPr>
          <w:lang w:val="fr-FR"/>
        </w:rPr>
        <w:t>dans lequel sont</w:t>
      </w:r>
      <w:r w:rsidRPr="00A241BD">
        <w:rPr>
          <w:lang w:val="fr-FR"/>
        </w:rPr>
        <w:t xml:space="preserve"> indi</w:t>
      </w:r>
      <w:r>
        <w:rPr>
          <w:lang w:val="fr-FR"/>
        </w:rPr>
        <w:t>qués l</w:t>
      </w:r>
      <w:r w:rsidRPr="00A241BD">
        <w:rPr>
          <w:lang w:val="fr-FR"/>
        </w:rPr>
        <w:t xml:space="preserve">es </w:t>
      </w:r>
      <w:r>
        <w:rPr>
          <w:lang w:val="fr-FR"/>
        </w:rPr>
        <w:t>passages</w:t>
      </w:r>
      <w:r w:rsidRPr="00A241BD">
        <w:rPr>
          <w:lang w:val="fr-FR"/>
        </w:rPr>
        <w:t xml:space="preserve"> où le texte a été modifié par rapport à la neuvième édition révisée du SGH. </w:t>
      </w:r>
    </w:p>
    <w:p w14:paraId="6E2ED635" w14:textId="77777777" w:rsidR="00B178A7" w:rsidRPr="00A241BD" w:rsidRDefault="00B178A7" w:rsidP="00E401AF">
      <w:pPr>
        <w:pStyle w:val="HChG"/>
        <w:rPr>
          <w:lang w:val="fr-FR"/>
        </w:rPr>
      </w:pPr>
      <w:r w:rsidRPr="00A241BD">
        <w:rPr>
          <w:lang w:val="fr-FR"/>
        </w:rPr>
        <w:tab/>
      </w:r>
      <w:r w:rsidRPr="00A241BD">
        <w:rPr>
          <w:lang w:val="fr-FR"/>
        </w:rPr>
        <w:tab/>
      </w:r>
      <w:r>
        <w:rPr>
          <w:lang w:val="fr-FR"/>
        </w:rPr>
        <w:t>Principaux problèmes</w:t>
      </w:r>
      <w:r w:rsidRPr="00A241BD">
        <w:rPr>
          <w:lang w:val="fr-FR"/>
        </w:rPr>
        <w:t xml:space="preserve"> et résultats</w:t>
      </w:r>
    </w:p>
    <w:p w14:paraId="15DCA4BF" w14:textId="455FD16A" w:rsidR="00B178A7" w:rsidRPr="00A241BD" w:rsidRDefault="00EC24B6" w:rsidP="00EC24B6">
      <w:pPr>
        <w:pStyle w:val="H1G"/>
        <w:rPr>
          <w:lang w:val="fr-FR"/>
        </w:rPr>
      </w:pPr>
      <w:r>
        <w:rPr>
          <w:lang w:val="fr-FR"/>
        </w:rPr>
        <w:tab/>
      </w:r>
      <w:r>
        <w:rPr>
          <w:lang w:val="fr-FR"/>
        </w:rPr>
        <w:tab/>
      </w:r>
      <w:r w:rsidR="00B178A7" w:rsidRPr="00A241BD">
        <w:rPr>
          <w:lang w:val="fr-FR"/>
        </w:rPr>
        <w:tab/>
      </w:r>
      <w:r w:rsidR="00B178A7">
        <w:rPr>
          <w:lang w:val="fr-FR"/>
        </w:rPr>
        <w:t>Démarche</w:t>
      </w:r>
      <w:r w:rsidR="00B178A7" w:rsidRPr="00A241BD">
        <w:rPr>
          <w:lang w:val="fr-FR"/>
        </w:rPr>
        <w:t xml:space="preserve"> par </w:t>
      </w:r>
      <w:r w:rsidR="00B178A7">
        <w:rPr>
          <w:lang w:val="fr-FR"/>
        </w:rPr>
        <w:t>étapes</w:t>
      </w:r>
    </w:p>
    <w:p w14:paraId="4CA8DFAB" w14:textId="77777777" w:rsidR="00B178A7" w:rsidRPr="00A241BD" w:rsidRDefault="00B178A7" w:rsidP="00EC24B6">
      <w:pPr>
        <w:pStyle w:val="SingleTxtG"/>
        <w:rPr>
          <w:lang w:val="fr-FR"/>
        </w:rPr>
      </w:pPr>
      <w:r w:rsidRPr="00A241BD">
        <w:rPr>
          <w:lang w:val="fr-FR"/>
        </w:rPr>
        <w:t>7.</w:t>
      </w:r>
      <w:r w:rsidRPr="00A241BD">
        <w:rPr>
          <w:lang w:val="fr-FR"/>
        </w:rPr>
        <w:tab/>
        <w:t>Co</w:t>
      </w:r>
      <w:r>
        <w:rPr>
          <w:lang w:val="fr-FR"/>
        </w:rPr>
        <w:t>mme</w:t>
      </w:r>
      <w:r w:rsidRPr="00A241BD">
        <w:rPr>
          <w:lang w:val="fr-FR"/>
        </w:rPr>
        <w:t xml:space="preserve"> </w:t>
      </w:r>
      <w:r>
        <w:rPr>
          <w:lang w:val="fr-FR"/>
        </w:rPr>
        <w:t>dans les</w:t>
      </w:r>
      <w:r w:rsidRPr="00A241BD">
        <w:rPr>
          <w:lang w:val="fr-FR"/>
        </w:rPr>
        <w:t xml:space="preserve"> chapitres 3.2 et 3.3, </w:t>
      </w:r>
      <w:r>
        <w:rPr>
          <w:lang w:val="fr-FR"/>
        </w:rPr>
        <w:t>la démarche</w:t>
      </w:r>
      <w:r w:rsidRPr="00A241BD">
        <w:rPr>
          <w:lang w:val="fr-FR"/>
        </w:rPr>
        <w:t xml:space="preserve"> par </w:t>
      </w:r>
      <w:r>
        <w:rPr>
          <w:lang w:val="fr-FR"/>
        </w:rPr>
        <w:t>étapes</w:t>
      </w:r>
      <w:r w:rsidRPr="00C14D1F">
        <w:rPr>
          <w:lang w:val="fr-FR"/>
        </w:rPr>
        <w:t xml:space="preserve"> </w:t>
      </w:r>
      <w:r w:rsidRPr="00A241BD">
        <w:rPr>
          <w:lang w:val="fr-FR"/>
        </w:rPr>
        <w:t>est appliquée d</w:t>
      </w:r>
      <w:r>
        <w:rPr>
          <w:lang w:val="fr-FR"/>
        </w:rPr>
        <w:t>ans le</w:t>
      </w:r>
      <w:r w:rsidRPr="00A241BD">
        <w:rPr>
          <w:lang w:val="fr-FR"/>
        </w:rPr>
        <w:t xml:space="preserve"> chapitre</w:t>
      </w:r>
      <w:r>
        <w:rPr>
          <w:lang w:val="fr-FR"/>
        </w:rPr>
        <w:t> </w:t>
      </w:r>
      <w:r w:rsidRPr="00A241BD">
        <w:rPr>
          <w:lang w:val="fr-FR"/>
        </w:rPr>
        <w:t xml:space="preserve">3.4 </w:t>
      </w:r>
      <w:r>
        <w:rPr>
          <w:lang w:val="fr-FR"/>
        </w:rPr>
        <w:t>en ce qui concerne</w:t>
      </w:r>
      <w:r w:rsidRPr="00A241BD">
        <w:rPr>
          <w:lang w:val="fr-FR"/>
        </w:rPr>
        <w:t xml:space="preserve"> la sensibilisation cutanée </w:t>
      </w:r>
      <w:r>
        <w:rPr>
          <w:lang w:val="fr-FR"/>
        </w:rPr>
        <w:t>moyennant</w:t>
      </w:r>
      <w:r w:rsidRPr="00A241BD">
        <w:rPr>
          <w:lang w:val="fr-FR"/>
        </w:rPr>
        <w:t xml:space="preserve"> quelques modifications nécessaires. Comme aux chapitres 3.2 et 3.3, </w:t>
      </w:r>
      <w:r>
        <w:rPr>
          <w:lang w:val="fr-FR"/>
        </w:rPr>
        <w:t>il peut être effect</w:t>
      </w:r>
      <w:r w:rsidRPr="00A241BD">
        <w:rPr>
          <w:lang w:val="fr-FR"/>
        </w:rPr>
        <w:t xml:space="preserve">ué une évaluation de </w:t>
      </w:r>
      <w:r w:rsidRPr="00A241BD">
        <w:rPr>
          <w:bCs/>
          <w:lang w:val="fr-FR"/>
        </w:rPr>
        <w:t>l</w:t>
      </w:r>
      <w:r>
        <w:rPr>
          <w:bCs/>
          <w:lang w:val="fr-FR"/>
        </w:rPr>
        <w:t>a</w:t>
      </w:r>
      <w:r w:rsidRPr="00A241BD">
        <w:rPr>
          <w:bCs/>
          <w:lang w:val="fr-FR"/>
        </w:rPr>
        <w:t xml:space="preserve"> </w:t>
      </w:r>
      <w:r w:rsidRPr="0063183B">
        <w:rPr>
          <w:bCs/>
          <w:lang w:val="fr-FR"/>
        </w:rPr>
        <w:t>force probante des données</w:t>
      </w:r>
      <w:r w:rsidRPr="00A241BD">
        <w:rPr>
          <w:lang w:val="fr-FR"/>
        </w:rPr>
        <w:t xml:space="preserve"> lorsque les informations disponibles donnent des résultats incohérents ou contradictoires à un</w:t>
      </w:r>
      <w:r>
        <w:rPr>
          <w:lang w:val="fr-FR"/>
        </w:rPr>
        <w:t>e</w:t>
      </w:r>
      <w:r w:rsidRPr="00A241BD">
        <w:rPr>
          <w:lang w:val="fr-FR"/>
        </w:rPr>
        <w:t xml:space="preserve"> </w:t>
      </w:r>
      <w:r>
        <w:rPr>
          <w:lang w:val="fr-FR"/>
        </w:rPr>
        <w:t>même étape</w:t>
      </w:r>
      <w:r w:rsidRPr="00A241BD">
        <w:rPr>
          <w:lang w:val="fr-FR"/>
        </w:rPr>
        <w:t xml:space="preserve">, et une évaluation globale de </w:t>
      </w:r>
      <w:r w:rsidRPr="00A241BD">
        <w:rPr>
          <w:bCs/>
          <w:lang w:val="fr-FR"/>
        </w:rPr>
        <w:t>l</w:t>
      </w:r>
      <w:r>
        <w:rPr>
          <w:bCs/>
          <w:lang w:val="fr-FR"/>
        </w:rPr>
        <w:t>a</w:t>
      </w:r>
      <w:r w:rsidRPr="00A241BD">
        <w:rPr>
          <w:bCs/>
          <w:lang w:val="fr-FR"/>
        </w:rPr>
        <w:t xml:space="preserve"> </w:t>
      </w:r>
      <w:r w:rsidRPr="0063183B">
        <w:rPr>
          <w:bCs/>
          <w:lang w:val="fr-FR"/>
        </w:rPr>
        <w:t>force probante des données</w:t>
      </w:r>
      <w:r w:rsidRPr="00A241BD">
        <w:rPr>
          <w:lang w:val="fr-FR"/>
        </w:rPr>
        <w:t xml:space="preserve"> lorsqu</w:t>
      </w:r>
      <w:r>
        <w:rPr>
          <w:lang w:val="fr-FR"/>
        </w:rPr>
        <w:t>’</w:t>
      </w:r>
      <w:r w:rsidRPr="00A241BD">
        <w:rPr>
          <w:lang w:val="fr-FR"/>
        </w:rPr>
        <w:t>il existe des résultats incohérents</w:t>
      </w:r>
      <w:r>
        <w:rPr>
          <w:lang w:val="fr-FR"/>
        </w:rPr>
        <w:t xml:space="preserve"> </w:t>
      </w:r>
      <w:r w:rsidRPr="00A241BD">
        <w:rPr>
          <w:lang w:val="fr-FR"/>
        </w:rPr>
        <w:t xml:space="preserve">ou contradictoires entre les </w:t>
      </w:r>
      <w:r>
        <w:rPr>
          <w:lang w:val="fr-FR"/>
        </w:rPr>
        <w:t>étapes</w:t>
      </w:r>
      <w:r w:rsidRPr="00A241BD">
        <w:rPr>
          <w:lang w:val="fr-FR"/>
        </w:rPr>
        <w:t>. L</w:t>
      </w:r>
      <w:r>
        <w:rPr>
          <w:lang w:val="fr-FR"/>
        </w:rPr>
        <w:t>’</w:t>
      </w:r>
      <w:r w:rsidRPr="00A241BD">
        <w:rPr>
          <w:lang w:val="fr-FR"/>
        </w:rPr>
        <w:t xml:space="preserve">ordre des </w:t>
      </w:r>
      <w:r>
        <w:rPr>
          <w:lang w:val="fr-FR"/>
        </w:rPr>
        <w:t>étapes</w:t>
      </w:r>
      <w:r w:rsidRPr="00A241BD">
        <w:rPr>
          <w:lang w:val="fr-FR"/>
        </w:rPr>
        <w:t xml:space="preserve"> dans le chapitre 3.3 est le suivant</w:t>
      </w:r>
      <w:r>
        <w:rPr>
          <w:lang w:val="fr-FR"/>
        </w:rPr>
        <w:t> :</w:t>
      </w:r>
    </w:p>
    <w:p w14:paraId="05998A60" w14:textId="5A1AAE1C" w:rsidR="00B178A7" w:rsidRPr="00E51B47" w:rsidRDefault="00B178A7" w:rsidP="00B178A7">
      <w:pPr>
        <w:pStyle w:val="SingleTxtG"/>
        <w:ind w:left="1701"/>
        <w:rPr>
          <w:bCs/>
          <w:lang w:val="fr-FR"/>
        </w:rPr>
      </w:pPr>
      <w:r>
        <w:rPr>
          <w:b/>
          <w:lang w:val="fr-FR"/>
        </w:rPr>
        <w:t>Étape</w:t>
      </w:r>
      <w:r w:rsidRPr="00A241BD">
        <w:rPr>
          <w:b/>
          <w:lang w:val="fr-FR"/>
        </w:rPr>
        <w:t xml:space="preserve"> 1 </w:t>
      </w:r>
      <w:r w:rsidR="00EC24B6">
        <w:rPr>
          <w:lang w:val="fr-FR"/>
        </w:rPr>
        <w:t>−</w:t>
      </w:r>
      <w:r w:rsidRPr="00A241BD">
        <w:rPr>
          <w:lang w:val="fr-FR"/>
        </w:rPr>
        <w:t xml:space="preserve"> Class</w:t>
      </w:r>
      <w:r>
        <w:rPr>
          <w:lang w:val="fr-FR"/>
        </w:rPr>
        <w:t xml:space="preserve">ement fondé </w:t>
      </w:r>
      <w:r w:rsidRPr="00A241BD">
        <w:rPr>
          <w:lang w:val="fr-FR"/>
        </w:rPr>
        <w:t xml:space="preserve">sur des données humaines, des données animales </w:t>
      </w:r>
      <w:r>
        <w:rPr>
          <w:lang w:val="fr-FR"/>
        </w:rPr>
        <w:t>normalisées</w:t>
      </w:r>
      <w:r w:rsidRPr="00A241BD">
        <w:rPr>
          <w:lang w:val="fr-FR"/>
        </w:rPr>
        <w:t xml:space="preserve">, des </w:t>
      </w:r>
      <w:r>
        <w:rPr>
          <w:lang w:val="fr-FR"/>
        </w:rPr>
        <w:t>méthodes</w:t>
      </w:r>
      <w:r w:rsidRPr="00A241BD">
        <w:rPr>
          <w:lang w:val="fr-FR"/>
        </w:rPr>
        <w:t xml:space="preserve"> défini</w:t>
      </w:r>
      <w:r>
        <w:rPr>
          <w:lang w:val="fr-FR"/>
        </w:rPr>
        <w:t>e</w:t>
      </w:r>
      <w:r w:rsidRPr="00A241BD">
        <w:rPr>
          <w:lang w:val="fr-FR"/>
        </w:rPr>
        <w:t xml:space="preserve">s ou des méthodes </w:t>
      </w:r>
      <w:r>
        <w:rPr>
          <w:i/>
          <w:iCs/>
          <w:lang w:val="fr-FR"/>
        </w:rPr>
        <w:t xml:space="preserve">in </w:t>
      </w:r>
      <w:proofErr w:type="spellStart"/>
      <w:r>
        <w:rPr>
          <w:i/>
          <w:iCs/>
          <w:lang w:val="fr-FR"/>
        </w:rPr>
        <w:t>chemico</w:t>
      </w:r>
      <w:proofErr w:type="spellEnd"/>
      <w:r>
        <w:rPr>
          <w:i/>
          <w:iCs/>
          <w:lang w:val="fr-FR"/>
        </w:rPr>
        <w:t>/in vitro</w:t>
      </w:r>
      <w:r w:rsidRPr="0034761F">
        <w:rPr>
          <w:lang w:val="fr-FR"/>
        </w:rPr>
        <w:t xml:space="preserve"> </w:t>
      </w:r>
      <w:r w:rsidRPr="00A241BD">
        <w:rPr>
          <w:lang w:val="fr-FR"/>
        </w:rPr>
        <w:t>autonomes</w:t>
      </w:r>
      <w:r w:rsidRPr="00E51B47">
        <w:rPr>
          <w:lang w:val="fr-FR"/>
        </w:rPr>
        <w:t xml:space="preserve"> ; </w:t>
      </w:r>
    </w:p>
    <w:p w14:paraId="6E5E43E3" w14:textId="3E3DDE6E" w:rsidR="00B178A7" w:rsidRPr="00A241BD" w:rsidRDefault="00B178A7" w:rsidP="00B178A7">
      <w:pPr>
        <w:pStyle w:val="SingleTxtG"/>
        <w:ind w:left="1701"/>
        <w:rPr>
          <w:lang w:val="fr-FR"/>
        </w:rPr>
      </w:pPr>
      <w:r>
        <w:rPr>
          <w:b/>
          <w:lang w:val="fr-FR"/>
        </w:rPr>
        <w:t>Étape</w:t>
      </w:r>
      <w:r w:rsidRPr="00A241BD">
        <w:rPr>
          <w:b/>
          <w:lang w:val="fr-FR"/>
        </w:rPr>
        <w:t xml:space="preserve"> 2 </w:t>
      </w:r>
      <w:r w:rsidR="00EC24B6">
        <w:rPr>
          <w:lang w:val="fr-FR"/>
        </w:rPr>
        <w:t>−</w:t>
      </w:r>
      <w:r w:rsidRPr="00A241BD">
        <w:rPr>
          <w:lang w:val="fr-FR"/>
        </w:rPr>
        <w:t xml:space="preserve"> </w:t>
      </w:r>
      <w:r>
        <w:rPr>
          <w:bCs/>
          <w:lang w:val="fr-FR"/>
        </w:rPr>
        <w:t>Classement fondé</w:t>
      </w:r>
      <w:r w:rsidRPr="00A241BD">
        <w:rPr>
          <w:bCs/>
          <w:lang w:val="fr-FR"/>
        </w:rPr>
        <w:t xml:space="preserve"> sur des données non concluantes </w:t>
      </w:r>
      <w:r>
        <w:rPr>
          <w:bCs/>
          <w:lang w:val="fr-FR"/>
        </w:rPr>
        <w:t>de l’étape </w:t>
      </w:r>
      <w:r w:rsidRPr="00A241BD">
        <w:rPr>
          <w:bCs/>
          <w:lang w:val="fr-FR"/>
        </w:rPr>
        <w:t xml:space="preserve">1, sur des méthodes </w:t>
      </w:r>
      <w:r w:rsidRPr="00A241BD">
        <w:rPr>
          <w:bCs/>
          <w:i/>
          <w:iCs/>
          <w:lang w:val="fr-FR"/>
        </w:rPr>
        <w:t>in vitro</w:t>
      </w:r>
      <w:r>
        <w:rPr>
          <w:bCs/>
          <w:i/>
          <w:iCs/>
          <w:lang w:val="fr-FR"/>
        </w:rPr>
        <w:t>/</w:t>
      </w:r>
      <w:r w:rsidRPr="00A241BD">
        <w:rPr>
          <w:bCs/>
          <w:i/>
          <w:iCs/>
          <w:lang w:val="fr-FR"/>
        </w:rPr>
        <w:t xml:space="preserve">in </w:t>
      </w:r>
      <w:proofErr w:type="spellStart"/>
      <w:r w:rsidRPr="00A241BD">
        <w:rPr>
          <w:bCs/>
          <w:i/>
          <w:iCs/>
          <w:lang w:val="fr-FR"/>
        </w:rPr>
        <w:t>chemico</w:t>
      </w:r>
      <w:proofErr w:type="spellEnd"/>
      <w:r w:rsidRPr="00A241BD">
        <w:rPr>
          <w:bCs/>
          <w:i/>
          <w:iCs/>
          <w:lang w:val="fr-FR"/>
        </w:rPr>
        <w:t xml:space="preserve"> </w:t>
      </w:r>
      <w:r w:rsidRPr="00A241BD">
        <w:rPr>
          <w:bCs/>
          <w:lang w:val="fr-FR"/>
        </w:rPr>
        <w:t xml:space="preserve">non </w:t>
      </w:r>
      <w:r>
        <w:rPr>
          <w:bCs/>
          <w:lang w:val="fr-FR"/>
        </w:rPr>
        <w:t>normal</w:t>
      </w:r>
      <w:r w:rsidRPr="00A241BD">
        <w:rPr>
          <w:bCs/>
          <w:lang w:val="fr-FR"/>
        </w:rPr>
        <w:t xml:space="preserve">isées, sur des </w:t>
      </w:r>
      <w:r w:rsidRPr="000A24D6">
        <w:rPr>
          <w:bCs/>
          <w:lang w:val="fr-FR"/>
        </w:rPr>
        <w:t xml:space="preserve">méthodes non fondées sur des essais </w:t>
      </w:r>
      <w:r w:rsidRPr="00A241BD">
        <w:rPr>
          <w:bCs/>
          <w:lang w:val="fr-FR"/>
        </w:rPr>
        <w:t>ou sur des résultats non concluants</w:t>
      </w:r>
      <w:r>
        <w:rPr>
          <w:bCs/>
          <w:lang w:val="fr-FR"/>
        </w:rPr>
        <w:t xml:space="preserve"> ou peu fiables</w:t>
      </w:r>
      <w:r w:rsidRPr="00A241BD">
        <w:rPr>
          <w:bCs/>
          <w:lang w:val="fr-FR"/>
        </w:rPr>
        <w:t xml:space="preserve"> provenant d</w:t>
      </w:r>
      <w:r>
        <w:rPr>
          <w:bCs/>
          <w:lang w:val="fr-FR"/>
        </w:rPr>
        <w:t xml:space="preserve">e </w:t>
      </w:r>
      <w:r>
        <w:rPr>
          <w:lang w:val="fr-FR"/>
        </w:rPr>
        <w:t>méthodes</w:t>
      </w:r>
      <w:r w:rsidRPr="00A241BD">
        <w:rPr>
          <w:lang w:val="fr-FR"/>
        </w:rPr>
        <w:t xml:space="preserve"> défini</w:t>
      </w:r>
      <w:r>
        <w:rPr>
          <w:lang w:val="fr-FR"/>
        </w:rPr>
        <w:t>e</w:t>
      </w:r>
      <w:r w:rsidRPr="00A241BD">
        <w:rPr>
          <w:lang w:val="fr-FR"/>
        </w:rPr>
        <w:t>s</w:t>
      </w:r>
      <w:r>
        <w:rPr>
          <w:bCs/>
          <w:lang w:val="fr-FR"/>
        </w:rPr>
        <w:t> ;</w:t>
      </w:r>
      <w:r w:rsidRPr="00A241BD">
        <w:rPr>
          <w:bCs/>
          <w:lang w:val="fr-FR"/>
        </w:rPr>
        <w:t xml:space="preserve"> </w:t>
      </w:r>
    </w:p>
    <w:p w14:paraId="315F5274" w14:textId="7DAE3059" w:rsidR="00B178A7" w:rsidRPr="00A241BD" w:rsidRDefault="00B178A7" w:rsidP="00B178A7">
      <w:pPr>
        <w:pStyle w:val="SingleTxtG"/>
        <w:ind w:left="1701"/>
        <w:rPr>
          <w:lang w:val="fr-FR"/>
        </w:rPr>
      </w:pPr>
      <w:r>
        <w:rPr>
          <w:b/>
          <w:lang w:val="fr-FR"/>
        </w:rPr>
        <w:t>Étape</w:t>
      </w:r>
      <w:r w:rsidRPr="00A241BD">
        <w:rPr>
          <w:b/>
          <w:lang w:val="fr-FR"/>
        </w:rPr>
        <w:t xml:space="preserve"> 3 </w:t>
      </w:r>
      <w:r w:rsidR="00EC24B6">
        <w:rPr>
          <w:lang w:val="fr-FR"/>
        </w:rPr>
        <w:t>−</w:t>
      </w:r>
      <w:r w:rsidRPr="00A241BD">
        <w:rPr>
          <w:lang w:val="fr-FR"/>
        </w:rPr>
        <w:t xml:space="preserve"> </w:t>
      </w:r>
      <w:r>
        <w:rPr>
          <w:bCs/>
          <w:lang w:val="fr-FR"/>
        </w:rPr>
        <w:t>Classement fondé</w:t>
      </w:r>
      <w:r w:rsidRPr="00A241BD">
        <w:rPr>
          <w:bCs/>
          <w:lang w:val="fr-FR"/>
        </w:rPr>
        <w:t xml:space="preserve"> sur </w:t>
      </w:r>
      <w:bookmarkStart w:id="4" w:name="_Hlk116423200"/>
      <w:r w:rsidRPr="00A241BD">
        <w:rPr>
          <w:bCs/>
          <w:lang w:val="fr-FR"/>
        </w:rPr>
        <w:t>l</w:t>
      </w:r>
      <w:r>
        <w:rPr>
          <w:bCs/>
          <w:lang w:val="fr-FR"/>
        </w:rPr>
        <w:t>a</w:t>
      </w:r>
      <w:r w:rsidRPr="00A241BD">
        <w:rPr>
          <w:bCs/>
          <w:lang w:val="fr-FR"/>
        </w:rPr>
        <w:t xml:space="preserve"> </w:t>
      </w:r>
      <w:r w:rsidRPr="0063183B">
        <w:rPr>
          <w:bCs/>
          <w:lang w:val="fr-FR"/>
        </w:rPr>
        <w:t>force probante des données</w:t>
      </w:r>
      <w:bookmarkEnd w:id="4"/>
      <w:r w:rsidRPr="00A241BD">
        <w:rPr>
          <w:bCs/>
          <w:lang w:val="fr-FR"/>
        </w:rPr>
        <w:t>, y compris des indicateurs supplémentaires.</w:t>
      </w:r>
    </w:p>
    <w:p w14:paraId="30EAF0B4" w14:textId="77777777" w:rsidR="00B178A7" w:rsidRDefault="00B178A7" w:rsidP="00EC24B6">
      <w:pPr>
        <w:pStyle w:val="SingleTxtG"/>
        <w:rPr>
          <w:lang w:val="fr-FR"/>
        </w:rPr>
      </w:pPr>
      <w:r w:rsidRPr="00A241BD">
        <w:rPr>
          <w:lang w:val="fr-FR"/>
        </w:rPr>
        <w:t>8.</w:t>
      </w:r>
      <w:r w:rsidRPr="00A241BD">
        <w:rPr>
          <w:lang w:val="fr-FR"/>
        </w:rPr>
        <w:tab/>
        <w:t>En outre, et afin d</w:t>
      </w:r>
      <w:r>
        <w:rPr>
          <w:lang w:val="fr-FR"/>
        </w:rPr>
        <w:t>’</w:t>
      </w:r>
      <w:r w:rsidRPr="00A241BD">
        <w:rPr>
          <w:lang w:val="fr-FR"/>
        </w:rPr>
        <w:t>aider les lecteurs du chapitre 3.4 du SGH pour l</w:t>
      </w:r>
      <w:r>
        <w:rPr>
          <w:lang w:val="fr-FR"/>
        </w:rPr>
        <w:t>e classement</w:t>
      </w:r>
      <w:r w:rsidRPr="00A241BD">
        <w:rPr>
          <w:lang w:val="fr-FR"/>
        </w:rPr>
        <w:t xml:space="preserve"> </w:t>
      </w:r>
      <w:r>
        <w:rPr>
          <w:lang w:val="fr-FR"/>
        </w:rPr>
        <w:t>en ce qui concerne</w:t>
      </w:r>
      <w:r w:rsidRPr="00A241BD">
        <w:rPr>
          <w:lang w:val="fr-FR"/>
        </w:rPr>
        <w:t xml:space="preserve"> la sensibilisation cutanée, il est également proposé de modifier </w:t>
      </w:r>
      <w:bookmarkStart w:id="5" w:name="_Hlk116459734"/>
      <w:r w:rsidRPr="00A241BD">
        <w:rPr>
          <w:lang w:val="fr-FR"/>
        </w:rPr>
        <w:t>les titres de</w:t>
      </w:r>
      <w:r>
        <w:rPr>
          <w:lang w:val="fr-FR"/>
        </w:rPr>
        <w:t>s</w:t>
      </w:r>
      <w:r w:rsidRPr="00A241BD">
        <w:rPr>
          <w:lang w:val="fr-FR"/>
        </w:rPr>
        <w:t xml:space="preserve"> </w:t>
      </w:r>
      <w:r>
        <w:rPr>
          <w:lang w:val="fr-FR"/>
        </w:rPr>
        <w:t>sous-</w:t>
      </w:r>
      <w:r w:rsidRPr="00A241BD">
        <w:rPr>
          <w:lang w:val="fr-FR"/>
        </w:rPr>
        <w:t>section</w:t>
      </w:r>
      <w:r>
        <w:rPr>
          <w:lang w:val="fr-FR"/>
        </w:rPr>
        <w:t>s</w:t>
      </w:r>
      <w:r w:rsidRPr="00A241BD">
        <w:rPr>
          <w:lang w:val="fr-FR"/>
        </w:rPr>
        <w:t xml:space="preserve"> </w:t>
      </w:r>
      <w:r>
        <w:rPr>
          <w:lang w:val="fr-FR"/>
        </w:rPr>
        <w:t>de la section</w:t>
      </w:r>
      <w:r w:rsidRPr="00A241BD">
        <w:rPr>
          <w:lang w:val="fr-FR"/>
        </w:rPr>
        <w:t xml:space="preserve"> </w:t>
      </w:r>
      <w:bookmarkEnd w:id="5"/>
      <w:r>
        <w:rPr>
          <w:lang w:val="fr-FR"/>
        </w:rPr>
        <w:t>« </w:t>
      </w:r>
      <w:r w:rsidRPr="00A241BD">
        <w:rPr>
          <w:lang w:val="fr-FR"/>
        </w:rPr>
        <w:t xml:space="preserve">Critères de classification des </w:t>
      </w:r>
      <w:r>
        <w:rPr>
          <w:lang w:val="fr-FR"/>
        </w:rPr>
        <w:t>substance</w:t>
      </w:r>
      <w:r w:rsidRPr="00A241BD">
        <w:rPr>
          <w:lang w:val="fr-FR"/>
        </w:rPr>
        <w:t>s</w:t>
      </w:r>
      <w:r>
        <w:rPr>
          <w:lang w:val="fr-FR"/>
        </w:rPr>
        <w:t> »</w:t>
      </w:r>
      <w:r w:rsidRPr="00A241BD">
        <w:rPr>
          <w:lang w:val="fr-FR"/>
        </w:rPr>
        <w:t xml:space="preserve"> afin d</w:t>
      </w:r>
      <w:r>
        <w:rPr>
          <w:lang w:val="fr-FR"/>
        </w:rPr>
        <w:t>’ajouter</w:t>
      </w:r>
      <w:r w:rsidRPr="00A241BD">
        <w:rPr>
          <w:lang w:val="fr-FR"/>
        </w:rPr>
        <w:t xml:space="preserve"> une référence, entre parenthèses, reliant la section </w:t>
      </w:r>
      <w:r>
        <w:rPr>
          <w:lang w:val="fr-FR"/>
        </w:rPr>
        <w:t xml:space="preserve">à l’étape </w:t>
      </w:r>
      <w:r w:rsidRPr="00A241BD">
        <w:rPr>
          <w:lang w:val="fr-FR"/>
        </w:rPr>
        <w:t xml:space="preserve">applicable </w:t>
      </w:r>
      <w:r>
        <w:rPr>
          <w:lang w:val="fr-FR"/>
        </w:rPr>
        <w:t>de</w:t>
      </w:r>
      <w:r w:rsidRPr="00A241BD">
        <w:rPr>
          <w:lang w:val="fr-FR"/>
        </w:rPr>
        <w:t xml:space="preserve"> la figure 3.4.1.</w:t>
      </w:r>
    </w:p>
    <w:p w14:paraId="48EE1500" w14:textId="77777777" w:rsidR="00B178A7" w:rsidRPr="00A241BD" w:rsidRDefault="00B178A7" w:rsidP="00EC24B6">
      <w:pPr>
        <w:pStyle w:val="H1G"/>
        <w:rPr>
          <w:lang w:val="fr-FR"/>
        </w:rPr>
      </w:pPr>
      <w:r w:rsidRPr="00A241BD">
        <w:rPr>
          <w:i/>
          <w:lang w:val="fr-FR"/>
        </w:rPr>
        <w:tab/>
      </w:r>
      <w:r>
        <w:rPr>
          <w:i/>
          <w:lang w:val="fr-FR"/>
        </w:rPr>
        <w:tab/>
      </w:r>
      <w:r w:rsidRPr="00A241BD">
        <w:rPr>
          <w:lang w:val="fr-FR"/>
        </w:rPr>
        <w:t>Méthodes</w:t>
      </w:r>
      <w:r>
        <w:rPr>
          <w:lang w:val="fr-FR"/>
        </w:rPr>
        <w:t xml:space="preserve"> </w:t>
      </w:r>
      <w:r>
        <w:rPr>
          <w:i/>
          <w:lang w:val="fr-FR"/>
        </w:rPr>
        <w:t xml:space="preserve">in </w:t>
      </w:r>
      <w:proofErr w:type="spellStart"/>
      <w:r>
        <w:rPr>
          <w:i/>
          <w:lang w:val="fr-FR"/>
        </w:rPr>
        <w:t>chemico</w:t>
      </w:r>
      <w:proofErr w:type="spellEnd"/>
      <w:r>
        <w:rPr>
          <w:i/>
          <w:lang w:val="fr-FR"/>
        </w:rPr>
        <w:t>/in vitro</w:t>
      </w:r>
      <w:r w:rsidRPr="00A241BD">
        <w:rPr>
          <w:i/>
          <w:lang w:val="fr-FR"/>
        </w:rPr>
        <w:t xml:space="preserve"> </w:t>
      </w:r>
      <w:r w:rsidRPr="00A241BD">
        <w:rPr>
          <w:lang w:val="fr-FR"/>
        </w:rPr>
        <w:t xml:space="preserve">et </w:t>
      </w:r>
      <w:r w:rsidRPr="000A24D6">
        <w:rPr>
          <w:lang w:val="fr-FR"/>
        </w:rPr>
        <w:t>méthodes non fondées sur des essais</w:t>
      </w:r>
    </w:p>
    <w:p w14:paraId="70A877EA" w14:textId="77777777" w:rsidR="00B178A7" w:rsidRPr="00A241BD" w:rsidRDefault="00B178A7" w:rsidP="00EC24B6">
      <w:pPr>
        <w:pStyle w:val="SingleTxtG"/>
        <w:rPr>
          <w:lang w:val="fr-FR"/>
        </w:rPr>
      </w:pPr>
      <w:r w:rsidRPr="00A241BD">
        <w:rPr>
          <w:lang w:val="fr-FR"/>
        </w:rPr>
        <w:t>9</w:t>
      </w:r>
      <w:r>
        <w:rPr>
          <w:lang w:val="fr-FR"/>
        </w:rPr>
        <w:tab/>
      </w:r>
      <w:r w:rsidRPr="00A241BD">
        <w:rPr>
          <w:lang w:val="fr-FR"/>
        </w:rPr>
        <w:t xml:space="preserve">Conformément aux chapitres 3.2 et 3.3, une nouvelle sous-section a été ajoutée sur la manière de classer les </w:t>
      </w:r>
      <w:r>
        <w:rPr>
          <w:lang w:val="fr-FR"/>
        </w:rPr>
        <w:t>substance</w:t>
      </w:r>
      <w:r w:rsidRPr="00A241BD">
        <w:rPr>
          <w:lang w:val="fr-FR"/>
        </w:rPr>
        <w:t xml:space="preserve">s </w:t>
      </w:r>
      <w:r>
        <w:rPr>
          <w:lang w:val="fr-FR"/>
        </w:rPr>
        <w:t>en ce qui concerne</w:t>
      </w:r>
      <w:r w:rsidRPr="00A241BD">
        <w:rPr>
          <w:lang w:val="fr-FR"/>
        </w:rPr>
        <w:t xml:space="preserve"> la sensibilisation cutanée sur la base de </w:t>
      </w:r>
      <w:r w:rsidRPr="000A24D6">
        <w:rPr>
          <w:lang w:val="fr-FR"/>
        </w:rPr>
        <w:t>méthodes non fondées sur des essais</w:t>
      </w:r>
      <w:r w:rsidRPr="00A241BD">
        <w:rPr>
          <w:lang w:val="fr-FR"/>
        </w:rPr>
        <w:t xml:space="preserve"> (</w:t>
      </w:r>
      <w:r>
        <w:rPr>
          <w:lang w:val="fr-FR"/>
        </w:rPr>
        <w:t xml:space="preserve">voir </w:t>
      </w:r>
      <w:r w:rsidRPr="00A241BD">
        <w:rPr>
          <w:lang w:val="fr-FR"/>
        </w:rPr>
        <w:t xml:space="preserve">3.4.2.2.6). Les </w:t>
      </w:r>
      <w:r w:rsidRPr="000A24D6">
        <w:rPr>
          <w:lang w:val="fr-FR"/>
        </w:rPr>
        <w:t>méthodes non fondées sur des essais</w:t>
      </w:r>
      <w:r w:rsidRPr="00A241BD">
        <w:rPr>
          <w:lang w:val="fr-FR"/>
        </w:rPr>
        <w:t xml:space="preserve"> comprennent les modèles informatiques prédisant les relations structure-activité, les systèmes experts informatiques et la lecture croisée utilisant des </w:t>
      </w:r>
      <w:r>
        <w:rPr>
          <w:lang w:val="fr-FR"/>
        </w:rPr>
        <w:t>méthode</w:t>
      </w:r>
      <w:r w:rsidRPr="00A241BD">
        <w:rPr>
          <w:lang w:val="fr-FR"/>
        </w:rPr>
        <w:t xml:space="preserve">s analogiques et catégorielles. </w:t>
      </w:r>
    </w:p>
    <w:p w14:paraId="0A0D40D3" w14:textId="77777777" w:rsidR="00B178A7" w:rsidRPr="00A241BD" w:rsidRDefault="00B178A7" w:rsidP="00EC24B6">
      <w:pPr>
        <w:pStyle w:val="SingleTxtG"/>
        <w:rPr>
          <w:lang w:val="fr-FR"/>
        </w:rPr>
      </w:pPr>
      <w:r w:rsidRPr="00A241BD">
        <w:rPr>
          <w:lang w:val="fr-FR"/>
        </w:rPr>
        <w:lastRenderedPageBreak/>
        <w:t>10.</w:t>
      </w:r>
      <w:r w:rsidRPr="00A241BD">
        <w:rPr>
          <w:lang w:val="fr-FR"/>
        </w:rPr>
        <w:tab/>
      </w:r>
      <w:r>
        <w:rPr>
          <w:lang w:val="fr-FR"/>
        </w:rPr>
        <w:t>À la différence des</w:t>
      </w:r>
      <w:r w:rsidRPr="00A241BD">
        <w:rPr>
          <w:lang w:val="fr-FR"/>
        </w:rPr>
        <w:t xml:space="preserve"> classes de danger présentées aux chapitres 3.2 et 3.3, pour lesquelles des méthodes d</w:t>
      </w:r>
      <w:r>
        <w:rPr>
          <w:lang w:val="fr-FR"/>
        </w:rPr>
        <w:t>’</w:t>
      </w:r>
      <w:r w:rsidRPr="00A241BD">
        <w:rPr>
          <w:lang w:val="fr-FR"/>
        </w:rPr>
        <w:t xml:space="preserve">essai </w:t>
      </w:r>
      <w:r w:rsidRPr="002D469F">
        <w:rPr>
          <w:i/>
          <w:iCs/>
          <w:lang w:val="fr-FR"/>
        </w:rPr>
        <w:t xml:space="preserve">ex vivo </w:t>
      </w:r>
      <w:r w:rsidRPr="00A241BD">
        <w:rPr>
          <w:lang w:val="fr-FR"/>
        </w:rPr>
        <w:t>sont disponibles, aucune méthode validée de ce type n</w:t>
      </w:r>
      <w:r>
        <w:rPr>
          <w:lang w:val="fr-FR"/>
        </w:rPr>
        <w:t>’</w:t>
      </w:r>
      <w:r w:rsidRPr="00A241BD">
        <w:rPr>
          <w:lang w:val="fr-FR"/>
        </w:rPr>
        <w:t xml:space="preserve">est actuellement disponible pour </w:t>
      </w:r>
      <w:r>
        <w:rPr>
          <w:lang w:val="fr-FR"/>
        </w:rPr>
        <w:t>le classement en ce qui</w:t>
      </w:r>
      <w:r w:rsidRPr="00A241BD">
        <w:rPr>
          <w:lang w:val="fr-FR"/>
        </w:rPr>
        <w:t xml:space="preserve"> </w:t>
      </w:r>
      <w:r>
        <w:rPr>
          <w:lang w:val="fr-FR"/>
        </w:rPr>
        <w:t>concerne</w:t>
      </w:r>
      <w:r w:rsidRPr="00A241BD">
        <w:rPr>
          <w:lang w:val="fr-FR"/>
        </w:rPr>
        <w:t xml:space="preserve"> la sensibilisation cutanée. </w:t>
      </w:r>
      <w:r>
        <w:rPr>
          <w:lang w:val="fr-FR"/>
        </w:rPr>
        <w:t>S’agissant des</w:t>
      </w:r>
      <w:r w:rsidRPr="00A241BD">
        <w:rPr>
          <w:lang w:val="fr-FR"/>
        </w:rPr>
        <w:t xml:space="preserve"> méthodes </w:t>
      </w:r>
      <w:r>
        <w:rPr>
          <w:lang w:val="fr-FR"/>
        </w:rPr>
        <w:t>d’expérimentation</w:t>
      </w:r>
      <w:r w:rsidRPr="00A241BD">
        <w:rPr>
          <w:lang w:val="fr-FR"/>
        </w:rPr>
        <w:t xml:space="preserve"> non animales, seules sont actuellement disponibles pour la sensibilisation cutanée </w:t>
      </w:r>
      <w:r>
        <w:rPr>
          <w:lang w:val="fr-FR"/>
        </w:rPr>
        <w:t>d</w:t>
      </w:r>
      <w:r w:rsidRPr="00A241BD">
        <w:rPr>
          <w:lang w:val="fr-FR"/>
        </w:rPr>
        <w:t xml:space="preserve">es méthodes </w:t>
      </w:r>
      <w:r w:rsidRPr="00A241BD">
        <w:rPr>
          <w:i/>
          <w:iCs/>
          <w:lang w:val="fr-FR"/>
        </w:rPr>
        <w:t xml:space="preserve">in vitro </w:t>
      </w:r>
      <w:r w:rsidRPr="00A241BD">
        <w:rPr>
          <w:lang w:val="fr-FR"/>
        </w:rPr>
        <w:t xml:space="preserve">(systèmes cellulaires) et </w:t>
      </w:r>
      <w:r w:rsidRPr="00A241BD">
        <w:rPr>
          <w:i/>
          <w:iCs/>
          <w:lang w:val="fr-FR"/>
        </w:rPr>
        <w:t xml:space="preserve">in </w:t>
      </w:r>
      <w:proofErr w:type="spellStart"/>
      <w:r w:rsidRPr="00A241BD">
        <w:rPr>
          <w:i/>
          <w:iCs/>
          <w:lang w:val="fr-FR"/>
        </w:rPr>
        <w:t>chemico</w:t>
      </w:r>
      <w:proofErr w:type="spellEnd"/>
      <w:r w:rsidRPr="00A241BD">
        <w:rPr>
          <w:i/>
          <w:iCs/>
          <w:lang w:val="fr-FR"/>
        </w:rPr>
        <w:t xml:space="preserve"> </w:t>
      </w:r>
      <w:r w:rsidRPr="00A241BD">
        <w:rPr>
          <w:lang w:val="fr-FR"/>
        </w:rPr>
        <w:t>(méthodes en tube à essai)</w:t>
      </w:r>
      <w:r>
        <w:rPr>
          <w:lang w:val="fr-FR"/>
        </w:rPr>
        <w:t>, qui</w:t>
      </w:r>
      <w:r w:rsidRPr="00A241BD">
        <w:rPr>
          <w:lang w:val="fr-FR"/>
        </w:rPr>
        <w:t xml:space="preserve"> ont été incluses </w:t>
      </w:r>
      <w:r>
        <w:rPr>
          <w:lang w:val="fr-FR"/>
        </w:rPr>
        <w:t>en tant que</w:t>
      </w:r>
      <w:r w:rsidRPr="00A241BD">
        <w:rPr>
          <w:lang w:val="fr-FR"/>
        </w:rPr>
        <w:t xml:space="preserve"> données </w:t>
      </w:r>
      <w:r>
        <w:rPr>
          <w:i/>
          <w:iCs/>
          <w:lang w:val="fr-FR"/>
        </w:rPr>
        <w:t xml:space="preserve">in </w:t>
      </w:r>
      <w:proofErr w:type="spellStart"/>
      <w:r>
        <w:rPr>
          <w:i/>
          <w:iCs/>
          <w:lang w:val="fr-FR"/>
        </w:rPr>
        <w:t>chemico</w:t>
      </w:r>
      <w:proofErr w:type="spellEnd"/>
      <w:r>
        <w:rPr>
          <w:i/>
          <w:iCs/>
          <w:lang w:val="fr-FR"/>
        </w:rPr>
        <w:t>/in vitro</w:t>
      </w:r>
      <w:r w:rsidRPr="00A241BD">
        <w:rPr>
          <w:i/>
          <w:iCs/>
          <w:lang w:val="fr-FR"/>
        </w:rPr>
        <w:t xml:space="preserve"> </w:t>
      </w:r>
      <w:r w:rsidRPr="00A241BD">
        <w:rPr>
          <w:lang w:val="fr-FR"/>
        </w:rPr>
        <w:t>(</w:t>
      </w:r>
      <w:r>
        <w:rPr>
          <w:lang w:val="fr-FR"/>
        </w:rPr>
        <w:t xml:space="preserve">voir </w:t>
      </w:r>
      <w:r w:rsidRPr="00A241BD">
        <w:rPr>
          <w:lang w:val="fr-FR"/>
        </w:rPr>
        <w:t>3.4.2.2.5).</w:t>
      </w:r>
    </w:p>
    <w:p w14:paraId="397C9906" w14:textId="77777777" w:rsidR="00B178A7" w:rsidRPr="00A241BD" w:rsidRDefault="00B178A7" w:rsidP="00EC24B6">
      <w:pPr>
        <w:pStyle w:val="SingleTxtG"/>
        <w:rPr>
          <w:lang w:val="fr-FR"/>
        </w:rPr>
      </w:pPr>
      <w:r w:rsidRPr="00A241BD">
        <w:rPr>
          <w:lang w:val="fr-FR"/>
        </w:rPr>
        <w:t>11</w:t>
      </w:r>
      <w:r>
        <w:rPr>
          <w:lang w:val="fr-FR"/>
        </w:rPr>
        <w:t>.</w:t>
      </w:r>
      <w:r>
        <w:rPr>
          <w:lang w:val="fr-FR"/>
        </w:rPr>
        <w:tab/>
        <w:t>S’agissant de</w:t>
      </w:r>
      <w:r w:rsidRPr="00A241BD">
        <w:rPr>
          <w:lang w:val="fr-FR"/>
        </w:rPr>
        <w:t xml:space="preserve"> la sensibilisation cutanée</w:t>
      </w:r>
      <w:r>
        <w:rPr>
          <w:lang w:val="fr-FR"/>
        </w:rPr>
        <w:t>,</w:t>
      </w:r>
      <w:r w:rsidRPr="00A241BD">
        <w:rPr>
          <w:lang w:val="fr-FR"/>
        </w:rPr>
        <w:t xml:space="preserve"> </w:t>
      </w:r>
      <w:r>
        <w:rPr>
          <w:lang w:val="fr-FR"/>
        </w:rPr>
        <w:t>l</w:t>
      </w:r>
      <w:r w:rsidRPr="00A241BD">
        <w:rPr>
          <w:lang w:val="fr-FR"/>
        </w:rPr>
        <w:t>es</w:t>
      </w:r>
      <w:r>
        <w:rPr>
          <w:lang w:val="fr-FR"/>
        </w:rPr>
        <w:t xml:space="preserve"> </w:t>
      </w:r>
      <w:r w:rsidRPr="00A241BD">
        <w:rPr>
          <w:lang w:val="fr-FR"/>
        </w:rPr>
        <w:t xml:space="preserve">critères de </w:t>
      </w:r>
      <w:r>
        <w:rPr>
          <w:lang w:val="fr-FR"/>
        </w:rPr>
        <w:t>classement</w:t>
      </w:r>
      <w:r w:rsidRPr="00A241BD">
        <w:rPr>
          <w:lang w:val="fr-FR"/>
        </w:rPr>
        <w:t xml:space="preserve"> </w:t>
      </w:r>
      <w:r w:rsidRPr="00A241BD">
        <w:rPr>
          <w:noProof/>
          <w:lang w:val="fr-FR"/>
        </w:rPr>
        <w:t xml:space="preserve">et de </w:t>
      </w:r>
      <w:r>
        <w:rPr>
          <w:noProof/>
          <w:lang w:val="fr-FR"/>
        </w:rPr>
        <w:t xml:space="preserve">non-classement </w:t>
      </w:r>
      <w:r w:rsidRPr="00A241BD">
        <w:rPr>
          <w:noProof/>
          <w:lang w:val="fr-FR"/>
        </w:rPr>
        <w:t xml:space="preserve">sur la base des </w:t>
      </w:r>
      <w:r>
        <w:rPr>
          <w:noProof/>
          <w:lang w:val="fr-FR"/>
        </w:rPr>
        <w:t xml:space="preserve">différentes </w:t>
      </w:r>
      <w:r w:rsidRPr="00A241BD">
        <w:rPr>
          <w:lang w:val="fr-FR"/>
        </w:rPr>
        <w:t>méthodes d</w:t>
      </w:r>
      <w:r>
        <w:rPr>
          <w:lang w:val="fr-FR"/>
        </w:rPr>
        <w:t>’</w:t>
      </w:r>
      <w:r w:rsidRPr="00A241BD">
        <w:rPr>
          <w:lang w:val="fr-FR"/>
        </w:rPr>
        <w:t xml:space="preserve">essai </w:t>
      </w:r>
      <w:r>
        <w:rPr>
          <w:i/>
          <w:iCs/>
          <w:lang w:val="fr-FR"/>
        </w:rPr>
        <w:t xml:space="preserve">in </w:t>
      </w:r>
      <w:proofErr w:type="spellStart"/>
      <w:r>
        <w:rPr>
          <w:i/>
          <w:iCs/>
          <w:lang w:val="fr-FR"/>
        </w:rPr>
        <w:t>chemico</w:t>
      </w:r>
      <w:proofErr w:type="spellEnd"/>
      <w:r>
        <w:rPr>
          <w:i/>
          <w:iCs/>
          <w:lang w:val="fr-FR"/>
        </w:rPr>
        <w:t>/in vitro</w:t>
      </w:r>
      <w:r w:rsidRPr="00A241BD">
        <w:rPr>
          <w:i/>
          <w:lang w:val="fr-FR"/>
        </w:rPr>
        <w:t xml:space="preserve"> </w:t>
      </w:r>
      <w:r w:rsidRPr="0066225A">
        <w:rPr>
          <w:iCs/>
          <w:lang w:val="fr-FR"/>
        </w:rPr>
        <w:t>de l</w:t>
      </w:r>
      <w:r>
        <w:rPr>
          <w:iCs/>
          <w:lang w:val="fr-FR"/>
        </w:rPr>
        <w:t>’</w:t>
      </w:r>
      <w:r w:rsidRPr="00A241BD">
        <w:rPr>
          <w:noProof/>
          <w:lang w:val="fr-FR"/>
        </w:rPr>
        <w:t xml:space="preserve">OCDE </w:t>
      </w:r>
      <w:r w:rsidRPr="00A241BD">
        <w:rPr>
          <w:lang w:val="fr-FR"/>
        </w:rPr>
        <w:t xml:space="preserve">sont présentés dans le tableau 3.4.7 des </w:t>
      </w:r>
      <w:bookmarkStart w:id="6" w:name="_Hlk116508650"/>
      <w:r>
        <w:rPr>
          <w:lang w:val="fr-FR"/>
        </w:rPr>
        <w:t>commentaires et informations complémentaires</w:t>
      </w:r>
      <w:bookmarkEnd w:id="6"/>
      <w:r>
        <w:rPr>
          <w:lang w:val="fr-FR"/>
        </w:rPr>
        <w:t>.</w:t>
      </w:r>
      <w:r w:rsidRPr="00A241BD">
        <w:rPr>
          <w:lang w:val="fr-FR"/>
        </w:rPr>
        <w:t xml:space="preserve"> </w:t>
      </w:r>
    </w:p>
    <w:p w14:paraId="3D72B3BA" w14:textId="77777777" w:rsidR="00B178A7" w:rsidRPr="00A241BD" w:rsidRDefault="00B178A7" w:rsidP="00EC24B6">
      <w:pPr>
        <w:pStyle w:val="H1G"/>
        <w:rPr>
          <w:lang w:val="fr-FR"/>
        </w:rPr>
      </w:pPr>
      <w:r w:rsidRPr="00A241BD">
        <w:rPr>
          <w:lang w:val="fr-FR"/>
        </w:rPr>
        <w:tab/>
      </w:r>
      <w:r w:rsidRPr="00A241BD">
        <w:rPr>
          <w:lang w:val="fr-FR"/>
        </w:rPr>
        <w:tab/>
      </w:r>
      <w:r>
        <w:rPr>
          <w:lang w:val="fr-FR"/>
        </w:rPr>
        <w:t>M</w:t>
      </w:r>
      <w:r w:rsidRPr="00BD6FF8">
        <w:rPr>
          <w:lang w:val="fr-FR"/>
        </w:rPr>
        <w:t>éthodes définies</w:t>
      </w:r>
    </w:p>
    <w:p w14:paraId="7465B0F9" w14:textId="77777777" w:rsidR="00B178A7" w:rsidRPr="00A241BD" w:rsidRDefault="00B178A7" w:rsidP="00EC24B6">
      <w:pPr>
        <w:pStyle w:val="SingleTxtG"/>
        <w:rPr>
          <w:lang w:val="fr-FR"/>
        </w:rPr>
      </w:pPr>
      <w:r>
        <w:rPr>
          <w:lang w:val="fr-FR"/>
        </w:rPr>
        <w:t>12.</w:t>
      </w:r>
      <w:r>
        <w:rPr>
          <w:lang w:val="fr-FR"/>
        </w:rPr>
        <w:tab/>
      </w:r>
      <w:r w:rsidRPr="00A241BD">
        <w:rPr>
          <w:lang w:val="fr-FR"/>
        </w:rPr>
        <w:t>Les</w:t>
      </w:r>
      <w:r>
        <w:rPr>
          <w:lang w:val="fr-FR"/>
        </w:rPr>
        <w:t xml:space="preserve"> méthodes</w:t>
      </w:r>
      <w:r w:rsidRPr="00A241BD">
        <w:rPr>
          <w:lang w:val="fr-FR"/>
        </w:rPr>
        <w:t xml:space="preserve"> défini</w:t>
      </w:r>
      <w:r>
        <w:rPr>
          <w:lang w:val="fr-FR"/>
        </w:rPr>
        <w:t>e</w:t>
      </w:r>
      <w:r w:rsidRPr="00A241BD">
        <w:rPr>
          <w:lang w:val="fr-FR"/>
        </w:rPr>
        <w:t xml:space="preserve">s consistent en </w:t>
      </w:r>
      <w:r>
        <w:rPr>
          <w:lang w:val="fr-FR"/>
        </w:rPr>
        <w:t>des</w:t>
      </w:r>
      <w:r w:rsidRPr="00A241BD">
        <w:rPr>
          <w:lang w:val="fr-FR"/>
        </w:rPr>
        <w:t xml:space="preserve"> combinaison</w:t>
      </w:r>
      <w:r>
        <w:rPr>
          <w:lang w:val="fr-FR"/>
        </w:rPr>
        <w:t>s</w:t>
      </w:r>
      <w:r w:rsidRPr="00A241BD">
        <w:rPr>
          <w:lang w:val="fr-FR"/>
        </w:rPr>
        <w:t>, fondée</w:t>
      </w:r>
      <w:r>
        <w:rPr>
          <w:lang w:val="fr-FR"/>
        </w:rPr>
        <w:t>s</w:t>
      </w:r>
      <w:r w:rsidRPr="00A241BD">
        <w:rPr>
          <w:lang w:val="fr-FR"/>
        </w:rPr>
        <w:t xml:space="preserve"> sur des règles, de données obtenues à partir d</w:t>
      </w:r>
      <w:r>
        <w:rPr>
          <w:lang w:val="fr-FR"/>
        </w:rPr>
        <w:t>’</w:t>
      </w:r>
      <w:r w:rsidRPr="00A241BD">
        <w:rPr>
          <w:lang w:val="fr-FR"/>
        </w:rPr>
        <w:t>un ensemble prédéfini de sources d</w:t>
      </w:r>
      <w:r>
        <w:rPr>
          <w:lang w:val="fr-FR"/>
        </w:rPr>
        <w:t>’</w:t>
      </w:r>
      <w:r w:rsidRPr="00A241BD">
        <w:rPr>
          <w:lang w:val="fr-FR"/>
        </w:rPr>
        <w:t xml:space="preserve">information différentes (par exemple, méthodes </w:t>
      </w:r>
      <w:r w:rsidRPr="00A241BD">
        <w:rPr>
          <w:i/>
          <w:lang w:val="fr-FR"/>
        </w:rPr>
        <w:t xml:space="preserve">in </w:t>
      </w:r>
      <w:proofErr w:type="spellStart"/>
      <w:r w:rsidRPr="00A241BD">
        <w:rPr>
          <w:i/>
          <w:lang w:val="fr-FR"/>
        </w:rPr>
        <w:t>chemico</w:t>
      </w:r>
      <w:proofErr w:type="spellEnd"/>
      <w:r w:rsidRPr="00A241BD">
        <w:rPr>
          <w:i/>
          <w:iCs/>
          <w:lang w:val="fr-FR"/>
        </w:rPr>
        <w:t xml:space="preserve">, </w:t>
      </w:r>
      <w:r w:rsidRPr="00A241BD">
        <w:rPr>
          <w:lang w:val="fr-FR"/>
        </w:rPr>
        <w:t xml:space="preserve">méthodes </w:t>
      </w:r>
      <w:r w:rsidRPr="00A241BD">
        <w:rPr>
          <w:i/>
          <w:iCs/>
          <w:lang w:val="fr-FR"/>
        </w:rPr>
        <w:t>in vitro</w:t>
      </w:r>
      <w:r w:rsidRPr="00A241BD">
        <w:rPr>
          <w:lang w:val="fr-FR"/>
        </w:rPr>
        <w:t>, propriétés physico-chimiques</w:t>
      </w:r>
      <w:r>
        <w:rPr>
          <w:lang w:val="fr-FR"/>
        </w:rPr>
        <w:t xml:space="preserve"> ou</w:t>
      </w:r>
      <w:r w:rsidRPr="00A241BD">
        <w:rPr>
          <w:lang w:val="fr-FR"/>
        </w:rPr>
        <w:t xml:space="preserve"> </w:t>
      </w:r>
      <w:r w:rsidRPr="000A24D6">
        <w:rPr>
          <w:lang w:val="fr-FR"/>
        </w:rPr>
        <w:t>méthodes non fondées sur des essais</w:t>
      </w:r>
      <w:r w:rsidRPr="00A241BD">
        <w:rPr>
          <w:lang w:val="fr-FR"/>
        </w:rPr>
        <w:t xml:space="preserve">). Il est reconnu que la plupart des </w:t>
      </w:r>
      <w:r w:rsidRPr="00A9685D">
        <w:rPr>
          <w:lang w:val="fr-FR"/>
        </w:rPr>
        <w:t>méthodes d</w:t>
      </w:r>
      <w:r>
        <w:rPr>
          <w:lang w:val="fr-FR"/>
        </w:rPr>
        <w:t>’</w:t>
      </w:r>
      <w:r w:rsidRPr="00A9685D">
        <w:rPr>
          <w:lang w:val="fr-FR"/>
        </w:rPr>
        <w:t xml:space="preserve">expérimentation non animales </w:t>
      </w:r>
      <w:r w:rsidRPr="00A241BD">
        <w:rPr>
          <w:lang w:val="fr-FR"/>
        </w:rPr>
        <w:t xml:space="preserve">ne sont pas en mesure de remplacer entièrement les méthodes </w:t>
      </w:r>
      <w:r w:rsidRPr="00A241BD">
        <w:rPr>
          <w:i/>
          <w:lang w:val="fr-FR"/>
        </w:rPr>
        <w:t xml:space="preserve">in vivo </w:t>
      </w:r>
      <w:r w:rsidRPr="00A241BD">
        <w:rPr>
          <w:lang w:val="fr-FR"/>
        </w:rPr>
        <w:t xml:space="preserve">pour la plupart des </w:t>
      </w:r>
      <w:r>
        <w:rPr>
          <w:lang w:val="fr-FR"/>
        </w:rPr>
        <w:t>effets visés par la réglementation</w:t>
      </w:r>
      <w:r w:rsidRPr="00A241BD">
        <w:rPr>
          <w:lang w:val="fr-FR"/>
        </w:rPr>
        <w:t xml:space="preserve">. </w:t>
      </w:r>
      <w:r>
        <w:rPr>
          <w:lang w:val="fr-FR"/>
        </w:rPr>
        <w:t>Dans ce contexte</w:t>
      </w:r>
      <w:r w:rsidRPr="00A241BD">
        <w:rPr>
          <w:lang w:val="fr-FR"/>
        </w:rPr>
        <w:t xml:space="preserve">, les </w:t>
      </w:r>
      <w:r>
        <w:rPr>
          <w:lang w:val="fr-FR"/>
        </w:rPr>
        <w:t>méthodes définies</w:t>
      </w:r>
      <w:r w:rsidRPr="00A241BD">
        <w:rPr>
          <w:lang w:val="fr-FR"/>
        </w:rPr>
        <w:t xml:space="preserve"> peuvent </w:t>
      </w:r>
      <w:r w:rsidRPr="00D75F15">
        <w:rPr>
          <w:lang w:val="fr-FR"/>
        </w:rPr>
        <w:t>avantageusement servir à</w:t>
      </w:r>
      <w:r w:rsidRPr="00A241BD">
        <w:rPr>
          <w:lang w:val="fr-FR"/>
        </w:rPr>
        <w:t xml:space="preserve"> combiner </w:t>
      </w:r>
      <w:r>
        <w:rPr>
          <w:lang w:val="fr-FR"/>
        </w:rPr>
        <w:t>d</w:t>
      </w:r>
      <w:r w:rsidRPr="00A241BD">
        <w:rPr>
          <w:lang w:val="fr-FR"/>
        </w:rPr>
        <w:t xml:space="preserve">es données afin de classer les </w:t>
      </w:r>
      <w:r>
        <w:rPr>
          <w:lang w:val="fr-FR"/>
        </w:rPr>
        <w:t>substance</w:t>
      </w:r>
      <w:r w:rsidRPr="00A241BD">
        <w:rPr>
          <w:lang w:val="fr-FR"/>
        </w:rPr>
        <w:t>s et les mélanges.</w:t>
      </w:r>
    </w:p>
    <w:p w14:paraId="7C432874" w14:textId="7E4C89F8" w:rsidR="00B178A7" w:rsidRPr="00A241BD" w:rsidRDefault="00B178A7" w:rsidP="00EC24B6">
      <w:pPr>
        <w:pStyle w:val="SingleTxtG"/>
        <w:rPr>
          <w:lang w:val="fr-FR"/>
        </w:rPr>
      </w:pPr>
      <w:r>
        <w:rPr>
          <w:lang w:val="fr-FR"/>
        </w:rPr>
        <w:t>13.</w:t>
      </w:r>
      <w:r>
        <w:rPr>
          <w:lang w:val="fr-FR"/>
        </w:rPr>
        <w:tab/>
      </w:r>
      <w:r w:rsidRPr="00A241BD">
        <w:rPr>
          <w:lang w:val="fr-FR"/>
        </w:rPr>
        <w:t>Le groupe de travail a convenu qu</w:t>
      </w:r>
      <w:r>
        <w:rPr>
          <w:lang w:val="fr-FR"/>
        </w:rPr>
        <w:t>’</w:t>
      </w:r>
      <w:r w:rsidRPr="00A241BD">
        <w:rPr>
          <w:lang w:val="fr-FR"/>
        </w:rPr>
        <w:t xml:space="preserve">étant donné que plusieurs </w:t>
      </w:r>
      <w:r>
        <w:rPr>
          <w:lang w:val="fr-FR"/>
        </w:rPr>
        <w:t>méthodes</w:t>
      </w:r>
      <w:r w:rsidRPr="00A241BD">
        <w:rPr>
          <w:lang w:val="fr-FR"/>
        </w:rPr>
        <w:t xml:space="preserve"> défini</w:t>
      </w:r>
      <w:r>
        <w:rPr>
          <w:lang w:val="fr-FR"/>
        </w:rPr>
        <w:t>e</w:t>
      </w:r>
      <w:r w:rsidRPr="00A241BD">
        <w:rPr>
          <w:lang w:val="fr-FR"/>
        </w:rPr>
        <w:t>s ont déjà été élaborées</w:t>
      </w:r>
      <w:r>
        <w:rPr>
          <w:lang w:val="fr-FR"/>
        </w:rPr>
        <w:t xml:space="preserve"> et </w:t>
      </w:r>
      <w:r w:rsidRPr="00A241BD">
        <w:rPr>
          <w:lang w:val="fr-FR"/>
        </w:rPr>
        <w:t xml:space="preserve">validées pour </w:t>
      </w:r>
      <w:r>
        <w:rPr>
          <w:lang w:val="fr-FR"/>
        </w:rPr>
        <w:t>le classement</w:t>
      </w:r>
      <w:r w:rsidRPr="00A241BD">
        <w:rPr>
          <w:lang w:val="fr-FR"/>
        </w:rPr>
        <w:t xml:space="preserve"> </w:t>
      </w:r>
      <w:r>
        <w:rPr>
          <w:lang w:val="fr-FR"/>
        </w:rPr>
        <w:t>en ce qui concerne</w:t>
      </w:r>
      <w:r w:rsidRPr="00A241BD">
        <w:rPr>
          <w:lang w:val="fr-FR"/>
        </w:rPr>
        <w:t xml:space="preserve"> la sensibilisation cutanée, qu</w:t>
      </w:r>
      <w:r>
        <w:rPr>
          <w:lang w:val="fr-FR"/>
        </w:rPr>
        <w:t>’</w:t>
      </w:r>
      <w:r w:rsidRPr="00A241BD">
        <w:rPr>
          <w:lang w:val="fr-FR"/>
        </w:rPr>
        <w:t>elles sont déjà acceptées au niveau national et validées selon des procédures internationales (telles que l</w:t>
      </w:r>
      <w:r>
        <w:rPr>
          <w:lang w:val="fr-FR"/>
        </w:rPr>
        <w:t>a</w:t>
      </w:r>
      <w:r w:rsidRPr="00A241BD">
        <w:rPr>
          <w:lang w:val="fr-FR"/>
        </w:rPr>
        <w:t xml:space="preserve"> </w:t>
      </w:r>
      <w:r>
        <w:rPr>
          <w:lang w:val="fr-FR"/>
        </w:rPr>
        <w:t>Ligne directrice</w:t>
      </w:r>
      <w:r w:rsidRPr="00A241BD">
        <w:rPr>
          <w:lang w:val="fr-FR"/>
        </w:rPr>
        <w:t xml:space="preserve"> 497 de l</w:t>
      </w:r>
      <w:r>
        <w:rPr>
          <w:lang w:val="fr-FR"/>
        </w:rPr>
        <w:t>’</w:t>
      </w:r>
      <w:r w:rsidRPr="00A241BD">
        <w:rPr>
          <w:lang w:val="fr-FR"/>
        </w:rPr>
        <w:t xml:space="preserve">OCDE ou une </w:t>
      </w:r>
      <w:r>
        <w:rPr>
          <w:lang w:val="fr-FR"/>
        </w:rPr>
        <w:t>méthode</w:t>
      </w:r>
      <w:r w:rsidRPr="00A241BD">
        <w:rPr>
          <w:lang w:val="fr-FR"/>
        </w:rPr>
        <w:t xml:space="preserve"> équivalente), l</w:t>
      </w:r>
      <w:r>
        <w:rPr>
          <w:lang w:val="fr-FR"/>
        </w:rPr>
        <w:t>’</w:t>
      </w:r>
      <w:r w:rsidRPr="00A241BD">
        <w:rPr>
          <w:lang w:val="fr-FR"/>
        </w:rPr>
        <w:t xml:space="preserve">utilisation de </w:t>
      </w:r>
      <w:r>
        <w:rPr>
          <w:lang w:val="fr-FR"/>
        </w:rPr>
        <w:t>lignes directrices</w:t>
      </w:r>
      <w:r w:rsidRPr="00A241BD">
        <w:rPr>
          <w:lang w:val="fr-FR"/>
        </w:rPr>
        <w:t xml:space="preserve"> </w:t>
      </w:r>
      <w:r>
        <w:rPr>
          <w:lang w:val="fr-FR"/>
        </w:rPr>
        <w:t>relatives aux méthodes</w:t>
      </w:r>
      <w:r w:rsidRPr="00A241BD">
        <w:rPr>
          <w:lang w:val="fr-FR"/>
        </w:rPr>
        <w:t xml:space="preserve"> défini</w:t>
      </w:r>
      <w:r>
        <w:rPr>
          <w:lang w:val="fr-FR"/>
        </w:rPr>
        <w:t>e</w:t>
      </w:r>
      <w:r w:rsidRPr="00A241BD">
        <w:rPr>
          <w:lang w:val="fr-FR"/>
        </w:rPr>
        <w:t>s pou</w:t>
      </w:r>
      <w:r>
        <w:rPr>
          <w:lang w:val="fr-FR"/>
        </w:rPr>
        <w:t>v</w:t>
      </w:r>
      <w:r w:rsidRPr="00A241BD">
        <w:rPr>
          <w:lang w:val="fr-FR"/>
        </w:rPr>
        <w:t xml:space="preserve">ait être incluse dans </w:t>
      </w:r>
      <w:r>
        <w:rPr>
          <w:lang w:val="fr-FR"/>
        </w:rPr>
        <w:t>la méthode</w:t>
      </w:r>
      <w:r w:rsidRPr="00A241BD">
        <w:rPr>
          <w:lang w:val="fr-FR"/>
        </w:rPr>
        <w:t xml:space="preserve"> par étapes du chapitre 3.4 du SGH </w:t>
      </w:r>
      <w:r>
        <w:rPr>
          <w:rFonts w:eastAsiaTheme="minorEastAsia"/>
          <w:lang w:val="fr-FR"/>
        </w:rPr>
        <w:t>en ce qui concerne</w:t>
      </w:r>
      <w:r w:rsidRPr="00A241BD">
        <w:rPr>
          <w:lang w:val="fr-FR"/>
        </w:rPr>
        <w:t xml:space="preserve"> la sensibilisation cutanée. </w:t>
      </w:r>
    </w:p>
    <w:p w14:paraId="3773EED7" w14:textId="77777777" w:rsidR="00B178A7" w:rsidRDefault="00B178A7" w:rsidP="009854A3">
      <w:pPr>
        <w:pStyle w:val="SingleTxtG"/>
        <w:keepNext/>
        <w:rPr>
          <w:lang w:val="fr-FR"/>
        </w:rPr>
      </w:pPr>
      <w:r w:rsidRPr="00A241BD">
        <w:rPr>
          <w:lang w:val="fr-FR"/>
        </w:rPr>
        <w:t>14</w:t>
      </w:r>
      <w:r>
        <w:rPr>
          <w:lang w:val="fr-FR"/>
        </w:rPr>
        <w:t>.</w:t>
      </w:r>
      <w:r>
        <w:rPr>
          <w:lang w:val="fr-FR"/>
        </w:rPr>
        <w:tab/>
      </w:r>
      <w:r w:rsidRPr="00A241BD">
        <w:rPr>
          <w:lang w:val="fr-FR"/>
        </w:rPr>
        <w:t>Le</w:t>
      </w:r>
      <w:r>
        <w:rPr>
          <w:lang w:val="fr-FR"/>
        </w:rPr>
        <w:t>s</w:t>
      </w:r>
      <w:r w:rsidRPr="00A241BD">
        <w:rPr>
          <w:lang w:val="fr-FR"/>
        </w:rPr>
        <w:t xml:space="preserve"> d</w:t>
      </w:r>
      <w:r>
        <w:rPr>
          <w:lang w:val="fr-FR"/>
        </w:rPr>
        <w:t>ébats</w:t>
      </w:r>
      <w:r w:rsidRPr="00A241BD">
        <w:rPr>
          <w:lang w:val="fr-FR"/>
        </w:rPr>
        <w:t xml:space="preserve"> d</w:t>
      </w:r>
      <w:r>
        <w:rPr>
          <w:lang w:val="fr-FR"/>
        </w:rPr>
        <w:t>u</w:t>
      </w:r>
      <w:r w:rsidRPr="00A241BD">
        <w:rPr>
          <w:lang w:val="fr-FR"/>
        </w:rPr>
        <w:t xml:space="preserve"> groupe</w:t>
      </w:r>
      <w:r>
        <w:rPr>
          <w:lang w:val="fr-FR"/>
        </w:rPr>
        <w:t xml:space="preserve"> informel</w:t>
      </w:r>
      <w:r w:rsidRPr="00A241BD">
        <w:rPr>
          <w:lang w:val="fr-FR"/>
        </w:rPr>
        <w:t xml:space="preserve"> sur l</w:t>
      </w:r>
      <w:r>
        <w:rPr>
          <w:lang w:val="fr-FR"/>
        </w:rPr>
        <w:t>’</w:t>
      </w:r>
      <w:r w:rsidRPr="00A241BD">
        <w:rPr>
          <w:lang w:val="fr-FR"/>
        </w:rPr>
        <w:t xml:space="preserve">inclusion des </w:t>
      </w:r>
      <w:r>
        <w:rPr>
          <w:lang w:val="fr-FR"/>
        </w:rPr>
        <w:t>méthodes</w:t>
      </w:r>
      <w:r w:rsidRPr="00A241BD">
        <w:rPr>
          <w:lang w:val="fr-FR"/>
        </w:rPr>
        <w:t xml:space="preserve"> défini</w:t>
      </w:r>
      <w:r>
        <w:rPr>
          <w:lang w:val="fr-FR"/>
        </w:rPr>
        <w:t>e</w:t>
      </w:r>
      <w:r w:rsidRPr="00A241BD">
        <w:rPr>
          <w:lang w:val="fr-FR"/>
        </w:rPr>
        <w:t xml:space="preserve">s </w:t>
      </w:r>
      <w:r>
        <w:rPr>
          <w:lang w:val="fr-FR"/>
        </w:rPr>
        <w:t>ont débouché sur</w:t>
      </w:r>
      <w:r w:rsidRPr="00A241BD">
        <w:rPr>
          <w:lang w:val="fr-FR"/>
        </w:rPr>
        <w:t xml:space="preserve"> de nouvelles sous-sections d</w:t>
      </w:r>
      <w:r>
        <w:rPr>
          <w:lang w:val="fr-FR"/>
        </w:rPr>
        <w:t>u</w:t>
      </w:r>
      <w:r w:rsidRPr="00A241BD">
        <w:rPr>
          <w:lang w:val="fr-FR"/>
        </w:rPr>
        <w:t xml:space="preserve"> texte principal et </w:t>
      </w:r>
      <w:r>
        <w:rPr>
          <w:lang w:val="fr-FR"/>
        </w:rPr>
        <w:t>d</w:t>
      </w:r>
      <w:r w:rsidRPr="00A241BD">
        <w:rPr>
          <w:lang w:val="fr-FR"/>
        </w:rPr>
        <w:t xml:space="preserve">es </w:t>
      </w:r>
      <w:r w:rsidRPr="00EC6D3E">
        <w:rPr>
          <w:lang w:val="fr-FR"/>
        </w:rPr>
        <w:t xml:space="preserve">commentaires et informations complémentaires </w:t>
      </w:r>
      <w:r w:rsidRPr="00A241BD">
        <w:rPr>
          <w:lang w:val="fr-FR"/>
        </w:rPr>
        <w:t>du chapitre</w:t>
      </w:r>
      <w:r>
        <w:rPr>
          <w:lang w:val="fr-FR"/>
        </w:rPr>
        <w:t> </w:t>
      </w:r>
      <w:r w:rsidRPr="00A241BD">
        <w:rPr>
          <w:lang w:val="fr-FR"/>
        </w:rPr>
        <w:t>3.4, comme suit</w:t>
      </w:r>
      <w:r>
        <w:rPr>
          <w:lang w:val="fr-FR"/>
        </w:rPr>
        <w:t> :</w:t>
      </w:r>
      <w:r w:rsidRPr="00A241BD">
        <w:rPr>
          <w:lang w:val="fr-FR"/>
        </w:rPr>
        <w:t xml:space="preserve"> </w:t>
      </w:r>
    </w:p>
    <w:p w14:paraId="759E7BF4" w14:textId="77777777" w:rsidR="00B178A7" w:rsidRDefault="00B178A7" w:rsidP="00B178A7">
      <w:pPr>
        <w:pStyle w:val="SingleTxtG"/>
        <w:ind w:firstLine="567"/>
        <w:rPr>
          <w:lang w:val="fr-FR"/>
        </w:rPr>
      </w:pPr>
      <w:r w:rsidRPr="00A241BD">
        <w:rPr>
          <w:lang w:val="fr-FR"/>
        </w:rPr>
        <w:t>a)</w:t>
      </w:r>
      <w:r w:rsidRPr="00A241BD">
        <w:rPr>
          <w:lang w:val="fr-FR"/>
        </w:rPr>
        <w:tab/>
        <w:t xml:space="preserve">Classification </w:t>
      </w:r>
      <w:r>
        <w:rPr>
          <w:lang w:val="fr-FR"/>
        </w:rPr>
        <w:t>fondée</w:t>
      </w:r>
      <w:r w:rsidRPr="00A241BD">
        <w:rPr>
          <w:lang w:val="fr-FR"/>
        </w:rPr>
        <w:t xml:space="preserve"> sur des </w:t>
      </w:r>
      <w:r>
        <w:rPr>
          <w:lang w:val="fr-FR"/>
        </w:rPr>
        <w:t>méthodes définies</w:t>
      </w:r>
      <w:r w:rsidRPr="00A241BD">
        <w:rPr>
          <w:lang w:val="fr-FR"/>
        </w:rPr>
        <w:t xml:space="preserve"> (3.4.2.2.4)</w:t>
      </w:r>
      <w:r>
        <w:rPr>
          <w:lang w:val="fr-FR"/>
        </w:rPr>
        <w:t> ;</w:t>
      </w:r>
    </w:p>
    <w:p w14:paraId="5C063547" w14:textId="77777777" w:rsidR="00B178A7" w:rsidRDefault="00B178A7" w:rsidP="00B178A7">
      <w:pPr>
        <w:pStyle w:val="SingleTxtG"/>
        <w:ind w:firstLine="567"/>
        <w:rPr>
          <w:lang w:val="fr-FR"/>
        </w:rPr>
      </w:pPr>
      <w:r w:rsidRPr="00A241BD">
        <w:rPr>
          <w:lang w:val="fr-FR"/>
        </w:rPr>
        <w:t>b)</w:t>
      </w:r>
      <w:r w:rsidRPr="00A241BD">
        <w:rPr>
          <w:lang w:val="fr-FR"/>
        </w:rPr>
        <w:tab/>
        <w:t xml:space="preserve">Classification selon une </w:t>
      </w:r>
      <w:r>
        <w:rPr>
          <w:lang w:val="fr-FR"/>
        </w:rPr>
        <w:t>méthode</w:t>
      </w:r>
      <w:r w:rsidRPr="00A241BD">
        <w:rPr>
          <w:lang w:val="fr-FR"/>
        </w:rPr>
        <w:t xml:space="preserve"> par </w:t>
      </w:r>
      <w:r>
        <w:rPr>
          <w:lang w:val="fr-FR"/>
        </w:rPr>
        <w:t>étapes</w:t>
      </w:r>
      <w:r w:rsidRPr="00A241BD">
        <w:rPr>
          <w:lang w:val="fr-FR"/>
        </w:rPr>
        <w:t xml:space="preserve"> (3.4.2.2.7)</w:t>
      </w:r>
      <w:r>
        <w:rPr>
          <w:lang w:val="fr-FR"/>
        </w:rPr>
        <w:t> ;</w:t>
      </w:r>
    </w:p>
    <w:p w14:paraId="7536C586" w14:textId="4C7764FD" w:rsidR="00B178A7" w:rsidRDefault="00B178A7" w:rsidP="00B178A7">
      <w:pPr>
        <w:pStyle w:val="SingleTxtG"/>
        <w:ind w:firstLine="567"/>
        <w:rPr>
          <w:lang w:val="fr-FR"/>
        </w:rPr>
      </w:pPr>
      <w:r w:rsidRPr="00A241BD">
        <w:rPr>
          <w:lang w:val="fr-FR"/>
        </w:rPr>
        <w:t>c)</w:t>
      </w:r>
      <w:r w:rsidRPr="00A241BD">
        <w:rPr>
          <w:lang w:val="fr-FR"/>
        </w:rPr>
        <w:tab/>
        <w:t xml:space="preserve">Inclusion </w:t>
      </w:r>
      <w:r>
        <w:rPr>
          <w:lang w:val="fr-FR"/>
        </w:rPr>
        <w:t>de méthodes définies</w:t>
      </w:r>
      <w:r w:rsidRPr="00A241BD">
        <w:rPr>
          <w:lang w:val="fr-FR"/>
        </w:rPr>
        <w:t xml:space="preserve"> </w:t>
      </w:r>
      <w:bookmarkStart w:id="7" w:name="_Hlk116474211"/>
      <w:r>
        <w:rPr>
          <w:lang w:val="fr-FR"/>
        </w:rPr>
        <w:t>à l’étape </w:t>
      </w:r>
      <w:bookmarkEnd w:id="7"/>
      <w:r w:rsidRPr="00A241BD">
        <w:rPr>
          <w:lang w:val="fr-FR"/>
        </w:rPr>
        <w:t xml:space="preserve">1 </w:t>
      </w:r>
      <w:r>
        <w:rPr>
          <w:lang w:val="fr-FR"/>
        </w:rPr>
        <w:t>po</w:t>
      </w:r>
      <w:r w:rsidRPr="00A241BD">
        <w:rPr>
          <w:lang w:val="fr-FR"/>
        </w:rPr>
        <w:t>ur l</w:t>
      </w:r>
      <w:r>
        <w:rPr>
          <w:lang w:val="fr-FR"/>
        </w:rPr>
        <w:t>’</w:t>
      </w:r>
      <w:r w:rsidRPr="00A241BD">
        <w:rPr>
          <w:lang w:val="fr-FR"/>
        </w:rPr>
        <w:t xml:space="preserve">application de </w:t>
      </w:r>
      <w:r>
        <w:rPr>
          <w:lang w:val="fr-FR"/>
        </w:rPr>
        <w:t>la méthode</w:t>
      </w:r>
      <w:r w:rsidRPr="00A241BD">
        <w:rPr>
          <w:lang w:val="fr-FR"/>
        </w:rPr>
        <w:t xml:space="preserve"> par </w:t>
      </w:r>
      <w:r>
        <w:rPr>
          <w:lang w:val="fr-FR"/>
        </w:rPr>
        <w:t>étapes</w:t>
      </w:r>
      <w:r w:rsidRPr="00A241BD">
        <w:rPr>
          <w:lang w:val="fr-FR"/>
        </w:rPr>
        <w:t xml:space="preserve"> </w:t>
      </w:r>
      <w:r>
        <w:rPr>
          <w:lang w:val="fr-FR"/>
        </w:rPr>
        <w:t>à</w:t>
      </w:r>
      <w:r w:rsidRPr="00A241BD">
        <w:rPr>
          <w:lang w:val="fr-FR"/>
        </w:rPr>
        <w:t xml:space="preserve"> la sensibilisation cutanée </w:t>
      </w:r>
      <w:r w:rsidR="00EC24B6">
        <w:rPr>
          <w:lang w:val="fr-FR"/>
        </w:rPr>
        <w:t>(fig. </w:t>
      </w:r>
      <w:r w:rsidRPr="00A241BD">
        <w:rPr>
          <w:lang w:val="fr-FR"/>
        </w:rPr>
        <w:t>3.4.1)</w:t>
      </w:r>
      <w:r>
        <w:rPr>
          <w:lang w:val="fr-FR"/>
        </w:rPr>
        <w:t> ;</w:t>
      </w:r>
    </w:p>
    <w:p w14:paraId="514492A0" w14:textId="3A35C6BE" w:rsidR="00B178A7" w:rsidRDefault="00B178A7" w:rsidP="00B178A7">
      <w:pPr>
        <w:pStyle w:val="SingleTxtG"/>
        <w:ind w:firstLine="567"/>
        <w:rPr>
          <w:lang w:val="fr-FR"/>
        </w:rPr>
      </w:pPr>
      <w:r w:rsidRPr="00A241BD">
        <w:rPr>
          <w:lang w:val="fr-FR"/>
        </w:rPr>
        <w:t>d)</w:t>
      </w:r>
      <w:r w:rsidRPr="00A241BD">
        <w:rPr>
          <w:lang w:val="fr-FR"/>
        </w:rPr>
        <w:tab/>
        <w:t xml:space="preserve">Inclusion des </w:t>
      </w:r>
      <w:r w:rsidRPr="00A241BD">
        <w:rPr>
          <w:bCs/>
          <w:iCs/>
          <w:lang w:val="fr-FR"/>
        </w:rPr>
        <w:t>résultats non concluants</w:t>
      </w:r>
      <w:r>
        <w:rPr>
          <w:bCs/>
          <w:iCs/>
          <w:lang w:val="fr-FR"/>
        </w:rPr>
        <w:t xml:space="preserve"> ou peu fiables</w:t>
      </w:r>
      <w:r w:rsidRPr="00A241BD">
        <w:rPr>
          <w:bCs/>
          <w:iCs/>
          <w:lang w:val="fr-FR"/>
        </w:rPr>
        <w:t xml:space="preserve"> obtenus par les </w:t>
      </w:r>
      <w:r>
        <w:rPr>
          <w:lang w:val="fr-FR"/>
        </w:rPr>
        <w:t>méthodes définies</w:t>
      </w:r>
      <w:r w:rsidRPr="00A241BD">
        <w:rPr>
          <w:lang w:val="fr-FR"/>
        </w:rPr>
        <w:t xml:space="preserve"> </w:t>
      </w:r>
      <w:r>
        <w:rPr>
          <w:lang w:val="fr-FR"/>
        </w:rPr>
        <w:t>de l’étape </w:t>
      </w:r>
      <w:r w:rsidRPr="00A241BD">
        <w:rPr>
          <w:lang w:val="fr-FR"/>
        </w:rPr>
        <w:t xml:space="preserve">2 </w:t>
      </w:r>
      <w:r>
        <w:rPr>
          <w:lang w:val="fr-FR"/>
        </w:rPr>
        <w:t>pour</w:t>
      </w:r>
      <w:r w:rsidRPr="00A241BD">
        <w:rPr>
          <w:lang w:val="fr-FR"/>
        </w:rPr>
        <w:t xml:space="preserve"> l</w:t>
      </w:r>
      <w:r>
        <w:rPr>
          <w:lang w:val="fr-FR"/>
        </w:rPr>
        <w:t>’</w:t>
      </w:r>
      <w:r w:rsidRPr="00A241BD">
        <w:rPr>
          <w:lang w:val="fr-FR"/>
        </w:rPr>
        <w:t xml:space="preserve">application de </w:t>
      </w:r>
      <w:r>
        <w:rPr>
          <w:lang w:val="fr-FR"/>
        </w:rPr>
        <w:t>la méthode</w:t>
      </w:r>
      <w:r w:rsidRPr="00A241BD">
        <w:rPr>
          <w:lang w:val="fr-FR"/>
        </w:rPr>
        <w:t xml:space="preserve"> par </w:t>
      </w:r>
      <w:r>
        <w:rPr>
          <w:lang w:val="fr-FR"/>
        </w:rPr>
        <w:t>étapes</w:t>
      </w:r>
      <w:r w:rsidRPr="00A241BD">
        <w:rPr>
          <w:lang w:val="fr-FR"/>
        </w:rPr>
        <w:t xml:space="preserve"> </w:t>
      </w:r>
      <w:r>
        <w:rPr>
          <w:lang w:val="fr-FR"/>
        </w:rPr>
        <w:t>à</w:t>
      </w:r>
      <w:r w:rsidRPr="00A241BD">
        <w:rPr>
          <w:lang w:val="fr-FR"/>
        </w:rPr>
        <w:t xml:space="preserve"> la sensibilisation cutanée (fig</w:t>
      </w:r>
      <w:r w:rsidR="00EC24B6">
        <w:rPr>
          <w:lang w:val="fr-FR"/>
        </w:rPr>
        <w:t>. </w:t>
      </w:r>
      <w:r w:rsidRPr="00A241BD">
        <w:rPr>
          <w:lang w:val="fr-FR"/>
        </w:rPr>
        <w:t>3.4.1)</w:t>
      </w:r>
      <w:r>
        <w:rPr>
          <w:lang w:val="fr-FR"/>
        </w:rPr>
        <w:t> ;</w:t>
      </w:r>
    </w:p>
    <w:p w14:paraId="4EB9E229" w14:textId="77777777" w:rsidR="00B178A7" w:rsidRPr="00A241BD" w:rsidRDefault="00B178A7" w:rsidP="00B178A7">
      <w:pPr>
        <w:pStyle w:val="SingleTxtG"/>
        <w:ind w:firstLine="567"/>
        <w:rPr>
          <w:lang w:val="fr-FR"/>
        </w:rPr>
      </w:pPr>
      <w:r w:rsidRPr="00A241BD">
        <w:rPr>
          <w:lang w:val="fr-FR"/>
        </w:rPr>
        <w:t>e)</w:t>
      </w:r>
      <w:r>
        <w:rPr>
          <w:lang w:val="fr-FR"/>
        </w:rPr>
        <w:tab/>
        <w:t>C</w:t>
      </w:r>
      <w:r w:rsidRPr="00A241BD">
        <w:rPr>
          <w:lang w:val="fr-FR"/>
        </w:rPr>
        <w:t>onseils sur l</w:t>
      </w:r>
      <w:r>
        <w:rPr>
          <w:lang w:val="fr-FR"/>
        </w:rPr>
        <w:t>’</w:t>
      </w:r>
      <w:r w:rsidRPr="00A241BD">
        <w:rPr>
          <w:lang w:val="fr-FR"/>
        </w:rPr>
        <w:t xml:space="preserve">utilisation </w:t>
      </w:r>
      <w:r>
        <w:rPr>
          <w:lang w:val="fr-FR"/>
        </w:rPr>
        <w:t>de méthodes définies</w:t>
      </w:r>
      <w:r w:rsidRPr="00A241BD">
        <w:rPr>
          <w:lang w:val="fr-FR"/>
        </w:rPr>
        <w:t xml:space="preserve"> pour </w:t>
      </w:r>
      <w:r>
        <w:rPr>
          <w:lang w:val="fr-FR"/>
        </w:rPr>
        <w:t>le classement</w:t>
      </w:r>
      <w:r w:rsidRPr="00A241BD">
        <w:rPr>
          <w:lang w:val="fr-FR"/>
        </w:rPr>
        <w:t xml:space="preserve"> </w:t>
      </w:r>
      <w:r>
        <w:rPr>
          <w:lang w:val="fr-FR"/>
        </w:rPr>
        <w:t>relatif à</w:t>
      </w:r>
      <w:r w:rsidRPr="00A241BD">
        <w:rPr>
          <w:lang w:val="fr-FR"/>
        </w:rPr>
        <w:t xml:space="preserve"> la sensibilisation cutanée (3.4.5.3.4 et tableau 3.4.6)</w:t>
      </w:r>
      <w:r>
        <w:rPr>
          <w:lang w:val="fr-FR"/>
        </w:rPr>
        <w:t>.</w:t>
      </w:r>
    </w:p>
    <w:p w14:paraId="4C261729" w14:textId="06D7CB89" w:rsidR="00B178A7" w:rsidRPr="00A241BD" w:rsidRDefault="00B178A7" w:rsidP="00B178A7">
      <w:pPr>
        <w:pStyle w:val="SingleTxtG"/>
        <w:rPr>
          <w:lang w:val="fr-FR"/>
        </w:rPr>
      </w:pPr>
      <w:r>
        <w:rPr>
          <w:lang w:val="fr-FR"/>
        </w:rPr>
        <w:t>15.</w:t>
      </w:r>
      <w:r w:rsidRPr="00A241BD">
        <w:rPr>
          <w:lang w:val="fr-FR"/>
        </w:rPr>
        <w:tab/>
        <w:t>Étant donné que l</w:t>
      </w:r>
      <w:r>
        <w:rPr>
          <w:lang w:val="fr-FR"/>
        </w:rPr>
        <w:t>a</w:t>
      </w:r>
      <w:r w:rsidRPr="00A241BD">
        <w:rPr>
          <w:lang w:val="fr-FR"/>
        </w:rPr>
        <w:t xml:space="preserve"> </w:t>
      </w:r>
      <w:r>
        <w:rPr>
          <w:lang w:val="fr-FR"/>
        </w:rPr>
        <w:t>notion</w:t>
      </w:r>
      <w:r w:rsidRPr="00A241BD">
        <w:rPr>
          <w:lang w:val="fr-FR"/>
        </w:rPr>
        <w:t xml:space="preserve"> </w:t>
      </w:r>
      <w:r>
        <w:rPr>
          <w:lang w:val="fr-FR"/>
        </w:rPr>
        <w:t>de méthodes définies</w:t>
      </w:r>
      <w:r w:rsidRPr="00A241BD">
        <w:rPr>
          <w:lang w:val="fr-FR"/>
        </w:rPr>
        <w:t xml:space="preserve"> est proposé</w:t>
      </w:r>
      <w:r>
        <w:rPr>
          <w:lang w:val="fr-FR"/>
        </w:rPr>
        <w:t>e</w:t>
      </w:r>
      <w:r w:rsidRPr="00A241BD">
        <w:rPr>
          <w:lang w:val="fr-FR"/>
        </w:rPr>
        <w:t xml:space="preserve"> pour </w:t>
      </w:r>
      <w:r>
        <w:rPr>
          <w:lang w:val="fr-FR"/>
        </w:rPr>
        <w:t>le classement</w:t>
      </w:r>
      <w:r w:rsidRPr="00A241BD">
        <w:rPr>
          <w:lang w:val="fr-FR"/>
        </w:rPr>
        <w:t xml:space="preserve"> </w:t>
      </w:r>
      <w:r>
        <w:rPr>
          <w:lang w:val="fr-FR"/>
        </w:rPr>
        <w:t>en ce qui concerne</w:t>
      </w:r>
      <w:r w:rsidRPr="00A241BD">
        <w:rPr>
          <w:lang w:val="fr-FR"/>
        </w:rPr>
        <w:t xml:space="preserve"> la sensibilisation cutanée au chapitre 3.4 en plus d</w:t>
      </w:r>
      <w:r>
        <w:rPr>
          <w:lang w:val="fr-FR"/>
        </w:rPr>
        <w:t>’</w:t>
      </w:r>
      <w:r w:rsidRPr="00A241BD">
        <w:rPr>
          <w:lang w:val="fr-FR"/>
        </w:rPr>
        <w:t>être inclus</w:t>
      </w:r>
      <w:r>
        <w:rPr>
          <w:lang w:val="fr-FR"/>
        </w:rPr>
        <w:t>e</w:t>
      </w:r>
      <w:r w:rsidRPr="00A241BD">
        <w:rPr>
          <w:lang w:val="fr-FR"/>
        </w:rPr>
        <w:t xml:space="preserve"> dans les amendements adoptés pour les lésions oculaires graves</w:t>
      </w:r>
      <w:r>
        <w:rPr>
          <w:lang w:val="fr-FR"/>
        </w:rPr>
        <w:t xml:space="preserve"> et l’</w:t>
      </w:r>
      <w:r w:rsidRPr="00A241BD">
        <w:rPr>
          <w:lang w:val="fr-FR"/>
        </w:rPr>
        <w:t>irritation oculaire au chapitre</w:t>
      </w:r>
      <w:r w:rsidR="009854A3">
        <w:rPr>
          <w:lang w:val="fr-FR"/>
        </w:rPr>
        <w:t> </w:t>
      </w:r>
      <w:r w:rsidRPr="00A241BD">
        <w:rPr>
          <w:lang w:val="fr-FR"/>
        </w:rPr>
        <w:t>3.3 à la quarantième session</w:t>
      </w:r>
      <w:r>
        <w:rPr>
          <w:lang w:val="fr-FR"/>
        </w:rPr>
        <w:t xml:space="preserve"> </w:t>
      </w:r>
      <w:r w:rsidRPr="00A241BD">
        <w:rPr>
          <w:lang w:val="fr-FR"/>
        </w:rPr>
        <w:t xml:space="preserve">(voir ST/SG/AC.10/C.4/2021/4 et ST/SG/AC.10/C.4/80), le groupe </w:t>
      </w:r>
      <w:r>
        <w:rPr>
          <w:lang w:val="fr-FR"/>
        </w:rPr>
        <w:t xml:space="preserve">informel </w:t>
      </w:r>
      <w:r w:rsidRPr="00A241BD">
        <w:rPr>
          <w:lang w:val="fr-FR"/>
        </w:rPr>
        <w:t>a estimé qu</w:t>
      </w:r>
      <w:r>
        <w:rPr>
          <w:lang w:val="fr-FR"/>
        </w:rPr>
        <w:t>’</w:t>
      </w:r>
      <w:r w:rsidRPr="00A241BD">
        <w:rPr>
          <w:lang w:val="fr-FR"/>
        </w:rPr>
        <w:t>il serait également approprié d</w:t>
      </w:r>
      <w:r>
        <w:rPr>
          <w:lang w:val="fr-FR"/>
        </w:rPr>
        <w:t>’ajouter</w:t>
      </w:r>
      <w:r w:rsidRPr="000907CC">
        <w:rPr>
          <w:lang w:val="fr-FR"/>
        </w:rPr>
        <w:t xml:space="preserve"> </w:t>
      </w:r>
      <w:r>
        <w:rPr>
          <w:lang w:val="fr-FR"/>
        </w:rPr>
        <w:t>au</w:t>
      </w:r>
      <w:r w:rsidRPr="00A241BD">
        <w:rPr>
          <w:lang w:val="fr-FR"/>
        </w:rPr>
        <w:t xml:space="preserve"> chapitre 1.2 un texte explicatif sur les </w:t>
      </w:r>
      <w:r>
        <w:rPr>
          <w:lang w:val="fr-FR"/>
        </w:rPr>
        <w:t>méthodes définies</w:t>
      </w:r>
      <w:r w:rsidRPr="00A241BD">
        <w:rPr>
          <w:lang w:val="fr-FR"/>
        </w:rPr>
        <w:t xml:space="preserve">, comme </w:t>
      </w:r>
      <w:r>
        <w:rPr>
          <w:lang w:val="fr-FR"/>
        </w:rPr>
        <w:t>cela est</w:t>
      </w:r>
      <w:r w:rsidRPr="00A241BD">
        <w:rPr>
          <w:lang w:val="fr-FR"/>
        </w:rPr>
        <w:t xml:space="preserve"> prév</w:t>
      </w:r>
      <w:r>
        <w:rPr>
          <w:lang w:val="fr-FR"/>
        </w:rPr>
        <w:t>u dans</w:t>
      </w:r>
      <w:r w:rsidRPr="00A241BD">
        <w:rPr>
          <w:lang w:val="fr-FR"/>
        </w:rPr>
        <w:t xml:space="preserve"> le document ST/SG/AC.10/C.4/2022/15. </w:t>
      </w:r>
    </w:p>
    <w:p w14:paraId="6C5358AF" w14:textId="142E30DF" w:rsidR="00B178A7" w:rsidRPr="00A241BD" w:rsidRDefault="00B178A7" w:rsidP="00F463DE">
      <w:pPr>
        <w:pStyle w:val="H1G"/>
        <w:rPr>
          <w:lang w:val="fr-FR" w:eastAsia="en-GB"/>
        </w:rPr>
      </w:pPr>
      <w:r w:rsidRPr="00A241BD">
        <w:rPr>
          <w:lang w:val="fr-FR" w:eastAsia="en-GB"/>
        </w:rPr>
        <w:tab/>
      </w:r>
      <w:r w:rsidRPr="00A241BD">
        <w:rPr>
          <w:lang w:val="fr-FR" w:eastAsia="en-GB"/>
        </w:rPr>
        <w:tab/>
        <w:t>Application d</w:t>
      </w:r>
      <w:r>
        <w:rPr>
          <w:lang w:val="fr-FR" w:eastAsia="en-GB"/>
        </w:rPr>
        <w:t>’</w:t>
      </w:r>
      <w:r w:rsidRPr="00A241BD">
        <w:rPr>
          <w:lang w:val="fr-FR" w:eastAsia="en-GB"/>
        </w:rPr>
        <w:t>une évaluation d</w:t>
      </w:r>
      <w:r>
        <w:rPr>
          <w:lang w:val="fr-FR" w:eastAsia="en-GB"/>
        </w:rPr>
        <w:t>e</w:t>
      </w:r>
      <w:r w:rsidRPr="0063183B">
        <w:rPr>
          <w:bCs/>
          <w:lang w:val="fr-FR"/>
        </w:rPr>
        <w:t xml:space="preserve"> </w:t>
      </w:r>
      <w:r w:rsidRPr="00A241BD">
        <w:rPr>
          <w:bCs/>
          <w:lang w:val="fr-FR"/>
        </w:rPr>
        <w:t>l</w:t>
      </w:r>
      <w:r>
        <w:rPr>
          <w:bCs/>
          <w:lang w:val="fr-FR"/>
        </w:rPr>
        <w:t>a</w:t>
      </w:r>
      <w:r w:rsidRPr="00A241BD">
        <w:rPr>
          <w:bCs/>
          <w:lang w:val="fr-FR"/>
        </w:rPr>
        <w:t xml:space="preserve"> </w:t>
      </w:r>
      <w:r w:rsidRPr="0063183B">
        <w:rPr>
          <w:bCs/>
          <w:lang w:val="fr-FR"/>
        </w:rPr>
        <w:t>force probante des données</w:t>
      </w:r>
      <w:r w:rsidRPr="00A241BD">
        <w:rPr>
          <w:lang w:val="fr-FR" w:eastAsia="en-GB"/>
        </w:rPr>
        <w:t xml:space="preserve"> </w:t>
      </w:r>
      <w:r w:rsidR="00F463DE">
        <w:rPr>
          <w:lang w:val="fr-FR" w:eastAsia="en-GB"/>
        </w:rPr>
        <w:br/>
      </w:r>
      <w:r w:rsidRPr="00A241BD">
        <w:rPr>
          <w:lang w:val="fr-FR" w:eastAsia="en-GB"/>
        </w:rPr>
        <w:t>pour</w:t>
      </w:r>
      <w:r w:rsidR="00F463DE">
        <w:rPr>
          <w:lang w:val="fr-FR" w:eastAsia="en-GB"/>
        </w:rPr>
        <w:t xml:space="preserve"> </w:t>
      </w:r>
      <w:r>
        <w:rPr>
          <w:lang w:val="fr-FR" w:eastAsia="en-GB"/>
        </w:rPr>
        <w:t>le classement</w:t>
      </w:r>
      <w:r w:rsidRPr="00A241BD">
        <w:rPr>
          <w:lang w:val="fr-FR" w:eastAsia="en-GB"/>
        </w:rPr>
        <w:t xml:space="preserve"> </w:t>
      </w:r>
      <w:r>
        <w:rPr>
          <w:lang w:val="fr-FR" w:eastAsia="en-GB"/>
        </w:rPr>
        <w:t>en ce qui concerne</w:t>
      </w:r>
      <w:r w:rsidRPr="00A241BD">
        <w:rPr>
          <w:lang w:val="fr-FR" w:eastAsia="en-GB"/>
        </w:rPr>
        <w:t xml:space="preserve"> la sensibilisation cutanée </w:t>
      </w:r>
      <w:r w:rsidR="00F463DE">
        <w:rPr>
          <w:lang w:val="fr-FR" w:eastAsia="en-GB"/>
        </w:rPr>
        <w:br/>
      </w:r>
      <w:r w:rsidRPr="00A241BD">
        <w:rPr>
          <w:lang w:val="fr-FR" w:eastAsia="en-GB"/>
        </w:rPr>
        <w:t>basée</w:t>
      </w:r>
      <w:r w:rsidR="00F463DE">
        <w:rPr>
          <w:lang w:val="fr-FR" w:eastAsia="en-GB"/>
        </w:rPr>
        <w:t xml:space="preserve"> </w:t>
      </w:r>
      <w:r w:rsidRPr="00A241BD">
        <w:rPr>
          <w:lang w:val="fr-FR" w:eastAsia="en-GB"/>
        </w:rPr>
        <w:t>sur</w:t>
      </w:r>
      <w:r w:rsidR="00F463DE">
        <w:rPr>
          <w:lang w:val="fr-FR" w:eastAsia="en-GB"/>
        </w:rPr>
        <w:t xml:space="preserve"> </w:t>
      </w:r>
      <w:r w:rsidRPr="00A241BD">
        <w:rPr>
          <w:lang w:val="fr-FR" w:eastAsia="en-GB"/>
        </w:rPr>
        <w:t>des</w:t>
      </w:r>
      <w:r>
        <w:rPr>
          <w:lang w:val="fr-FR" w:eastAsia="en-GB"/>
        </w:rPr>
        <w:t xml:space="preserve"> </w:t>
      </w:r>
      <w:r w:rsidRPr="00A241BD">
        <w:rPr>
          <w:lang w:val="fr-FR" w:eastAsia="en-GB"/>
        </w:rPr>
        <w:t xml:space="preserve">méthodes </w:t>
      </w:r>
      <w:r w:rsidRPr="00A241BD">
        <w:rPr>
          <w:bCs/>
          <w:i/>
          <w:iCs/>
          <w:lang w:val="fr-FR"/>
        </w:rPr>
        <w:t>in</w:t>
      </w:r>
      <w:r>
        <w:rPr>
          <w:bCs/>
          <w:i/>
          <w:iCs/>
          <w:lang w:val="fr-FR"/>
        </w:rPr>
        <w:t xml:space="preserve"> </w:t>
      </w:r>
      <w:proofErr w:type="spellStart"/>
      <w:r w:rsidRPr="00A241BD">
        <w:rPr>
          <w:bCs/>
          <w:i/>
          <w:iCs/>
          <w:lang w:val="fr-FR"/>
        </w:rPr>
        <w:t>ch</w:t>
      </w:r>
      <w:r>
        <w:rPr>
          <w:bCs/>
          <w:i/>
          <w:iCs/>
          <w:lang w:val="fr-FR"/>
        </w:rPr>
        <w:t>e</w:t>
      </w:r>
      <w:r w:rsidRPr="00A241BD">
        <w:rPr>
          <w:bCs/>
          <w:i/>
          <w:iCs/>
          <w:lang w:val="fr-FR"/>
        </w:rPr>
        <w:t>mico</w:t>
      </w:r>
      <w:proofErr w:type="spellEnd"/>
      <w:r w:rsidRPr="00A241BD">
        <w:rPr>
          <w:bCs/>
          <w:i/>
          <w:iCs/>
          <w:lang w:val="fr-FR"/>
        </w:rPr>
        <w:t xml:space="preserve">/in </w:t>
      </w:r>
      <w:r w:rsidRPr="00A241BD">
        <w:rPr>
          <w:i/>
          <w:iCs/>
          <w:lang w:val="fr-FR" w:eastAsia="en-GB"/>
        </w:rPr>
        <w:t>vitro</w:t>
      </w:r>
    </w:p>
    <w:p w14:paraId="547E14C7" w14:textId="77777777" w:rsidR="00B178A7" w:rsidRPr="00A241BD" w:rsidRDefault="00B178A7" w:rsidP="00B178A7">
      <w:pPr>
        <w:pStyle w:val="SingleTxtG"/>
        <w:rPr>
          <w:lang w:val="fr-FR"/>
        </w:rPr>
      </w:pPr>
      <w:r>
        <w:rPr>
          <w:lang w:val="fr-FR"/>
        </w:rPr>
        <w:t>16.</w:t>
      </w:r>
      <w:r w:rsidRPr="00A241BD">
        <w:rPr>
          <w:lang w:val="fr-FR"/>
        </w:rPr>
        <w:tab/>
        <w:t xml:space="preserve">Les critères proposés pour le SGH </w:t>
      </w:r>
      <w:r>
        <w:rPr>
          <w:lang w:val="fr-FR"/>
        </w:rPr>
        <w:t>requièrent</w:t>
      </w:r>
      <w:r w:rsidRPr="00A241BD">
        <w:rPr>
          <w:lang w:val="fr-FR"/>
        </w:rPr>
        <w:t xml:space="preserve"> une évaluation d</w:t>
      </w:r>
      <w:r>
        <w:rPr>
          <w:lang w:val="fr-FR"/>
        </w:rPr>
        <w:t>e</w:t>
      </w:r>
      <w:r w:rsidRPr="0063183B">
        <w:rPr>
          <w:bCs/>
          <w:lang w:val="fr-FR"/>
        </w:rPr>
        <w:t xml:space="preserve"> </w:t>
      </w:r>
      <w:r w:rsidRPr="00A241BD">
        <w:rPr>
          <w:bCs/>
          <w:lang w:val="fr-FR"/>
        </w:rPr>
        <w:t>l</w:t>
      </w:r>
      <w:r>
        <w:rPr>
          <w:bCs/>
          <w:lang w:val="fr-FR"/>
        </w:rPr>
        <w:t>a</w:t>
      </w:r>
      <w:r w:rsidRPr="00A241BD">
        <w:rPr>
          <w:bCs/>
          <w:lang w:val="fr-FR"/>
        </w:rPr>
        <w:t xml:space="preserve"> </w:t>
      </w:r>
      <w:r w:rsidRPr="0063183B">
        <w:rPr>
          <w:bCs/>
          <w:lang w:val="fr-FR"/>
        </w:rPr>
        <w:t>force probante des données</w:t>
      </w:r>
      <w:r w:rsidRPr="00A241BD">
        <w:rPr>
          <w:lang w:val="fr-FR"/>
        </w:rPr>
        <w:t xml:space="preserve"> </w:t>
      </w:r>
      <w:r>
        <w:rPr>
          <w:lang w:val="fr-FR"/>
        </w:rPr>
        <w:t>lorsque celles-ci sont</w:t>
      </w:r>
      <w:r w:rsidRPr="00A241BD">
        <w:rPr>
          <w:lang w:val="fr-FR"/>
        </w:rPr>
        <w:t xml:space="preserve"> contradictoires ou incohérentes. </w:t>
      </w:r>
    </w:p>
    <w:p w14:paraId="03F00305" w14:textId="77777777" w:rsidR="00B178A7" w:rsidRPr="00A241BD" w:rsidRDefault="00B178A7" w:rsidP="00F463DE">
      <w:pPr>
        <w:pStyle w:val="SingleTxtG"/>
        <w:rPr>
          <w:lang w:val="fr-FR"/>
        </w:rPr>
      </w:pPr>
      <w:r w:rsidRPr="00A241BD">
        <w:rPr>
          <w:lang w:val="fr-FR"/>
        </w:rPr>
        <w:lastRenderedPageBreak/>
        <w:t>17.</w:t>
      </w:r>
      <w:r w:rsidRPr="00A241BD">
        <w:rPr>
          <w:lang w:val="fr-FR"/>
        </w:rPr>
        <w:tab/>
      </w:r>
      <w:r>
        <w:rPr>
          <w:lang w:val="fr-FR"/>
        </w:rPr>
        <w:t>En vue</w:t>
      </w:r>
      <w:r w:rsidRPr="00A241BD">
        <w:rPr>
          <w:lang w:val="fr-FR"/>
        </w:rPr>
        <w:t xml:space="preserve"> </w:t>
      </w:r>
      <w:r>
        <w:rPr>
          <w:lang w:val="fr-FR"/>
        </w:rPr>
        <w:t>de l’</w:t>
      </w:r>
      <w:r w:rsidRPr="00A241BD">
        <w:rPr>
          <w:lang w:val="fr-FR"/>
        </w:rPr>
        <w:t>élabor</w:t>
      </w:r>
      <w:r>
        <w:rPr>
          <w:lang w:val="fr-FR"/>
        </w:rPr>
        <w:t>ation d’</w:t>
      </w:r>
      <w:r w:rsidRPr="00A241BD">
        <w:rPr>
          <w:lang w:val="fr-FR"/>
        </w:rPr>
        <w:t>orientations, un exercice a été réalisé</w:t>
      </w:r>
      <w:r>
        <w:rPr>
          <w:lang w:val="fr-FR"/>
        </w:rPr>
        <w:t>,</w:t>
      </w:r>
      <w:r w:rsidRPr="00A241BD">
        <w:rPr>
          <w:lang w:val="fr-FR"/>
        </w:rPr>
        <w:t xml:space="preserve"> pour lequel il a été demandé aux experts de fournir un</w:t>
      </w:r>
      <w:r>
        <w:rPr>
          <w:lang w:val="fr-FR"/>
        </w:rPr>
        <w:t xml:space="preserve"> classement </w:t>
      </w:r>
      <w:r w:rsidRPr="00A241BD">
        <w:rPr>
          <w:lang w:val="fr-FR"/>
        </w:rPr>
        <w:t>pour chaque combinaison de résultats (catégorie</w:t>
      </w:r>
      <w:r>
        <w:rPr>
          <w:lang w:val="fr-FR"/>
        </w:rPr>
        <w:t>s</w:t>
      </w:r>
      <w:r w:rsidRPr="00A241BD">
        <w:rPr>
          <w:lang w:val="fr-FR"/>
        </w:rPr>
        <w:t xml:space="preserve"> 1A, 1B</w:t>
      </w:r>
      <w:r>
        <w:rPr>
          <w:lang w:val="fr-FR"/>
        </w:rPr>
        <w:t xml:space="preserve"> ou</w:t>
      </w:r>
      <w:r w:rsidRPr="00A241BD">
        <w:rPr>
          <w:lang w:val="fr-FR"/>
        </w:rPr>
        <w:t xml:space="preserve"> 1,</w:t>
      </w:r>
      <w:r>
        <w:rPr>
          <w:lang w:val="fr-FR"/>
        </w:rPr>
        <w:t xml:space="preserve"> ou</w:t>
      </w:r>
      <w:r w:rsidRPr="00A241BD">
        <w:rPr>
          <w:lang w:val="fr-FR"/>
        </w:rPr>
        <w:t xml:space="preserve"> </w:t>
      </w:r>
      <w:r>
        <w:rPr>
          <w:lang w:val="fr-FR"/>
        </w:rPr>
        <w:t>non-classement</w:t>
      </w:r>
      <w:r w:rsidRPr="00A241BD">
        <w:rPr>
          <w:lang w:val="fr-FR"/>
        </w:rPr>
        <w:t xml:space="preserve">) pour chaque type de données (données humaines, données animales, </w:t>
      </w:r>
      <w:r>
        <w:rPr>
          <w:lang w:val="fr-FR"/>
        </w:rPr>
        <w:t>méthodes définies</w:t>
      </w:r>
      <w:r w:rsidRPr="00A241BD">
        <w:rPr>
          <w:lang w:val="fr-FR"/>
        </w:rPr>
        <w:t xml:space="preserve"> et données </w:t>
      </w:r>
      <w:r w:rsidRPr="00633448">
        <w:rPr>
          <w:i/>
          <w:iCs/>
          <w:lang w:val="fr-FR"/>
        </w:rPr>
        <w:t>in vitro</w:t>
      </w:r>
      <w:r w:rsidRPr="00A241BD">
        <w:rPr>
          <w:lang w:val="fr-FR"/>
        </w:rPr>
        <w:t xml:space="preserve"> autonomes) et les règles selon lesquelles ces </w:t>
      </w:r>
      <w:r>
        <w:rPr>
          <w:lang w:val="fr-FR"/>
        </w:rPr>
        <w:t>classements</w:t>
      </w:r>
      <w:r w:rsidRPr="00A241BD">
        <w:rPr>
          <w:lang w:val="fr-FR"/>
        </w:rPr>
        <w:t xml:space="preserve"> </w:t>
      </w:r>
      <w:r>
        <w:rPr>
          <w:lang w:val="fr-FR"/>
        </w:rPr>
        <w:t>avaie</w:t>
      </w:r>
      <w:r w:rsidRPr="00A241BD">
        <w:rPr>
          <w:lang w:val="fr-FR"/>
        </w:rPr>
        <w:t xml:space="preserve">nt été obtenus. </w:t>
      </w:r>
    </w:p>
    <w:p w14:paraId="29B0796F" w14:textId="77777777" w:rsidR="00B178A7" w:rsidRPr="00A241BD" w:rsidRDefault="00B178A7" w:rsidP="00F463DE">
      <w:pPr>
        <w:pStyle w:val="SingleTxtG"/>
        <w:rPr>
          <w:noProof/>
          <w:lang w:val="fr-FR"/>
        </w:rPr>
      </w:pPr>
      <w:r w:rsidRPr="00A241BD">
        <w:rPr>
          <w:lang w:val="fr-FR"/>
        </w:rPr>
        <w:t>18.</w:t>
      </w:r>
      <w:r w:rsidRPr="00A241BD">
        <w:rPr>
          <w:lang w:val="fr-FR"/>
        </w:rPr>
        <w:tab/>
        <w:t>Sur la base d</w:t>
      </w:r>
      <w:r>
        <w:rPr>
          <w:lang w:val="fr-FR"/>
        </w:rPr>
        <w:t>’</w:t>
      </w:r>
      <w:r w:rsidRPr="00A241BD">
        <w:rPr>
          <w:lang w:val="fr-FR"/>
        </w:rPr>
        <w:t>une analyse des résultats, certaines suggestions d</w:t>
      </w:r>
      <w:r>
        <w:rPr>
          <w:lang w:val="fr-FR"/>
        </w:rPr>
        <w:t>’</w:t>
      </w:r>
      <w:r w:rsidRPr="00A241BD">
        <w:rPr>
          <w:lang w:val="fr-FR"/>
        </w:rPr>
        <w:t>orientation</w:t>
      </w:r>
      <w:r>
        <w:rPr>
          <w:lang w:val="fr-FR"/>
        </w:rPr>
        <w:t>s</w:t>
      </w:r>
      <w:r w:rsidRPr="00A241BD">
        <w:rPr>
          <w:lang w:val="fr-FR"/>
        </w:rPr>
        <w:t xml:space="preserve"> sur l</w:t>
      </w:r>
      <w:r>
        <w:rPr>
          <w:lang w:val="fr-FR"/>
        </w:rPr>
        <w:t>’</w:t>
      </w:r>
      <w:r w:rsidRPr="00A241BD">
        <w:rPr>
          <w:lang w:val="fr-FR"/>
        </w:rPr>
        <w:t>application de l</w:t>
      </w:r>
      <w:r>
        <w:rPr>
          <w:lang w:val="fr-FR"/>
        </w:rPr>
        <w:t>’</w:t>
      </w:r>
      <w:r w:rsidRPr="00A241BD">
        <w:rPr>
          <w:lang w:val="fr-FR"/>
        </w:rPr>
        <w:t>évaluation d</w:t>
      </w:r>
      <w:r>
        <w:rPr>
          <w:lang w:val="fr-FR"/>
        </w:rPr>
        <w:t>e</w:t>
      </w:r>
      <w:r w:rsidRPr="0063183B">
        <w:rPr>
          <w:bCs/>
          <w:lang w:val="fr-FR"/>
        </w:rPr>
        <w:t xml:space="preserve"> </w:t>
      </w:r>
      <w:r w:rsidRPr="00A241BD">
        <w:rPr>
          <w:bCs/>
          <w:lang w:val="fr-FR"/>
        </w:rPr>
        <w:t>l</w:t>
      </w:r>
      <w:r>
        <w:rPr>
          <w:bCs/>
          <w:lang w:val="fr-FR"/>
        </w:rPr>
        <w:t>a</w:t>
      </w:r>
      <w:r w:rsidRPr="00A241BD">
        <w:rPr>
          <w:bCs/>
          <w:lang w:val="fr-FR"/>
        </w:rPr>
        <w:t xml:space="preserve"> </w:t>
      </w:r>
      <w:r w:rsidRPr="0063183B">
        <w:rPr>
          <w:bCs/>
          <w:lang w:val="fr-FR"/>
        </w:rPr>
        <w:t>force probante des données</w:t>
      </w:r>
      <w:r w:rsidRPr="00A241BD">
        <w:rPr>
          <w:lang w:val="fr-FR"/>
        </w:rPr>
        <w:t xml:space="preserve"> ont été d</w:t>
      </w:r>
      <w:r>
        <w:rPr>
          <w:lang w:val="fr-FR"/>
        </w:rPr>
        <w:t>ébattu</w:t>
      </w:r>
      <w:r w:rsidRPr="00A241BD">
        <w:rPr>
          <w:lang w:val="fr-FR"/>
        </w:rPr>
        <w:t xml:space="preserve">es, mais </w:t>
      </w:r>
      <w:r>
        <w:rPr>
          <w:lang w:val="fr-FR"/>
        </w:rPr>
        <w:t>étant donné qu’</w:t>
      </w:r>
      <w:r w:rsidRPr="00A241BD">
        <w:rPr>
          <w:lang w:val="fr-FR"/>
        </w:rPr>
        <w:t>aucun accord n</w:t>
      </w:r>
      <w:r>
        <w:rPr>
          <w:lang w:val="fr-FR"/>
        </w:rPr>
        <w:t>’</w:t>
      </w:r>
      <w:r w:rsidRPr="00A241BD">
        <w:rPr>
          <w:lang w:val="fr-FR"/>
        </w:rPr>
        <w:t>avait été atteint au moment de la soumission du présent document, les d</w:t>
      </w:r>
      <w:r>
        <w:rPr>
          <w:lang w:val="fr-FR"/>
        </w:rPr>
        <w:t>ébat</w:t>
      </w:r>
      <w:r w:rsidRPr="00A241BD">
        <w:rPr>
          <w:lang w:val="fr-FR"/>
        </w:rPr>
        <w:t>s sur cette question se poursuivront et un</w:t>
      </w:r>
      <w:r>
        <w:rPr>
          <w:lang w:val="fr-FR"/>
        </w:rPr>
        <w:t xml:space="preserve"> </w:t>
      </w:r>
      <w:r w:rsidRPr="009D1407">
        <w:rPr>
          <w:lang w:val="fr-FR"/>
        </w:rPr>
        <w:t>compte rendu</w:t>
      </w:r>
      <w:r w:rsidRPr="00A241BD">
        <w:rPr>
          <w:lang w:val="fr-FR"/>
        </w:rPr>
        <w:t xml:space="preserve"> sera fourni au Sous-</w:t>
      </w:r>
      <w:r>
        <w:rPr>
          <w:lang w:val="fr-FR"/>
        </w:rPr>
        <w:t>C</w:t>
      </w:r>
      <w:r w:rsidRPr="00A241BD">
        <w:rPr>
          <w:lang w:val="fr-FR"/>
        </w:rPr>
        <w:t>omité à la quarante-troisième session.</w:t>
      </w:r>
      <w:bookmarkStart w:id="8" w:name="_Hlk69387750"/>
    </w:p>
    <w:bookmarkEnd w:id="8"/>
    <w:p w14:paraId="722F6E03" w14:textId="4AFE2184" w:rsidR="00B178A7" w:rsidRPr="00A241BD" w:rsidRDefault="00B178A7" w:rsidP="00F463DE">
      <w:pPr>
        <w:pStyle w:val="H1G"/>
        <w:rPr>
          <w:lang w:val="fr-FR"/>
        </w:rPr>
      </w:pPr>
      <w:r w:rsidRPr="00A241BD">
        <w:rPr>
          <w:lang w:val="fr-FR"/>
        </w:rPr>
        <w:tab/>
      </w:r>
      <w:r w:rsidRPr="00A241BD">
        <w:rPr>
          <w:lang w:val="fr-FR"/>
        </w:rPr>
        <w:tab/>
        <w:t xml:space="preserve">Classement dans la catégorie 1 ou 1B lorsque la catégorie 1A </w:t>
      </w:r>
      <w:r w:rsidR="00F463DE">
        <w:rPr>
          <w:lang w:val="fr-FR"/>
        </w:rPr>
        <w:br/>
      </w:r>
      <w:r w:rsidRPr="00A241BD">
        <w:rPr>
          <w:lang w:val="fr-FR"/>
        </w:rPr>
        <w:t>ne peut être exclue</w:t>
      </w:r>
    </w:p>
    <w:p w14:paraId="209C6F5D" w14:textId="77777777" w:rsidR="00B178A7" w:rsidRPr="00A241BD" w:rsidRDefault="00B178A7" w:rsidP="00F463DE">
      <w:pPr>
        <w:pStyle w:val="SingleTxtG"/>
        <w:rPr>
          <w:lang w:val="fr-FR"/>
        </w:rPr>
      </w:pPr>
      <w:r w:rsidRPr="00A241BD">
        <w:rPr>
          <w:lang w:val="fr-FR"/>
        </w:rPr>
        <w:t>19.</w:t>
      </w:r>
      <w:r>
        <w:rPr>
          <w:lang w:val="fr-FR"/>
        </w:rPr>
        <w:tab/>
      </w:r>
      <w:r w:rsidRPr="00A241BD">
        <w:rPr>
          <w:lang w:val="fr-FR"/>
        </w:rPr>
        <w:t>Lors de l</w:t>
      </w:r>
      <w:r>
        <w:rPr>
          <w:lang w:val="fr-FR"/>
        </w:rPr>
        <w:t>’</w:t>
      </w:r>
      <w:r w:rsidRPr="00A241BD">
        <w:rPr>
          <w:lang w:val="fr-FR"/>
        </w:rPr>
        <w:t>exercice d</w:t>
      </w:r>
      <w:r>
        <w:rPr>
          <w:lang w:val="fr-FR"/>
        </w:rPr>
        <w:t>’</w:t>
      </w:r>
      <w:r w:rsidRPr="00A241BD">
        <w:rPr>
          <w:lang w:val="fr-FR"/>
        </w:rPr>
        <w:t>élaboration des orientations sur l</w:t>
      </w:r>
      <w:r>
        <w:rPr>
          <w:lang w:val="fr-FR"/>
        </w:rPr>
        <w:t>’</w:t>
      </w:r>
      <w:r w:rsidRPr="00A241BD">
        <w:rPr>
          <w:lang w:val="fr-FR"/>
        </w:rPr>
        <w:t>évaluation d</w:t>
      </w:r>
      <w:r>
        <w:rPr>
          <w:lang w:val="fr-FR"/>
        </w:rPr>
        <w:t>e</w:t>
      </w:r>
      <w:r w:rsidRPr="0063183B">
        <w:rPr>
          <w:bCs/>
          <w:lang w:val="fr-FR"/>
        </w:rPr>
        <w:t xml:space="preserve"> </w:t>
      </w:r>
      <w:r w:rsidRPr="00A241BD">
        <w:rPr>
          <w:bCs/>
          <w:lang w:val="fr-FR"/>
        </w:rPr>
        <w:t>l</w:t>
      </w:r>
      <w:r>
        <w:rPr>
          <w:bCs/>
          <w:lang w:val="fr-FR"/>
        </w:rPr>
        <w:t>a</w:t>
      </w:r>
      <w:r w:rsidRPr="00A241BD">
        <w:rPr>
          <w:bCs/>
          <w:lang w:val="fr-FR"/>
        </w:rPr>
        <w:t xml:space="preserve"> </w:t>
      </w:r>
      <w:r w:rsidRPr="0063183B">
        <w:rPr>
          <w:bCs/>
          <w:lang w:val="fr-FR"/>
        </w:rPr>
        <w:t>force probante des données</w:t>
      </w:r>
      <w:r w:rsidRPr="00A241BD">
        <w:rPr>
          <w:lang w:val="fr-FR"/>
        </w:rPr>
        <w:t xml:space="preserve">, il a été constaté </w:t>
      </w:r>
      <w:r>
        <w:rPr>
          <w:lang w:val="fr-FR"/>
        </w:rPr>
        <w:t>que</w:t>
      </w:r>
      <w:r w:rsidRPr="00A241BD">
        <w:rPr>
          <w:lang w:val="fr-FR"/>
        </w:rPr>
        <w:t xml:space="preserve"> les autorités compétentes </w:t>
      </w:r>
      <w:r>
        <w:rPr>
          <w:lang w:val="fr-FR"/>
        </w:rPr>
        <w:t xml:space="preserve">interprétaient les </w:t>
      </w:r>
      <w:r w:rsidRPr="00A241BD">
        <w:rPr>
          <w:lang w:val="fr-FR"/>
        </w:rPr>
        <w:t xml:space="preserve">critères </w:t>
      </w:r>
      <w:r>
        <w:rPr>
          <w:lang w:val="fr-FR"/>
        </w:rPr>
        <w:t xml:space="preserve">de manières différentes </w:t>
      </w:r>
      <w:r w:rsidRPr="00A241BD">
        <w:rPr>
          <w:lang w:val="fr-FR"/>
        </w:rPr>
        <w:t>lorsque les données disponibles rempliss</w:t>
      </w:r>
      <w:r>
        <w:rPr>
          <w:lang w:val="fr-FR"/>
        </w:rPr>
        <w:t>ai</w:t>
      </w:r>
      <w:r w:rsidRPr="00A241BD">
        <w:rPr>
          <w:lang w:val="fr-FR"/>
        </w:rPr>
        <w:t xml:space="preserve">ent les critères numériques pour </w:t>
      </w:r>
      <w:r>
        <w:rPr>
          <w:lang w:val="fr-FR"/>
        </w:rPr>
        <w:t>le classement</w:t>
      </w:r>
      <w:r w:rsidRPr="00A241BD">
        <w:rPr>
          <w:lang w:val="fr-FR"/>
        </w:rPr>
        <w:t xml:space="preserve"> dans la sous-catégorie 1B mais que les données ne permett</w:t>
      </w:r>
      <w:r>
        <w:rPr>
          <w:lang w:val="fr-FR"/>
        </w:rPr>
        <w:t>ai</w:t>
      </w:r>
      <w:r w:rsidRPr="00A241BD">
        <w:rPr>
          <w:lang w:val="fr-FR"/>
        </w:rPr>
        <w:t>ent pas d</w:t>
      </w:r>
      <w:r>
        <w:rPr>
          <w:lang w:val="fr-FR"/>
        </w:rPr>
        <w:t>’</w:t>
      </w:r>
      <w:r w:rsidRPr="00A241BD">
        <w:rPr>
          <w:lang w:val="fr-FR"/>
        </w:rPr>
        <w:t xml:space="preserve">exclure que la catégorie 1A </w:t>
      </w:r>
      <w:r>
        <w:rPr>
          <w:lang w:val="fr-FR"/>
        </w:rPr>
        <w:t>soit</w:t>
      </w:r>
      <w:r w:rsidRPr="00A241BD">
        <w:rPr>
          <w:lang w:val="fr-FR"/>
        </w:rPr>
        <w:t xml:space="preserve"> applicable. </w:t>
      </w:r>
    </w:p>
    <w:p w14:paraId="2C690972" w14:textId="77777777" w:rsidR="00B178A7" w:rsidRPr="00A241BD" w:rsidRDefault="00B178A7" w:rsidP="00F463DE">
      <w:pPr>
        <w:pStyle w:val="SingleTxtG"/>
        <w:rPr>
          <w:lang w:val="fr-FR"/>
        </w:rPr>
      </w:pPr>
      <w:r>
        <w:rPr>
          <w:lang w:val="fr-FR"/>
        </w:rPr>
        <w:t>20.</w:t>
      </w:r>
      <w:r w:rsidRPr="00A241BD">
        <w:rPr>
          <w:lang w:val="fr-FR"/>
        </w:rPr>
        <w:tab/>
        <w:t xml:space="preserve">Certaines autorités compétentes </w:t>
      </w:r>
      <w:r>
        <w:rPr>
          <w:lang w:val="fr-FR"/>
        </w:rPr>
        <w:t>demand</w:t>
      </w:r>
      <w:r w:rsidRPr="00A241BD">
        <w:rPr>
          <w:lang w:val="fr-FR"/>
        </w:rPr>
        <w:t>ent un</w:t>
      </w:r>
      <w:r>
        <w:rPr>
          <w:lang w:val="fr-FR"/>
        </w:rPr>
        <w:t xml:space="preserve"> classement </w:t>
      </w:r>
      <w:r w:rsidRPr="00A241BD">
        <w:rPr>
          <w:lang w:val="fr-FR"/>
        </w:rPr>
        <w:t>dans la catégorie 1B alors que d</w:t>
      </w:r>
      <w:r>
        <w:rPr>
          <w:lang w:val="fr-FR"/>
        </w:rPr>
        <w:t>’</w:t>
      </w:r>
      <w:r w:rsidRPr="00A241BD">
        <w:rPr>
          <w:lang w:val="fr-FR"/>
        </w:rPr>
        <w:t xml:space="preserve">autres </w:t>
      </w:r>
      <w:r>
        <w:rPr>
          <w:lang w:val="fr-FR"/>
        </w:rPr>
        <w:t>demand</w:t>
      </w:r>
      <w:r w:rsidRPr="00A241BD">
        <w:rPr>
          <w:lang w:val="fr-FR"/>
        </w:rPr>
        <w:t xml:space="preserve">ent un </w:t>
      </w:r>
      <w:r>
        <w:rPr>
          <w:lang w:val="fr-FR"/>
        </w:rPr>
        <w:t xml:space="preserve">classement </w:t>
      </w:r>
      <w:r w:rsidRPr="00A241BD">
        <w:rPr>
          <w:lang w:val="fr-FR"/>
        </w:rPr>
        <w:t xml:space="preserve">dans la catégorie 1. Cela </w:t>
      </w:r>
      <w:proofErr w:type="gramStart"/>
      <w:r w:rsidRPr="00A241BD">
        <w:rPr>
          <w:lang w:val="fr-FR"/>
        </w:rPr>
        <w:t>n</w:t>
      </w:r>
      <w:r>
        <w:rPr>
          <w:lang w:val="fr-FR"/>
        </w:rPr>
        <w:t>’</w:t>
      </w:r>
      <w:r w:rsidRPr="00A241BD">
        <w:rPr>
          <w:lang w:val="fr-FR"/>
        </w:rPr>
        <w:t>a</w:t>
      </w:r>
      <w:proofErr w:type="gramEnd"/>
      <w:r w:rsidRPr="00A241BD">
        <w:rPr>
          <w:lang w:val="fr-FR"/>
        </w:rPr>
        <w:t xml:space="preserve"> aucune conséquence sur l</w:t>
      </w:r>
      <w:r>
        <w:rPr>
          <w:lang w:val="fr-FR"/>
        </w:rPr>
        <w:t>’</w:t>
      </w:r>
      <w:r w:rsidRPr="00A241BD">
        <w:rPr>
          <w:lang w:val="fr-FR"/>
        </w:rPr>
        <w:t xml:space="preserve">étiquetage des </w:t>
      </w:r>
      <w:r>
        <w:rPr>
          <w:lang w:val="fr-FR"/>
        </w:rPr>
        <w:t>substance</w:t>
      </w:r>
      <w:r w:rsidRPr="00A241BD">
        <w:rPr>
          <w:lang w:val="fr-FR"/>
        </w:rPr>
        <w:t>s. Cependant, cela introduit une d</w:t>
      </w:r>
      <w:r>
        <w:rPr>
          <w:lang w:val="fr-FR"/>
        </w:rPr>
        <w:t>é</w:t>
      </w:r>
      <w:r w:rsidRPr="00A241BD">
        <w:rPr>
          <w:lang w:val="fr-FR"/>
        </w:rPr>
        <w:t xml:space="preserve">sharmonisation </w:t>
      </w:r>
      <w:r>
        <w:rPr>
          <w:lang w:val="fr-FR"/>
        </w:rPr>
        <w:t>du classement</w:t>
      </w:r>
      <w:r w:rsidRPr="00A241BD">
        <w:rPr>
          <w:lang w:val="fr-FR"/>
        </w:rPr>
        <w:t xml:space="preserve"> des mélanges en fonction de la valeur limite de concentration appliquée pour les ingrédients classés dans la catégorie 1. </w:t>
      </w:r>
    </w:p>
    <w:p w14:paraId="549C18E7" w14:textId="10718AD4" w:rsidR="00B178A7" w:rsidRPr="00A241BD" w:rsidRDefault="00B178A7" w:rsidP="00F463DE">
      <w:pPr>
        <w:pStyle w:val="SingleTxtG"/>
        <w:rPr>
          <w:lang w:val="fr-FR"/>
        </w:rPr>
      </w:pPr>
      <w:r w:rsidRPr="0075693C">
        <w:rPr>
          <w:lang w:val="fr-FR"/>
        </w:rPr>
        <w:t>21.</w:t>
      </w:r>
      <w:r w:rsidRPr="0075693C">
        <w:rPr>
          <w:lang w:val="fr-FR"/>
        </w:rPr>
        <w:tab/>
      </w:r>
      <w:r w:rsidRPr="00A241BD">
        <w:rPr>
          <w:lang w:val="fr-FR"/>
        </w:rPr>
        <w:t>La modification des critères n</w:t>
      </w:r>
      <w:r>
        <w:rPr>
          <w:lang w:val="fr-FR"/>
        </w:rPr>
        <w:t>’</w:t>
      </w:r>
      <w:r w:rsidRPr="00A241BD">
        <w:rPr>
          <w:lang w:val="fr-FR"/>
        </w:rPr>
        <w:t>entre pas dans le champ d</w:t>
      </w:r>
      <w:r>
        <w:rPr>
          <w:lang w:val="fr-FR"/>
        </w:rPr>
        <w:t>’</w:t>
      </w:r>
      <w:r w:rsidRPr="00A241BD">
        <w:rPr>
          <w:lang w:val="fr-FR"/>
        </w:rPr>
        <w:t xml:space="preserve">action du </w:t>
      </w:r>
      <w:r w:rsidRPr="00880699">
        <w:rPr>
          <w:lang w:val="fr-FR"/>
        </w:rPr>
        <w:t>groupe de travail informel</w:t>
      </w:r>
      <w:r w:rsidRPr="00A241BD">
        <w:rPr>
          <w:lang w:val="fr-FR"/>
        </w:rPr>
        <w:t>, mais l</w:t>
      </w:r>
      <w:r>
        <w:rPr>
          <w:lang w:val="fr-FR"/>
        </w:rPr>
        <w:t>’</w:t>
      </w:r>
      <w:r w:rsidRPr="00A241BD">
        <w:rPr>
          <w:lang w:val="fr-FR"/>
        </w:rPr>
        <w:t>utilisation de conseils pour expliquer les différences d</w:t>
      </w:r>
      <w:r>
        <w:rPr>
          <w:lang w:val="fr-FR"/>
        </w:rPr>
        <w:t>’</w:t>
      </w:r>
      <w:r w:rsidRPr="00A241BD">
        <w:rPr>
          <w:lang w:val="fr-FR"/>
        </w:rPr>
        <w:t xml:space="preserve">interprétation des critères a été </w:t>
      </w:r>
      <w:r>
        <w:rPr>
          <w:lang w:val="fr-FR"/>
        </w:rPr>
        <w:t>examinée</w:t>
      </w:r>
      <w:r w:rsidRPr="00A241BD">
        <w:rPr>
          <w:lang w:val="fr-FR"/>
        </w:rPr>
        <w:t xml:space="preserve">. Sur la base de ces orientations, les autorités compétentes pourraient décider de leur interprétation et fournir une clarté juridique </w:t>
      </w:r>
      <w:r>
        <w:rPr>
          <w:lang w:val="fr-FR"/>
        </w:rPr>
        <w:t>au moyen</w:t>
      </w:r>
      <w:r w:rsidRPr="00A241BD">
        <w:rPr>
          <w:lang w:val="fr-FR"/>
        </w:rPr>
        <w:t xml:space="preserve"> d</w:t>
      </w:r>
      <w:r>
        <w:rPr>
          <w:lang w:val="fr-FR"/>
        </w:rPr>
        <w:t>’</w:t>
      </w:r>
      <w:r w:rsidRPr="00A241BD">
        <w:rPr>
          <w:lang w:val="fr-FR"/>
        </w:rPr>
        <w:t>orientations pour leur législation. Bien qu</w:t>
      </w:r>
      <w:r>
        <w:rPr>
          <w:lang w:val="fr-FR"/>
        </w:rPr>
        <w:t>’</w:t>
      </w:r>
      <w:r w:rsidRPr="00A241BD">
        <w:rPr>
          <w:lang w:val="fr-FR"/>
        </w:rPr>
        <w:t>aucun accord n</w:t>
      </w:r>
      <w:r>
        <w:rPr>
          <w:lang w:val="fr-FR"/>
        </w:rPr>
        <w:t>’</w:t>
      </w:r>
      <w:r w:rsidRPr="00A241BD">
        <w:rPr>
          <w:lang w:val="fr-FR"/>
        </w:rPr>
        <w:t xml:space="preserve">ait été </w:t>
      </w:r>
      <w:r>
        <w:rPr>
          <w:lang w:val="fr-FR"/>
        </w:rPr>
        <w:t>trouvé</w:t>
      </w:r>
      <w:r w:rsidRPr="00A241BD">
        <w:rPr>
          <w:lang w:val="fr-FR"/>
        </w:rPr>
        <w:t xml:space="preserve"> lors du webinaire de septembre, le groupe propose d</w:t>
      </w:r>
      <w:r>
        <w:rPr>
          <w:lang w:val="fr-FR"/>
        </w:rPr>
        <w:t>’ajouter</w:t>
      </w:r>
      <w:r w:rsidRPr="00A241BD">
        <w:rPr>
          <w:lang w:val="fr-FR"/>
        </w:rPr>
        <w:t xml:space="preserve"> un court paragraphe pour fournir des orientations sur l</w:t>
      </w:r>
      <w:r>
        <w:rPr>
          <w:lang w:val="fr-FR"/>
        </w:rPr>
        <w:t>’</w:t>
      </w:r>
      <w:r w:rsidRPr="00A241BD">
        <w:rPr>
          <w:lang w:val="fr-FR"/>
        </w:rPr>
        <w:t>évaluation d</w:t>
      </w:r>
      <w:r>
        <w:rPr>
          <w:lang w:val="fr-FR"/>
        </w:rPr>
        <w:t>e</w:t>
      </w:r>
      <w:r w:rsidRPr="0063183B">
        <w:rPr>
          <w:lang w:val="fr-FR"/>
        </w:rPr>
        <w:t xml:space="preserve"> la force probante des données</w:t>
      </w:r>
      <w:r w:rsidRPr="00A241BD">
        <w:rPr>
          <w:lang w:val="fr-FR"/>
        </w:rPr>
        <w:t xml:space="preserve"> (voir 3.4.5.3.7) et entreprendra </w:t>
      </w:r>
      <w:r>
        <w:rPr>
          <w:lang w:val="fr-FR"/>
        </w:rPr>
        <w:t>un</w:t>
      </w:r>
      <w:r w:rsidRPr="00A241BD">
        <w:rPr>
          <w:lang w:val="fr-FR"/>
        </w:rPr>
        <w:t xml:space="preserve"> nouve</w:t>
      </w:r>
      <w:r>
        <w:rPr>
          <w:lang w:val="fr-FR"/>
        </w:rPr>
        <w:t>au</w:t>
      </w:r>
      <w:r w:rsidRPr="00A241BD">
        <w:rPr>
          <w:lang w:val="fr-FR"/>
        </w:rPr>
        <w:t xml:space="preserve"> </w:t>
      </w:r>
      <w:r>
        <w:rPr>
          <w:lang w:val="fr-FR"/>
        </w:rPr>
        <w:t>débat</w:t>
      </w:r>
      <w:r w:rsidRPr="00A241BD">
        <w:rPr>
          <w:lang w:val="fr-FR"/>
        </w:rPr>
        <w:t xml:space="preserve"> dans </w:t>
      </w:r>
      <w:bookmarkStart w:id="9" w:name="_Hlk116506959"/>
      <w:r w:rsidRPr="00A241BD">
        <w:rPr>
          <w:lang w:val="fr-FR"/>
        </w:rPr>
        <w:t>l</w:t>
      </w:r>
      <w:r>
        <w:rPr>
          <w:lang w:val="fr-FR"/>
        </w:rPr>
        <w:t>’objectif</w:t>
      </w:r>
      <w:r w:rsidRPr="00A241BD">
        <w:rPr>
          <w:lang w:val="fr-FR"/>
        </w:rPr>
        <w:t xml:space="preserve"> </w:t>
      </w:r>
      <w:bookmarkEnd w:id="9"/>
      <w:r w:rsidRPr="00A241BD">
        <w:rPr>
          <w:lang w:val="fr-FR"/>
        </w:rPr>
        <w:t xml:space="preserve">de fournir une proposition actualisée sur cette question pour examen </w:t>
      </w:r>
      <w:r>
        <w:rPr>
          <w:lang w:val="fr-FR"/>
        </w:rPr>
        <w:t>à</w:t>
      </w:r>
      <w:r w:rsidRPr="00A241BD">
        <w:rPr>
          <w:lang w:val="fr-FR"/>
        </w:rPr>
        <w:t xml:space="preserve"> la quarante</w:t>
      </w:r>
      <w:r w:rsidR="00506727">
        <w:rPr>
          <w:lang w:val="fr-FR"/>
        </w:rPr>
        <w:noBreakHyphen/>
      </w:r>
      <w:r w:rsidRPr="00A241BD">
        <w:rPr>
          <w:lang w:val="fr-FR"/>
        </w:rPr>
        <w:t>troisième session.</w:t>
      </w:r>
    </w:p>
    <w:p w14:paraId="0374427E" w14:textId="77777777" w:rsidR="00B178A7" w:rsidRPr="00A241BD" w:rsidRDefault="00B178A7" w:rsidP="00F463DE">
      <w:pPr>
        <w:pStyle w:val="H1G"/>
        <w:rPr>
          <w:lang w:val="fr-FR"/>
        </w:rPr>
      </w:pPr>
      <w:r w:rsidRPr="00A241BD">
        <w:rPr>
          <w:lang w:val="fr-FR"/>
        </w:rPr>
        <w:tab/>
      </w:r>
      <w:r w:rsidRPr="00A241BD">
        <w:rPr>
          <w:lang w:val="fr-FR"/>
        </w:rPr>
        <w:tab/>
      </w:r>
      <w:r>
        <w:rPr>
          <w:lang w:val="fr-FR"/>
        </w:rPr>
        <w:t>Classement</w:t>
      </w:r>
      <w:r w:rsidRPr="00A241BD">
        <w:rPr>
          <w:lang w:val="fr-FR"/>
        </w:rPr>
        <w:t xml:space="preserve"> des mélanges</w:t>
      </w:r>
    </w:p>
    <w:p w14:paraId="1E2796D2" w14:textId="77777777" w:rsidR="00B178A7" w:rsidRPr="00A241BD" w:rsidRDefault="00B178A7" w:rsidP="00F463DE">
      <w:pPr>
        <w:pStyle w:val="SingleTxtG"/>
        <w:rPr>
          <w:lang w:val="fr-FR"/>
        </w:rPr>
      </w:pPr>
      <w:r>
        <w:rPr>
          <w:lang w:val="fr-FR"/>
        </w:rPr>
        <w:t>22.</w:t>
      </w:r>
      <w:r>
        <w:rPr>
          <w:lang w:val="fr-FR"/>
        </w:rPr>
        <w:tab/>
      </w:r>
      <w:r w:rsidRPr="00A241BD">
        <w:rPr>
          <w:lang w:val="fr-FR"/>
        </w:rPr>
        <w:t>L</w:t>
      </w:r>
      <w:r>
        <w:rPr>
          <w:lang w:val="fr-FR"/>
        </w:rPr>
        <w:t>’</w:t>
      </w:r>
      <w:r w:rsidRPr="00A241BD">
        <w:rPr>
          <w:lang w:val="fr-FR"/>
        </w:rPr>
        <w:t xml:space="preserve">applicabilité des méthodes non animales pour </w:t>
      </w:r>
      <w:r>
        <w:rPr>
          <w:lang w:val="fr-FR"/>
        </w:rPr>
        <w:t>le classement</w:t>
      </w:r>
      <w:r w:rsidRPr="00A241BD">
        <w:rPr>
          <w:lang w:val="fr-FR"/>
        </w:rPr>
        <w:t xml:space="preserve"> des mélanges sur la base des données pour le mélange entier a été discutée</w:t>
      </w:r>
      <w:r>
        <w:rPr>
          <w:lang w:val="fr-FR"/>
        </w:rPr>
        <w:t xml:space="preserve"> car, en ce qui concerne </w:t>
      </w:r>
      <w:r w:rsidRPr="00A241BD">
        <w:rPr>
          <w:lang w:val="fr-FR"/>
        </w:rPr>
        <w:t>les méthodes de l</w:t>
      </w:r>
      <w:r>
        <w:rPr>
          <w:lang w:val="fr-FR"/>
        </w:rPr>
        <w:t>’</w:t>
      </w:r>
      <w:r w:rsidRPr="00A241BD">
        <w:rPr>
          <w:lang w:val="fr-FR"/>
        </w:rPr>
        <w:t xml:space="preserve">OCDE, la validation pour les mélanges était limitée et il </w:t>
      </w:r>
      <w:r>
        <w:rPr>
          <w:lang w:val="fr-FR"/>
        </w:rPr>
        <w:t>n’était pas clair que</w:t>
      </w:r>
      <w:r w:rsidRPr="00A241BD">
        <w:rPr>
          <w:lang w:val="fr-FR"/>
        </w:rPr>
        <w:t xml:space="preserve"> </w:t>
      </w:r>
      <w:r>
        <w:rPr>
          <w:lang w:val="fr-FR"/>
        </w:rPr>
        <w:t>l</w:t>
      </w:r>
      <w:r w:rsidRPr="00A241BD">
        <w:rPr>
          <w:lang w:val="fr-FR"/>
        </w:rPr>
        <w:t xml:space="preserve">es </w:t>
      </w:r>
      <w:r>
        <w:rPr>
          <w:lang w:val="fr-FR"/>
        </w:rPr>
        <w:t>méthodes définies</w:t>
      </w:r>
      <w:r w:rsidRPr="00A241BD">
        <w:rPr>
          <w:lang w:val="fr-FR"/>
        </w:rPr>
        <w:t xml:space="preserve"> </w:t>
      </w:r>
      <w:r>
        <w:rPr>
          <w:lang w:val="fr-FR"/>
        </w:rPr>
        <w:t xml:space="preserve">soient </w:t>
      </w:r>
      <w:r w:rsidRPr="00A241BD">
        <w:rPr>
          <w:lang w:val="fr-FR"/>
        </w:rPr>
        <w:t>applicab</w:t>
      </w:r>
      <w:r>
        <w:rPr>
          <w:lang w:val="fr-FR"/>
        </w:rPr>
        <w:t>les</w:t>
      </w:r>
      <w:r w:rsidRPr="00A241BD">
        <w:rPr>
          <w:lang w:val="fr-FR"/>
        </w:rPr>
        <w:t xml:space="preserve"> aux mélanges. </w:t>
      </w:r>
    </w:p>
    <w:p w14:paraId="6FD1AEDB" w14:textId="77777777" w:rsidR="00B178A7" w:rsidRPr="00A241BD" w:rsidRDefault="00B178A7" w:rsidP="00F463DE">
      <w:pPr>
        <w:pStyle w:val="SingleTxtG"/>
        <w:rPr>
          <w:lang w:val="fr-FR"/>
        </w:rPr>
      </w:pPr>
      <w:r w:rsidRPr="00A241BD">
        <w:rPr>
          <w:lang w:val="fr-FR"/>
        </w:rPr>
        <w:t>23.</w:t>
      </w:r>
      <w:r w:rsidRPr="00A241BD">
        <w:rPr>
          <w:lang w:val="fr-FR"/>
        </w:rPr>
        <w:tab/>
      </w:r>
      <w:r>
        <w:rPr>
          <w:lang w:val="fr-FR"/>
        </w:rPr>
        <w:t>A</w:t>
      </w:r>
      <w:r w:rsidRPr="00A241BD">
        <w:rPr>
          <w:lang w:val="fr-FR"/>
        </w:rPr>
        <w:t>ucun accord n</w:t>
      </w:r>
      <w:r>
        <w:rPr>
          <w:lang w:val="fr-FR"/>
        </w:rPr>
        <w:t>’</w:t>
      </w:r>
      <w:r w:rsidRPr="00A241BD">
        <w:rPr>
          <w:lang w:val="fr-FR"/>
        </w:rPr>
        <w:t xml:space="preserve">a été atteint lors de la réunion de septembre, </w:t>
      </w:r>
      <w:r>
        <w:rPr>
          <w:lang w:val="fr-FR"/>
        </w:rPr>
        <w:t xml:space="preserve">mais </w:t>
      </w:r>
      <w:r w:rsidRPr="00A241BD">
        <w:rPr>
          <w:lang w:val="fr-FR"/>
        </w:rPr>
        <w:t xml:space="preserve">le groupe a convenu de poursuivre les </w:t>
      </w:r>
      <w:r>
        <w:rPr>
          <w:lang w:val="fr-FR"/>
        </w:rPr>
        <w:t>débats</w:t>
      </w:r>
      <w:r w:rsidRPr="00A241BD">
        <w:rPr>
          <w:lang w:val="fr-FR"/>
        </w:rPr>
        <w:t xml:space="preserve"> dans l</w:t>
      </w:r>
      <w:r>
        <w:rPr>
          <w:lang w:val="fr-FR"/>
        </w:rPr>
        <w:t>’objectif</w:t>
      </w:r>
      <w:r w:rsidRPr="00A241BD">
        <w:rPr>
          <w:lang w:val="fr-FR"/>
        </w:rPr>
        <w:t xml:space="preserve"> de </w:t>
      </w:r>
      <w:r>
        <w:rPr>
          <w:lang w:val="fr-FR"/>
        </w:rPr>
        <w:t>soumettre</w:t>
      </w:r>
      <w:r w:rsidRPr="00A241BD">
        <w:rPr>
          <w:lang w:val="fr-FR"/>
        </w:rPr>
        <w:t xml:space="preserve"> des propositions</w:t>
      </w:r>
      <w:r>
        <w:rPr>
          <w:lang w:val="fr-FR"/>
        </w:rPr>
        <w:t xml:space="preserve"> offici</w:t>
      </w:r>
      <w:r w:rsidRPr="00A241BD">
        <w:rPr>
          <w:lang w:val="fr-FR"/>
        </w:rPr>
        <w:t xml:space="preserve">elles </w:t>
      </w:r>
      <w:r>
        <w:rPr>
          <w:lang w:val="fr-FR"/>
        </w:rPr>
        <w:t>d’</w:t>
      </w:r>
      <w:r w:rsidRPr="00A241BD">
        <w:rPr>
          <w:lang w:val="fr-FR"/>
        </w:rPr>
        <w:t>amendements aux sections du chapitre 3.4</w:t>
      </w:r>
      <w:r>
        <w:rPr>
          <w:lang w:val="fr-FR"/>
        </w:rPr>
        <w:t>relatives au classement</w:t>
      </w:r>
      <w:r w:rsidRPr="00A241BD">
        <w:rPr>
          <w:lang w:val="fr-FR"/>
        </w:rPr>
        <w:t xml:space="preserve"> des mélanges </w:t>
      </w:r>
      <w:r>
        <w:rPr>
          <w:lang w:val="fr-FR"/>
        </w:rPr>
        <w:t>en ce qui concerne</w:t>
      </w:r>
      <w:r w:rsidRPr="00A241BD">
        <w:rPr>
          <w:lang w:val="fr-FR"/>
        </w:rPr>
        <w:t xml:space="preserve"> la sensibilisation cutanée, pour examen par le Sous-</w:t>
      </w:r>
      <w:r>
        <w:rPr>
          <w:lang w:val="fr-FR"/>
        </w:rPr>
        <w:t>C</w:t>
      </w:r>
      <w:r w:rsidRPr="00A241BD">
        <w:rPr>
          <w:lang w:val="fr-FR"/>
        </w:rPr>
        <w:t>omité au début de la période biennale 2023-2024.</w:t>
      </w:r>
    </w:p>
    <w:p w14:paraId="5A2E0D14" w14:textId="77777777" w:rsidR="00B178A7" w:rsidRPr="00A241BD" w:rsidRDefault="00B178A7" w:rsidP="00F463DE">
      <w:pPr>
        <w:pStyle w:val="H1G"/>
        <w:rPr>
          <w:lang w:val="fr-FR"/>
        </w:rPr>
      </w:pPr>
      <w:r w:rsidRPr="00A241BD">
        <w:rPr>
          <w:lang w:val="fr-FR"/>
        </w:rPr>
        <w:tab/>
      </w:r>
      <w:r w:rsidRPr="00A241BD">
        <w:rPr>
          <w:lang w:val="fr-FR"/>
        </w:rPr>
        <w:tab/>
        <w:t xml:space="preserve">Neutralité </w:t>
      </w:r>
      <w:r>
        <w:rPr>
          <w:lang w:val="fr-FR"/>
        </w:rPr>
        <w:t xml:space="preserve">à l’égard </w:t>
      </w:r>
      <w:r w:rsidRPr="00A241BD">
        <w:rPr>
          <w:lang w:val="fr-FR"/>
        </w:rPr>
        <w:t>d</w:t>
      </w:r>
      <w:r>
        <w:rPr>
          <w:lang w:val="fr-FR"/>
        </w:rPr>
        <w:t>es</w:t>
      </w:r>
      <w:r w:rsidRPr="00A241BD">
        <w:rPr>
          <w:lang w:val="fr-FR"/>
        </w:rPr>
        <w:t xml:space="preserve"> méthode</w:t>
      </w:r>
      <w:r>
        <w:rPr>
          <w:lang w:val="fr-FR"/>
        </w:rPr>
        <w:t>s</w:t>
      </w:r>
      <w:r w:rsidRPr="00A241BD">
        <w:rPr>
          <w:lang w:val="fr-FR"/>
        </w:rPr>
        <w:t xml:space="preserve"> d</w:t>
      </w:r>
      <w:r>
        <w:rPr>
          <w:lang w:val="fr-FR"/>
        </w:rPr>
        <w:t>’</w:t>
      </w:r>
      <w:r w:rsidRPr="00A241BD">
        <w:rPr>
          <w:lang w:val="fr-FR"/>
        </w:rPr>
        <w:t>essai</w:t>
      </w:r>
    </w:p>
    <w:p w14:paraId="33B8AC7B" w14:textId="4469B91A" w:rsidR="00B178A7" w:rsidRDefault="00B178A7" w:rsidP="00F463DE">
      <w:pPr>
        <w:pStyle w:val="SingleTxtG"/>
        <w:rPr>
          <w:lang w:val="fr-FR"/>
        </w:rPr>
      </w:pPr>
      <w:r>
        <w:rPr>
          <w:lang w:val="fr-FR"/>
        </w:rPr>
        <w:t>24.</w:t>
      </w:r>
      <w:r>
        <w:rPr>
          <w:lang w:val="fr-FR"/>
        </w:rPr>
        <w:tab/>
      </w:r>
      <w:r w:rsidRPr="00A241BD">
        <w:rPr>
          <w:lang w:val="fr-FR"/>
        </w:rPr>
        <w:t>En ce qui concerne les dangers pour la santé et l</w:t>
      </w:r>
      <w:r>
        <w:rPr>
          <w:lang w:val="fr-FR"/>
        </w:rPr>
        <w:t>’</w:t>
      </w:r>
      <w:r w:rsidRPr="00A241BD">
        <w:rPr>
          <w:lang w:val="fr-FR"/>
        </w:rPr>
        <w:t>environnement, le paragraphe</w:t>
      </w:r>
      <w:r w:rsidR="00506727">
        <w:rPr>
          <w:lang w:val="fr-FR"/>
        </w:rPr>
        <w:t> </w:t>
      </w:r>
      <w:r w:rsidRPr="00A241BD">
        <w:rPr>
          <w:lang w:val="fr-FR"/>
        </w:rPr>
        <w:t xml:space="preserve">1.3.2.4.3 du SGH énonce le principe selon lequel les </w:t>
      </w:r>
      <w:r>
        <w:rPr>
          <w:lang w:val="fr-FR"/>
        </w:rPr>
        <w:t>essais/épreuves</w:t>
      </w:r>
      <w:r w:rsidRPr="00A241BD">
        <w:rPr>
          <w:lang w:val="fr-FR"/>
        </w:rPr>
        <w:t xml:space="preserve"> </w:t>
      </w:r>
      <w:r>
        <w:rPr>
          <w:lang w:val="fr-FR"/>
        </w:rPr>
        <w:t>pour l’évaluation d</w:t>
      </w:r>
      <w:r w:rsidRPr="00A241BD">
        <w:rPr>
          <w:lang w:val="fr-FR"/>
        </w:rPr>
        <w:t>es propriétés dangereuses</w:t>
      </w:r>
      <w:r>
        <w:rPr>
          <w:lang w:val="fr-FR"/>
        </w:rPr>
        <w:t>,</w:t>
      </w:r>
      <w:r w:rsidRPr="00A241BD">
        <w:rPr>
          <w:lang w:val="fr-FR"/>
        </w:rPr>
        <w:t xml:space="preserve"> qui sont </w:t>
      </w:r>
      <w:r>
        <w:rPr>
          <w:lang w:val="fr-FR"/>
        </w:rPr>
        <w:t>réalisé(e)s</w:t>
      </w:r>
      <w:r w:rsidRPr="00A241BD">
        <w:rPr>
          <w:lang w:val="fr-FR"/>
        </w:rPr>
        <w:t xml:space="preserve"> </w:t>
      </w:r>
      <w:r>
        <w:rPr>
          <w:lang w:val="fr-FR"/>
        </w:rPr>
        <w:t xml:space="preserve">conformément aux </w:t>
      </w:r>
      <w:r w:rsidRPr="00A241BD">
        <w:rPr>
          <w:lang w:val="fr-FR"/>
        </w:rPr>
        <w:t>principes scientifiques reconnus internationalement</w:t>
      </w:r>
      <w:r>
        <w:rPr>
          <w:lang w:val="fr-FR"/>
        </w:rPr>
        <w:t>,</w:t>
      </w:r>
      <w:r w:rsidRPr="00A241BD">
        <w:rPr>
          <w:lang w:val="fr-FR"/>
        </w:rPr>
        <w:t xml:space="preserve"> peuvent être utilisé</w:t>
      </w:r>
      <w:r>
        <w:rPr>
          <w:lang w:val="fr-FR"/>
        </w:rPr>
        <w:t>(e)</w:t>
      </w:r>
      <w:r w:rsidRPr="00A241BD">
        <w:rPr>
          <w:lang w:val="fr-FR"/>
        </w:rPr>
        <w:t xml:space="preserve">s </w:t>
      </w:r>
      <w:r>
        <w:rPr>
          <w:lang w:val="fr-FR"/>
        </w:rPr>
        <w:t>pour</w:t>
      </w:r>
      <w:r w:rsidRPr="00A241BD">
        <w:rPr>
          <w:lang w:val="fr-FR"/>
        </w:rPr>
        <w:t xml:space="preserve"> détermin</w:t>
      </w:r>
      <w:r>
        <w:rPr>
          <w:lang w:val="fr-FR"/>
        </w:rPr>
        <w:t>er les</w:t>
      </w:r>
      <w:r w:rsidRPr="00A241BD">
        <w:rPr>
          <w:lang w:val="fr-FR"/>
        </w:rPr>
        <w:t xml:space="preserve"> danger</w:t>
      </w:r>
      <w:r>
        <w:rPr>
          <w:lang w:val="fr-FR"/>
        </w:rPr>
        <w:t>s</w:t>
      </w:r>
      <w:r w:rsidRPr="00A241BD">
        <w:rPr>
          <w:lang w:val="fr-FR"/>
        </w:rPr>
        <w:t xml:space="preserve">. </w:t>
      </w:r>
    </w:p>
    <w:p w14:paraId="5F93CC96" w14:textId="77777777" w:rsidR="00B178A7" w:rsidRPr="00A241BD" w:rsidRDefault="00B178A7" w:rsidP="00506727">
      <w:pPr>
        <w:pStyle w:val="SingleTxtG"/>
        <w:keepLines/>
        <w:rPr>
          <w:lang w:val="fr-FR"/>
        </w:rPr>
      </w:pPr>
      <w:r>
        <w:rPr>
          <w:lang w:val="fr-FR"/>
        </w:rPr>
        <w:lastRenderedPageBreak/>
        <w:t>25.</w:t>
      </w:r>
      <w:r w:rsidRPr="00A241BD">
        <w:rPr>
          <w:lang w:val="fr-FR"/>
        </w:rPr>
        <w:tab/>
        <w:t>Les critères du SGH</w:t>
      </w:r>
      <w:r>
        <w:rPr>
          <w:lang w:val="fr-FR"/>
        </w:rPr>
        <w:t xml:space="preserve"> servant à déterminer les dangers pour la santé et l’environnement sont indépendants</w:t>
      </w:r>
      <w:r w:rsidRPr="00A241BD">
        <w:rPr>
          <w:lang w:val="fr-FR"/>
        </w:rPr>
        <w:t xml:space="preserve"> </w:t>
      </w:r>
      <w:r>
        <w:rPr>
          <w:lang w:val="fr-FR"/>
        </w:rPr>
        <w:t>d</w:t>
      </w:r>
      <w:r w:rsidRPr="00A241BD">
        <w:rPr>
          <w:lang w:val="fr-FR"/>
        </w:rPr>
        <w:t>es méthodes d</w:t>
      </w:r>
      <w:r>
        <w:rPr>
          <w:lang w:val="fr-FR"/>
        </w:rPr>
        <w:t>’</w:t>
      </w:r>
      <w:r w:rsidRPr="00A241BD">
        <w:rPr>
          <w:lang w:val="fr-FR"/>
        </w:rPr>
        <w:t>essai</w:t>
      </w:r>
      <w:r>
        <w:rPr>
          <w:lang w:val="fr-FR"/>
        </w:rPr>
        <w:t>s/épreuves</w:t>
      </w:r>
      <w:r w:rsidRPr="00A241BD">
        <w:rPr>
          <w:lang w:val="fr-FR"/>
        </w:rPr>
        <w:t xml:space="preserve">, </w:t>
      </w:r>
      <w:r>
        <w:rPr>
          <w:lang w:val="fr-FR"/>
        </w:rPr>
        <w:t>ce qui permet d’utiliser</w:t>
      </w:r>
      <w:r w:rsidRPr="00A241BD">
        <w:rPr>
          <w:lang w:val="fr-FR"/>
        </w:rPr>
        <w:t xml:space="preserve"> différentes </w:t>
      </w:r>
      <w:r>
        <w:rPr>
          <w:lang w:val="fr-FR"/>
        </w:rPr>
        <w:t>approches</w:t>
      </w:r>
      <w:r w:rsidRPr="00A241BD">
        <w:rPr>
          <w:lang w:val="fr-FR"/>
        </w:rPr>
        <w:t xml:space="preserve"> </w:t>
      </w:r>
      <w:r>
        <w:rPr>
          <w:lang w:val="fr-FR"/>
        </w:rPr>
        <w:t xml:space="preserve">à la condition </w:t>
      </w:r>
      <w:r w:rsidRPr="00A241BD">
        <w:rPr>
          <w:lang w:val="fr-FR"/>
        </w:rPr>
        <w:t>qu</w:t>
      </w:r>
      <w:r>
        <w:rPr>
          <w:lang w:val="fr-FR"/>
        </w:rPr>
        <w:t>e ces dernières</w:t>
      </w:r>
      <w:r w:rsidRPr="00A241BD">
        <w:rPr>
          <w:lang w:val="fr-FR"/>
        </w:rPr>
        <w:t xml:space="preserve"> soient scientifiquement </w:t>
      </w:r>
      <w:r>
        <w:rPr>
          <w:lang w:val="fr-FR"/>
        </w:rPr>
        <w:t>valables</w:t>
      </w:r>
      <w:r w:rsidRPr="00A241BD">
        <w:rPr>
          <w:lang w:val="fr-FR"/>
        </w:rPr>
        <w:t xml:space="preserve"> et </w:t>
      </w:r>
      <w:r>
        <w:rPr>
          <w:lang w:val="fr-FR"/>
        </w:rPr>
        <w:t xml:space="preserve">qu’elles aient été </w:t>
      </w:r>
      <w:r w:rsidRPr="00A241BD">
        <w:rPr>
          <w:lang w:val="fr-FR"/>
        </w:rPr>
        <w:t xml:space="preserve">validées </w:t>
      </w:r>
      <w:r>
        <w:rPr>
          <w:lang w:val="fr-FR"/>
        </w:rPr>
        <w:t xml:space="preserve">selon des </w:t>
      </w:r>
      <w:r w:rsidRPr="00A241BD">
        <w:rPr>
          <w:lang w:val="fr-FR"/>
        </w:rPr>
        <w:t>procédures internationa</w:t>
      </w:r>
      <w:r>
        <w:rPr>
          <w:lang w:val="fr-FR"/>
        </w:rPr>
        <w:t>les</w:t>
      </w:r>
      <w:r w:rsidRPr="00A241BD">
        <w:rPr>
          <w:lang w:val="fr-FR"/>
        </w:rPr>
        <w:t xml:space="preserve"> et </w:t>
      </w:r>
      <w:r>
        <w:rPr>
          <w:lang w:val="fr-FR"/>
        </w:rPr>
        <w:t xml:space="preserve">des </w:t>
      </w:r>
      <w:r w:rsidRPr="00A241BD">
        <w:rPr>
          <w:lang w:val="fr-FR"/>
        </w:rPr>
        <w:t xml:space="preserve">critères déjà </w:t>
      </w:r>
      <w:r>
        <w:rPr>
          <w:lang w:val="fr-FR"/>
        </w:rPr>
        <w:t>établis</w:t>
      </w:r>
      <w:r w:rsidRPr="00A241BD">
        <w:rPr>
          <w:lang w:val="fr-FR"/>
        </w:rPr>
        <w:t xml:space="preserve"> dans les systèmes existants pour le</w:t>
      </w:r>
      <w:r>
        <w:rPr>
          <w:lang w:val="fr-FR"/>
        </w:rPr>
        <w:t>s</w:t>
      </w:r>
      <w:r w:rsidRPr="00A241BD">
        <w:rPr>
          <w:lang w:val="fr-FR"/>
        </w:rPr>
        <w:t xml:space="preserve"> danger</w:t>
      </w:r>
      <w:r>
        <w:rPr>
          <w:lang w:val="fr-FR"/>
        </w:rPr>
        <w:t>s</w:t>
      </w:r>
      <w:r w:rsidRPr="00A241BD">
        <w:rPr>
          <w:lang w:val="fr-FR"/>
        </w:rPr>
        <w:t xml:space="preserve"> </w:t>
      </w:r>
      <w:r>
        <w:rPr>
          <w:lang w:val="fr-FR"/>
        </w:rPr>
        <w:t>visés</w:t>
      </w:r>
      <w:r w:rsidRPr="00A241BD">
        <w:rPr>
          <w:lang w:val="fr-FR"/>
        </w:rPr>
        <w:t xml:space="preserve"> et produisent des données acceptables</w:t>
      </w:r>
      <w:r>
        <w:rPr>
          <w:lang w:val="fr-FR"/>
        </w:rPr>
        <w:t xml:space="preserve"> pour toutes les parties</w:t>
      </w:r>
      <w:r w:rsidRPr="00A241BD">
        <w:rPr>
          <w:lang w:val="fr-FR"/>
        </w:rPr>
        <w:t>. En révisant le chapitre 3.4, le groupe de travail informel s</w:t>
      </w:r>
      <w:r>
        <w:rPr>
          <w:lang w:val="fr-FR"/>
        </w:rPr>
        <w:t>’</w:t>
      </w:r>
      <w:r w:rsidRPr="00A241BD">
        <w:rPr>
          <w:lang w:val="fr-FR"/>
        </w:rPr>
        <w:t>est efforcé de maintenir ce principe, tout en continuant à fournir des informations pratiques aux utilisateurs du SGH.</w:t>
      </w:r>
    </w:p>
    <w:p w14:paraId="441C7580" w14:textId="14DC8778" w:rsidR="00B178A7" w:rsidRPr="00A241BD" w:rsidRDefault="00B178A7" w:rsidP="00A959B4">
      <w:pPr>
        <w:pStyle w:val="H1G"/>
        <w:rPr>
          <w:lang w:val="fr-FR"/>
        </w:rPr>
      </w:pPr>
      <w:r w:rsidRPr="00A241BD">
        <w:rPr>
          <w:lang w:val="fr-FR"/>
        </w:rPr>
        <w:tab/>
      </w:r>
      <w:r w:rsidRPr="00A241BD">
        <w:rPr>
          <w:lang w:val="fr-FR"/>
        </w:rPr>
        <w:tab/>
        <w:t xml:space="preserve">Présentation des critères de </w:t>
      </w:r>
      <w:r>
        <w:rPr>
          <w:lang w:val="fr-FR"/>
        </w:rPr>
        <w:t>classement</w:t>
      </w:r>
      <w:r w:rsidRPr="00A241BD">
        <w:rPr>
          <w:lang w:val="fr-FR"/>
        </w:rPr>
        <w:t xml:space="preserve"> et des </w:t>
      </w:r>
      <w:r w:rsidRPr="00EC6D3E">
        <w:rPr>
          <w:lang w:val="fr-FR"/>
        </w:rPr>
        <w:t xml:space="preserve">commentaires </w:t>
      </w:r>
      <w:r w:rsidR="00A959B4">
        <w:rPr>
          <w:lang w:val="fr-FR"/>
        </w:rPr>
        <w:br/>
      </w:r>
      <w:r w:rsidRPr="00EC6D3E">
        <w:rPr>
          <w:lang w:val="fr-FR"/>
        </w:rPr>
        <w:t>et</w:t>
      </w:r>
      <w:r w:rsidR="00A959B4">
        <w:rPr>
          <w:lang w:val="fr-FR"/>
        </w:rPr>
        <w:t xml:space="preserve"> </w:t>
      </w:r>
      <w:r w:rsidRPr="00EC6D3E">
        <w:rPr>
          <w:lang w:val="fr-FR"/>
        </w:rPr>
        <w:t>informations complémentaires</w:t>
      </w:r>
    </w:p>
    <w:p w14:paraId="12D495A1" w14:textId="77777777" w:rsidR="00B178A7" w:rsidRDefault="00B178A7" w:rsidP="003F20D6">
      <w:pPr>
        <w:pStyle w:val="SingleTxtG"/>
        <w:keepNext/>
        <w:rPr>
          <w:lang w:val="fr-FR"/>
        </w:rPr>
      </w:pPr>
      <w:r w:rsidRPr="00A241BD">
        <w:rPr>
          <w:lang w:val="fr-FR"/>
        </w:rPr>
        <w:t>26</w:t>
      </w:r>
      <w:r>
        <w:rPr>
          <w:lang w:val="fr-FR"/>
        </w:rPr>
        <w:t>.</w:t>
      </w:r>
      <w:r>
        <w:rPr>
          <w:lang w:val="fr-FR"/>
        </w:rPr>
        <w:tab/>
      </w:r>
      <w:r w:rsidRPr="00A241BD">
        <w:rPr>
          <w:lang w:val="fr-FR"/>
        </w:rPr>
        <w:t>Outre l</w:t>
      </w:r>
      <w:r>
        <w:rPr>
          <w:lang w:val="fr-FR"/>
        </w:rPr>
        <w:t>’</w:t>
      </w:r>
      <w:r w:rsidRPr="00A241BD">
        <w:rPr>
          <w:lang w:val="fr-FR"/>
        </w:rPr>
        <w:t xml:space="preserve">ajout de nouvelles sous-sections sur </w:t>
      </w:r>
      <w:r>
        <w:rPr>
          <w:lang w:val="fr-FR"/>
        </w:rPr>
        <w:t>le classement</w:t>
      </w:r>
      <w:r w:rsidRPr="00A241BD">
        <w:rPr>
          <w:lang w:val="fr-FR"/>
        </w:rPr>
        <w:t xml:space="preserve"> </w:t>
      </w:r>
      <w:r>
        <w:rPr>
          <w:lang w:val="fr-FR"/>
        </w:rPr>
        <w:t>en ce qui concerne</w:t>
      </w:r>
      <w:r w:rsidRPr="00A241BD">
        <w:rPr>
          <w:lang w:val="fr-FR"/>
        </w:rPr>
        <w:t xml:space="preserve"> la sensibilisation cutanée sur la base </w:t>
      </w:r>
      <w:r>
        <w:rPr>
          <w:lang w:val="fr-FR"/>
        </w:rPr>
        <w:t>de méthodes définies</w:t>
      </w:r>
      <w:r w:rsidRPr="00A241BD">
        <w:rPr>
          <w:lang w:val="fr-FR"/>
        </w:rPr>
        <w:t xml:space="preserve"> (3.4.2.2.4), de données </w:t>
      </w:r>
      <w:r>
        <w:rPr>
          <w:i/>
          <w:iCs/>
          <w:lang w:val="fr-FR"/>
        </w:rPr>
        <w:t xml:space="preserve">in </w:t>
      </w:r>
      <w:proofErr w:type="spellStart"/>
      <w:r>
        <w:rPr>
          <w:i/>
          <w:iCs/>
          <w:lang w:val="fr-FR"/>
        </w:rPr>
        <w:t>chemico</w:t>
      </w:r>
      <w:proofErr w:type="spellEnd"/>
      <w:r>
        <w:rPr>
          <w:i/>
          <w:iCs/>
          <w:lang w:val="fr-FR"/>
        </w:rPr>
        <w:t>/in vitro</w:t>
      </w:r>
      <w:r w:rsidRPr="00A241BD">
        <w:rPr>
          <w:i/>
          <w:iCs/>
          <w:lang w:val="fr-FR"/>
        </w:rPr>
        <w:t xml:space="preserve"> </w:t>
      </w:r>
      <w:r w:rsidRPr="00A241BD">
        <w:rPr>
          <w:lang w:val="fr-FR"/>
        </w:rPr>
        <w:t xml:space="preserve">(3.4.2.2.5) et de </w:t>
      </w:r>
      <w:r w:rsidRPr="000A24D6">
        <w:rPr>
          <w:lang w:val="fr-FR"/>
        </w:rPr>
        <w:t>méthodes non fondées sur des essais</w:t>
      </w:r>
      <w:r w:rsidRPr="00A241BD">
        <w:rPr>
          <w:lang w:val="fr-FR"/>
        </w:rPr>
        <w:t xml:space="preserve"> (3.4.2.2.6), l</w:t>
      </w:r>
      <w:r>
        <w:rPr>
          <w:lang w:val="fr-FR"/>
        </w:rPr>
        <w:t>’</w:t>
      </w:r>
      <w:r w:rsidRPr="00A241BD">
        <w:rPr>
          <w:lang w:val="fr-FR"/>
        </w:rPr>
        <w:t xml:space="preserve">occasion a été saisie de rassembler dans une sous-section (3.4.2.2.2) le texte existant sur </w:t>
      </w:r>
      <w:r>
        <w:rPr>
          <w:lang w:val="fr-FR"/>
        </w:rPr>
        <w:t xml:space="preserve">le classement </w:t>
      </w:r>
      <w:r w:rsidRPr="00A241BD">
        <w:rPr>
          <w:lang w:val="fr-FR"/>
        </w:rPr>
        <w:t>à l</w:t>
      </w:r>
      <w:r>
        <w:rPr>
          <w:lang w:val="fr-FR"/>
        </w:rPr>
        <w:t>’</w:t>
      </w:r>
      <w:r w:rsidRPr="00A241BD">
        <w:rPr>
          <w:lang w:val="fr-FR"/>
        </w:rPr>
        <w:t xml:space="preserve">aide de données humaines et </w:t>
      </w:r>
      <w:r>
        <w:rPr>
          <w:lang w:val="fr-FR"/>
        </w:rPr>
        <w:t xml:space="preserve">dans </w:t>
      </w:r>
      <w:r w:rsidRPr="00A241BD">
        <w:rPr>
          <w:lang w:val="fr-FR"/>
        </w:rPr>
        <w:t xml:space="preserve">une </w:t>
      </w:r>
      <w:r>
        <w:rPr>
          <w:lang w:val="fr-FR"/>
        </w:rPr>
        <w:t xml:space="preserve">autre </w:t>
      </w:r>
      <w:r w:rsidRPr="00A241BD">
        <w:rPr>
          <w:lang w:val="fr-FR"/>
        </w:rPr>
        <w:t xml:space="preserve">(3.4.2.2.3) le texte existant sur </w:t>
      </w:r>
      <w:r>
        <w:rPr>
          <w:lang w:val="fr-FR"/>
        </w:rPr>
        <w:t>le classement</w:t>
      </w:r>
      <w:r w:rsidRPr="00A241BD">
        <w:rPr>
          <w:lang w:val="fr-FR"/>
        </w:rPr>
        <w:t xml:space="preserve"> à l</w:t>
      </w:r>
      <w:r>
        <w:rPr>
          <w:lang w:val="fr-FR"/>
        </w:rPr>
        <w:t>’</w:t>
      </w:r>
      <w:r w:rsidRPr="00A241BD">
        <w:rPr>
          <w:lang w:val="fr-FR"/>
        </w:rPr>
        <w:t xml:space="preserve">aide de données animales, avec une référence croisée aux </w:t>
      </w:r>
      <w:r>
        <w:rPr>
          <w:lang w:val="fr-FR"/>
        </w:rPr>
        <w:t>commentaires et informations complémentaires</w:t>
      </w:r>
      <w:r w:rsidRPr="00A241BD">
        <w:rPr>
          <w:lang w:val="fr-FR"/>
        </w:rPr>
        <w:t xml:space="preserve"> connexes au chapitre 3.4</w:t>
      </w:r>
      <w:r>
        <w:rPr>
          <w:lang w:val="fr-FR"/>
        </w:rPr>
        <w:t>,</w:t>
      </w:r>
      <w:r w:rsidRPr="00A241BD">
        <w:rPr>
          <w:lang w:val="fr-FR"/>
        </w:rPr>
        <w:t xml:space="preserve"> où cinq nouvelles sous-sections sont introduites</w:t>
      </w:r>
      <w:r>
        <w:rPr>
          <w:lang w:val="fr-FR"/>
        </w:rPr>
        <w:t> :</w:t>
      </w:r>
    </w:p>
    <w:p w14:paraId="007D0B12" w14:textId="77777777" w:rsidR="00B178A7" w:rsidRDefault="00B178A7" w:rsidP="00B178A7">
      <w:pPr>
        <w:pStyle w:val="SingleTxtG"/>
        <w:ind w:firstLine="567"/>
        <w:rPr>
          <w:lang w:val="fr-FR"/>
        </w:rPr>
      </w:pPr>
      <w:r w:rsidRPr="00A241BD">
        <w:rPr>
          <w:lang w:val="fr-FR"/>
        </w:rPr>
        <w:t>a)</w:t>
      </w:r>
      <w:r w:rsidRPr="00A241BD">
        <w:rPr>
          <w:lang w:val="fr-FR"/>
        </w:rPr>
        <w:tab/>
        <w:t>Orientations sur l</w:t>
      </w:r>
      <w:r>
        <w:rPr>
          <w:lang w:val="fr-FR"/>
        </w:rPr>
        <w:t>’</w:t>
      </w:r>
      <w:r w:rsidRPr="00A241BD">
        <w:rPr>
          <w:lang w:val="fr-FR"/>
        </w:rPr>
        <w:t xml:space="preserve">utilisation des données humaines (3.4.5.3.2) et des données animales (3.4.5.3.3) pour </w:t>
      </w:r>
      <w:r>
        <w:rPr>
          <w:lang w:val="fr-FR"/>
        </w:rPr>
        <w:t>le classement</w:t>
      </w:r>
      <w:r w:rsidRPr="00A241BD">
        <w:rPr>
          <w:lang w:val="fr-FR"/>
        </w:rPr>
        <w:t xml:space="preserve"> des sensibilisants cutanés</w:t>
      </w:r>
      <w:r>
        <w:rPr>
          <w:lang w:val="fr-FR"/>
        </w:rPr>
        <w:t> ;</w:t>
      </w:r>
      <w:r w:rsidRPr="00A241BD">
        <w:rPr>
          <w:lang w:val="fr-FR"/>
        </w:rPr>
        <w:t xml:space="preserve"> et </w:t>
      </w:r>
    </w:p>
    <w:p w14:paraId="581E7340" w14:textId="77777777" w:rsidR="00B178A7" w:rsidRPr="00A241BD" w:rsidRDefault="00B178A7" w:rsidP="00B178A7">
      <w:pPr>
        <w:pStyle w:val="SingleTxtG"/>
        <w:ind w:firstLine="567"/>
        <w:rPr>
          <w:lang w:val="fr-FR"/>
        </w:rPr>
      </w:pPr>
      <w:r>
        <w:rPr>
          <w:lang w:val="fr-FR"/>
        </w:rPr>
        <w:t>b</w:t>
      </w:r>
      <w:r w:rsidRPr="00A241BD">
        <w:rPr>
          <w:lang w:val="fr-FR"/>
        </w:rPr>
        <w:t>)</w:t>
      </w:r>
      <w:r w:rsidRPr="00A241BD">
        <w:rPr>
          <w:lang w:val="fr-FR"/>
        </w:rPr>
        <w:tab/>
        <w:t>Orientations sur l</w:t>
      </w:r>
      <w:r>
        <w:rPr>
          <w:lang w:val="fr-FR"/>
        </w:rPr>
        <w:t>’</w:t>
      </w:r>
      <w:r w:rsidRPr="00A241BD">
        <w:rPr>
          <w:lang w:val="fr-FR"/>
        </w:rPr>
        <w:t xml:space="preserve">utilisation </w:t>
      </w:r>
      <w:r>
        <w:rPr>
          <w:lang w:val="fr-FR"/>
        </w:rPr>
        <w:t>de méthodes définies</w:t>
      </w:r>
      <w:r w:rsidRPr="00A241BD">
        <w:rPr>
          <w:lang w:val="fr-FR"/>
        </w:rPr>
        <w:t xml:space="preserve"> (3.4.5.3.4)</w:t>
      </w:r>
      <w:r>
        <w:rPr>
          <w:lang w:val="fr-FR"/>
        </w:rPr>
        <w:t> ;</w:t>
      </w:r>
      <w:r w:rsidRPr="00A241BD">
        <w:rPr>
          <w:lang w:val="fr-FR"/>
        </w:rPr>
        <w:t xml:space="preserve"> de méthodes </w:t>
      </w:r>
      <w:r>
        <w:rPr>
          <w:i/>
          <w:iCs/>
          <w:lang w:val="fr-FR"/>
        </w:rPr>
        <w:t xml:space="preserve">in </w:t>
      </w:r>
      <w:proofErr w:type="spellStart"/>
      <w:r>
        <w:rPr>
          <w:i/>
          <w:iCs/>
          <w:lang w:val="fr-FR"/>
        </w:rPr>
        <w:t>chemico</w:t>
      </w:r>
      <w:proofErr w:type="spellEnd"/>
      <w:r>
        <w:rPr>
          <w:i/>
          <w:iCs/>
          <w:lang w:val="fr-FR"/>
        </w:rPr>
        <w:t xml:space="preserve">/in vitro </w:t>
      </w:r>
      <w:r w:rsidRPr="00A241BD">
        <w:rPr>
          <w:lang w:val="fr-FR"/>
        </w:rPr>
        <w:t>non autonomes (3.4.5.3.5)</w:t>
      </w:r>
      <w:r>
        <w:rPr>
          <w:lang w:val="fr-FR"/>
        </w:rPr>
        <w:t> ;</w:t>
      </w:r>
      <w:r w:rsidRPr="00A241BD">
        <w:rPr>
          <w:lang w:val="fr-FR"/>
        </w:rPr>
        <w:t xml:space="preserve"> et de </w:t>
      </w:r>
      <w:r w:rsidRPr="00A241BD">
        <w:rPr>
          <w:bCs/>
          <w:lang w:val="fr-FR"/>
        </w:rPr>
        <w:t xml:space="preserve">données non </w:t>
      </w:r>
      <w:r>
        <w:rPr>
          <w:bCs/>
          <w:lang w:val="fr-FR"/>
        </w:rPr>
        <w:t>normalisées</w:t>
      </w:r>
      <w:r w:rsidRPr="00A241BD">
        <w:rPr>
          <w:bCs/>
          <w:lang w:val="fr-FR"/>
        </w:rPr>
        <w:t xml:space="preserve"> </w:t>
      </w:r>
      <w:r w:rsidRPr="00A241BD">
        <w:rPr>
          <w:lang w:val="fr-FR"/>
        </w:rPr>
        <w:t xml:space="preserve">(3.4.5.3.6) pour </w:t>
      </w:r>
      <w:r>
        <w:rPr>
          <w:lang w:val="fr-FR"/>
        </w:rPr>
        <w:t>le classement</w:t>
      </w:r>
      <w:r w:rsidRPr="00A241BD">
        <w:rPr>
          <w:lang w:val="fr-FR"/>
        </w:rPr>
        <w:t xml:space="preserve"> des sensibilisants cutanés. </w:t>
      </w:r>
    </w:p>
    <w:p w14:paraId="2338438E" w14:textId="77777777" w:rsidR="00B178A7" w:rsidRPr="00A241BD" w:rsidRDefault="00B178A7" w:rsidP="00303703">
      <w:pPr>
        <w:pStyle w:val="H1G"/>
        <w:rPr>
          <w:noProof/>
          <w:lang w:val="fr-FR"/>
        </w:rPr>
      </w:pPr>
      <w:r w:rsidRPr="00A241BD">
        <w:rPr>
          <w:noProof/>
          <w:lang w:val="fr-FR"/>
        </w:rPr>
        <w:tab/>
      </w:r>
      <w:r w:rsidRPr="00A241BD">
        <w:rPr>
          <w:noProof/>
          <w:lang w:val="fr-FR"/>
        </w:rPr>
        <w:tab/>
      </w:r>
      <w:r>
        <w:rPr>
          <w:noProof/>
          <w:lang w:val="fr-FR"/>
        </w:rPr>
        <w:t xml:space="preserve">Amendements </w:t>
      </w:r>
      <w:bookmarkStart w:id="10" w:name="_Hlk116509217"/>
      <w:r>
        <w:rPr>
          <w:noProof/>
          <w:lang w:val="fr-FR"/>
        </w:rPr>
        <w:t xml:space="preserve">de conséquence </w:t>
      </w:r>
      <w:bookmarkEnd w:id="10"/>
      <w:r w:rsidRPr="00A241BD">
        <w:rPr>
          <w:noProof/>
          <w:lang w:val="fr-FR"/>
        </w:rPr>
        <w:t>aux chapitres 3.2, 3.3 et 1.2</w:t>
      </w:r>
    </w:p>
    <w:p w14:paraId="408473B4" w14:textId="77777777" w:rsidR="00B178A7" w:rsidRPr="00A241BD" w:rsidRDefault="00B178A7" w:rsidP="00303703">
      <w:pPr>
        <w:pStyle w:val="SingleTxtG"/>
        <w:rPr>
          <w:lang w:val="fr-FR"/>
        </w:rPr>
      </w:pPr>
      <w:r>
        <w:rPr>
          <w:lang w:val="fr-FR"/>
        </w:rPr>
        <w:t>27.</w:t>
      </w:r>
      <w:r w:rsidRPr="00A241BD">
        <w:rPr>
          <w:lang w:val="fr-FR"/>
        </w:rPr>
        <w:tab/>
        <w:t xml:space="preserve">Les </w:t>
      </w:r>
      <w:r>
        <w:rPr>
          <w:lang w:val="fr-FR"/>
        </w:rPr>
        <w:t>amendements</w:t>
      </w:r>
      <w:r w:rsidRPr="00A241BD">
        <w:rPr>
          <w:lang w:val="fr-FR"/>
        </w:rPr>
        <w:t xml:space="preserve"> proposés au chapitre 3.4 nécessitent d</w:t>
      </w:r>
      <w:r>
        <w:rPr>
          <w:lang w:val="fr-FR"/>
        </w:rPr>
        <w:t>’</w:t>
      </w:r>
      <w:r w:rsidRPr="00A241BD">
        <w:rPr>
          <w:lang w:val="fr-FR"/>
        </w:rPr>
        <w:t xml:space="preserve">apporter </w:t>
      </w:r>
      <w:r>
        <w:rPr>
          <w:lang w:val="fr-FR"/>
        </w:rPr>
        <w:t>plusieurs</w:t>
      </w:r>
      <w:r w:rsidRPr="00A241BD">
        <w:rPr>
          <w:lang w:val="fr-FR"/>
        </w:rPr>
        <w:t xml:space="preserve"> </w:t>
      </w:r>
      <w:r>
        <w:rPr>
          <w:lang w:val="fr-FR"/>
        </w:rPr>
        <w:t>amendements</w:t>
      </w:r>
      <w:r w:rsidRPr="00A241BD">
        <w:rPr>
          <w:lang w:val="fr-FR"/>
        </w:rPr>
        <w:t xml:space="preserve"> </w:t>
      </w:r>
      <w:r w:rsidRPr="00D60EBD">
        <w:rPr>
          <w:lang w:val="fr-FR"/>
        </w:rPr>
        <w:t xml:space="preserve">de conséquence </w:t>
      </w:r>
      <w:r w:rsidRPr="00A241BD">
        <w:rPr>
          <w:lang w:val="fr-FR"/>
        </w:rPr>
        <w:t>aux chapitres 3.2 et 3.3 afin d</w:t>
      </w:r>
      <w:r>
        <w:rPr>
          <w:lang w:val="fr-FR"/>
        </w:rPr>
        <w:t>’</w:t>
      </w:r>
      <w:r w:rsidRPr="00A241BD">
        <w:rPr>
          <w:lang w:val="fr-FR"/>
        </w:rPr>
        <w:t xml:space="preserve">assurer la cohérence de </w:t>
      </w:r>
      <w:r>
        <w:rPr>
          <w:lang w:val="fr-FR"/>
        </w:rPr>
        <w:t>la méthode</w:t>
      </w:r>
      <w:r w:rsidRPr="00A241BD">
        <w:rPr>
          <w:lang w:val="fr-FR"/>
        </w:rPr>
        <w:t xml:space="preserve"> entre les trois chapitres.</w:t>
      </w:r>
    </w:p>
    <w:p w14:paraId="3457A76B" w14:textId="77777777" w:rsidR="00B178A7" w:rsidRPr="00A241BD" w:rsidRDefault="00B178A7" w:rsidP="00303703">
      <w:pPr>
        <w:pStyle w:val="SingleTxtG"/>
        <w:rPr>
          <w:lang w:val="fr-FR"/>
        </w:rPr>
      </w:pPr>
      <w:r w:rsidRPr="00A241BD">
        <w:rPr>
          <w:lang w:val="fr-FR"/>
        </w:rPr>
        <w:t>28.</w:t>
      </w:r>
      <w:r w:rsidRPr="00A241BD">
        <w:rPr>
          <w:lang w:val="fr-FR"/>
        </w:rPr>
        <w:tab/>
        <w:t xml:space="preserve">Plus précisément, en ce qui concerne les </w:t>
      </w:r>
      <w:r>
        <w:rPr>
          <w:lang w:val="fr-FR"/>
        </w:rPr>
        <w:t>amendements</w:t>
      </w:r>
      <w:r w:rsidRPr="00A241BD">
        <w:rPr>
          <w:lang w:val="fr-FR"/>
        </w:rPr>
        <w:t xml:space="preserve"> proposés au chapitre 3.4, il est également proposé d</w:t>
      </w:r>
      <w:r>
        <w:rPr>
          <w:lang w:val="fr-FR"/>
        </w:rPr>
        <w:t>’</w:t>
      </w:r>
      <w:r w:rsidRPr="00A241BD">
        <w:rPr>
          <w:lang w:val="fr-FR"/>
        </w:rPr>
        <w:t xml:space="preserve">inclure un nouveau texte dans les chapitres 3.2 et 3.3 sur </w:t>
      </w:r>
      <w:r>
        <w:rPr>
          <w:lang w:val="fr-FR"/>
        </w:rPr>
        <w:t xml:space="preserve">le classement </w:t>
      </w:r>
      <w:r w:rsidRPr="00A241BD">
        <w:rPr>
          <w:lang w:val="fr-FR"/>
        </w:rPr>
        <w:t xml:space="preserve">fondé sur des </w:t>
      </w:r>
      <w:r w:rsidRPr="000A24D6">
        <w:rPr>
          <w:lang w:val="fr-FR"/>
        </w:rPr>
        <w:t>méthodes non fondées sur des essais</w:t>
      </w:r>
      <w:r w:rsidRPr="00A241BD">
        <w:rPr>
          <w:lang w:val="fr-FR"/>
        </w:rPr>
        <w:t xml:space="preserve"> (nouveaux </w:t>
      </w:r>
      <w:r w:rsidRPr="00A241BD">
        <w:rPr>
          <w:noProof/>
          <w:lang w:val="fr-FR"/>
        </w:rPr>
        <w:t xml:space="preserve">3.2.2.6.4 et 3.3.2.8.5, </w:t>
      </w:r>
      <w:r>
        <w:rPr>
          <w:noProof/>
          <w:lang w:val="fr-FR"/>
        </w:rPr>
        <w:t>et</w:t>
      </w:r>
      <w:r w:rsidRPr="00A241BD">
        <w:rPr>
          <w:noProof/>
          <w:lang w:val="fr-FR"/>
        </w:rPr>
        <w:t xml:space="preserve"> modification du 3.3.2.8.1) </w:t>
      </w:r>
      <w:r w:rsidRPr="00A241BD">
        <w:rPr>
          <w:lang w:val="fr-FR"/>
        </w:rPr>
        <w:t xml:space="preserve">et au chapitre 3.3 sur </w:t>
      </w:r>
      <w:r>
        <w:rPr>
          <w:lang w:val="fr-FR"/>
        </w:rPr>
        <w:t>le classement</w:t>
      </w:r>
      <w:r w:rsidRPr="00A241BD">
        <w:rPr>
          <w:lang w:val="fr-FR"/>
        </w:rPr>
        <w:t xml:space="preserve"> fondé sur des </w:t>
      </w:r>
      <w:r>
        <w:rPr>
          <w:lang w:val="fr-FR"/>
        </w:rPr>
        <w:t>méthodes définies</w:t>
      </w:r>
      <w:r w:rsidRPr="00A241BD">
        <w:rPr>
          <w:lang w:val="fr-FR"/>
        </w:rPr>
        <w:t xml:space="preserve"> (nouveaux </w:t>
      </w:r>
      <w:r w:rsidRPr="00A241BD">
        <w:rPr>
          <w:noProof/>
          <w:lang w:val="fr-FR"/>
        </w:rPr>
        <w:t>3.3.2.3</w:t>
      </w:r>
      <w:r>
        <w:rPr>
          <w:noProof/>
          <w:lang w:val="fr-FR"/>
        </w:rPr>
        <w:t>.</w:t>
      </w:r>
      <w:r w:rsidRPr="00A241BD">
        <w:rPr>
          <w:noProof/>
          <w:lang w:val="fr-FR"/>
        </w:rPr>
        <w:t>2 et 3.3.2.3.3 et modification du 3.3.2.8.1</w:t>
      </w:r>
      <w:r w:rsidRPr="00A241BD">
        <w:rPr>
          <w:lang w:val="fr-FR"/>
        </w:rPr>
        <w:t xml:space="preserve">) et les </w:t>
      </w:r>
      <w:r w:rsidRPr="00A241BD">
        <w:rPr>
          <w:bCs/>
          <w:iCs/>
          <w:lang w:val="fr-FR"/>
        </w:rPr>
        <w:t xml:space="preserve">données </w:t>
      </w:r>
      <w:r w:rsidRPr="00A241BD">
        <w:rPr>
          <w:bCs/>
          <w:i/>
          <w:lang w:val="fr-FR"/>
        </w:rPr>
        <w:t xml:space="preserve">in vitro/ex vivo </w:t>
      </w:r>
      <w:r w:rsidRPr="00A241BD">
        <w:rPr>
          <w:bCs/>
          <w:iCs/>
          <w:lang w:val="fr-FR"/>
        </w:rPr>
        <w:t xml:space="preserve">(nouveau </w:t>
      </w:r>
      <w:r w:rsidRPr="00A241BD">
        <w:rPr>
          <w:noProof/>
          <w:lang w:val="fr-FR"/>
        </w:rPr>
        <w:t>3.3.2.4.2</w:t>
      </w:r>
      <w:r w:rsidRPr="00A241BD">
        <w:rPr>
          <w:lang w:val="fr-FR"/>
        </w:rPr>
        <w:t>), comme proposé dans le document ST/SG/AC.10/C.4/2022/15</w:t>
      </w:r>
      <w:r w:rsidRPr="00A241BD">
        <w:rPr>
          <w:szCs w:val="18"/>
          <w:lang w:val="fr-FR"/>
        </w:rPr>
        <w:t>.</w:t>
      </w:r>
    </w:p>
    <w:p w14:paraId="21BE8459" w14:textId="77777777" w:rsidR="00B178A7" w:rsidRPr="00A241BD" w:rsidRDefault="00B178A7" w:rsidP="00303703">
      <w:pPr>
        <w:pStyle w:val="SingleTxtG"/>
        <w:rPr>
          <w:lang w:val="fr-FR"/>
        </w:rPr>
      </w:pPr>
      <w:r w:rsidRPr="00A241BD">
        <w:rPr>
          <w:lang w:val="fr-FR"/>
        </w:rPr>
        <w:t>29</w:t>
      </w:r>
      <w:r>
        <w:rPr>
          <w:lang w:val="fr-FR"/>
        </w:rPr>
        <w:t>.</w:t>
      </w:r>
      <w:r>
        <w:rPr>
          <w:lang w:val="fr-FR"/>
        </w:rPr>
        <w:tab/>
      </w:r>
      <w:r w:rsidRPr="00A241BD">
        <w:rPr>
          <w:lang w:val="fr-FR"/>
        </w:rPr>
        <w:t>En outre, des</w:t>
      </w:r>
      <w:r>
        <w:rPr>
          <w:lang w:val="fr-FR"/>
        </w:rPr>
        <w:t xml:space="preserve"> amendements</w:t>
      </w:r>
      <w:r w:rsidRPr="00A241BD">
        <w:rPr>
          <w:lang w:val="fr-FR"/>
        </w:rPr>
        <w:t xml:space="preserve"> devront également être apport</w:t>
      </w:r>
      <w:r>
        <w:rPr>
          <w:lang w:val="fr-FR"/>
        </w:rPr>
        <w:t>é</w:t>
      </w:r>
      <w:r w:rsidRPr="00A241BD">
        <w:rPr>
          <w:lang w:val="fr-FR"/>
        </w:rPr>
        <w:t>s au chapitre 1.2, comme proposé dans le document ST/SG/AC.10/C.4/2022/15, afin d</w:t>
      </w:r>
      <w:r>
        <w:rPr>
          <w:lang w:val="fr-FR"/>
        </w:rPr>
        <w:t>’ajouter</w:t>
      </w:r>
      <w:r w:rsidRPr="00A241BD">
        <w:rPr>
          <w:lang w:val="fr-FR"/>
        </w:rPr>
        <w:t xml:space="preserve"> une nouvelle définition des </w:t>
      </w:r>
      <w:r>
        <w:rPr>
          <w:lang w:val="fr-FR"/>
        </w:rPr>
        <w:t>méthodes définies</w:t>
      </w:r>
      <w:r w:rsidRPr="00A241BD">
        <w:rPr>
          <w:lang w:val="fr-FR"/>
        </w:rPr>
        <w:t>, étant donné que ce</w:t>
      </w:r>
      <w:r>
        <w:rPr>
          <w:lang w:val="fr-FR"/>
        </w:rPr>
        <w:t>tte</w:t>
      </w:r>
      <w:r w:rsidRPr="00A241BD">
        <w:rPr>
          <w:lang w:val="fr-FR"/>
        </w:rPr>
        <w:t xml:space="preserve"> </w:t>
      </w:r>
      <w:r>
        <w:rPr>
          <w:lang w:val="fr-FR"/>
        </w:rPr>
        <w:t>notion</w:t>
      </w:r>
      <w:r w:rsidRPr="00A241BD">
        <w:rPr>
          <w:lang w:val="fr-FR"/>
        </w:rPr>
        <w:t xml:space="preserve"> </w:t>
      </w:r>
      <w:r>
        <w:rPr>
          <w:lang w:val="fr-FR"/>
        </w:rPr>
        <w:t>figur</w:t>
      </w:r>
      <w:r w:rsidRPr="00A241BD">
        <w:rPr>
          <w:lang w:val="fr-FR"/>
        </w:rPr>
        <w:t>era désormais dans deux chapitres du SGH lors de l</w:t>
      </w:r>
      <w:r>
        <w:rPr>
          <w:lang w:val="fr-FR"/>
        </w:rPr>
        <w:t>’</w:t>
      </w:r>
      <w:r w:rsidRPr="00A241BD">
        <w:rPr>
          <w:lang w:val="fr-FR"/>
        </w:rPr>
        <w:t xml:space="preserve">adoption du chapitre 3.4. </w:t>
      </w:r>
    </w:p>
    <w:p w14:paraId="24E800F5" w14:textId="77777777" w:rsidR="00B178A7" w:rsidRPr="00A241BD" w:rsidRDefault="00B178A7" w:rsidP="00E401AF">
      <w:pPr>
        <w:pStyle w:val="HChG"/>
        <w:rPr>
          <w:lang w:val="fr-FR"/>
        </w:rPr>
      </w:pPr>
      <w:r w:rsidRPr="00A241BD">
        <w:rPr>
          <w:lang w:val="fr-FR"/>
        </w:rPr>
        <w:tab/>
      </w:r>
      <w:r w:rsidRPr="00A241BD">
        <w:rPr>
          <w:lang w:val="fr-FR"/>
        </w:rPr>
        <w:tab/>
      </w:r>
      <w:r>
        <w:rPr>
          <w:lang w:val="fr-FR"/>
        </w:rPr>
        <w:t>Mesure à prendre</w:t>
      </w:r>
      <w:r w:rsidRPr="00A241BD">
        <w:rPr>
          <w:lang w:val="fr-FR"/>
        </w:rPr>
        <w:t xml:space="preserve"> et prochaines étapes</w:t>
      </w:r>
    </w:p>
    <w:p w14:paraId="73797A70" w14:textId="77777777" w:rsidR="00B178A7" w:rsidRPr="00A241BD" w:rsidRDefault="00B178A7" w:rsidP="00303703">
      <w:pPr>
        <w:pStyle w:val="SingleTxtG"/>
        <w:rPr>
          <w:lang w:val="fr-FR"/>
        </w:rPr>
      </w:pPr>
      <w:r>
        <w:rPr>
          <w:lang w:val="fr-FR"/>
        </w:rPr>
        <w:t>30.</w:t>
      </w:r>
      <w:r>
        <w:rPr>
          <w:lang w:val="fr-FR"/>
        </w:rPr>
        <w:tab/>
      </w:r>
      <w:r w:rsidRPr="00A241BD">
        <w:rPr>
          <w:lang w:val="fr-FR"/>
        </w:rPr>
        <w:t>Le</w:t>
      </w:r>
      <w:r>
        <w:rPr>
          <w:lang w:val="fr-FR"/>
        </w:rPr>
        <w:t xml:space="preserve"> </w:t>
      </w:r>
      <w:r w:rsidRPr="00A241BD">
        <w:rPr>
          <w:lang w:val="fr-FR"/>
        </w:rPr>
        <w:t>Sous-</w:t>
      </w:r>
      <w:r>
        <w:rPr>
          <w:lang w:val="fr-FR"/>
        </w:rPr>
        <w:t>C</w:t>
      </w:r>
      <w:r w:rsidRPr="00A241BD">
        <w:rPr>
          <w:lang w:val="fr-FR"/>
        </w:rPr>
        <w:t>omité est invité à approuver le chapitre 3.4 révisé tel qu</w:t>
      </w:r>
      <w:r>
        <w:rPr>
          <w:lang w:val="fr-FR"/>
        </w:rPr>
        <w:t>’</w:t>
      </w:r>
      <w:r w:rsidRPr="00A241BD">
        <w:rPr>
          <w:lang w:val="fr-FR"/>
        </w:rPr>
        <w:t>il figure dans l</w:t>
      </w:r>
      <w:r>
        <w:rPr>
          <w:lang w:val="fr-FR"/>
        </w:rPr>
        <w:t>’</w:t>
      </w:r>
      <w:r w:rsidRPr="00A241BD">
        <w:rPr>
          <w:lang w:val="fr-FR"/>
        </w:rPr>
        <w:t xml:space="preserve">annexe </w:t>
      </w:r>
      <w:r>
        <w:rPr>
          <w:lang w:val="fr-FR"/>
        </w:rPr>
        <w:t>d</w:t>
      </w:r>
      <w:r w:rsidRPr="00A241BD">
        <w:rPr>
          <w:lang w:val="fr-FR"/>
        </w:rPr>
        <w:t>u présent document et tel qu</w:t>
      </w:r>
      <w:r>
        <w:rPr>
          <w:lang w:val="fr-FR"/>
        </w:rPr>
        <w:t>’</w:t>
      </w:r>
      <w:r w:rsidRPr="00A241BD">
        <w:rPr>
          <w:lang w:val="fr-FR"/>
        </w:rPr>
        <w:t>il est présenté dans son intégralité dans le document informel INF.3.</w:t>
      </w:r>
    </w:p>
    <w:p w14:paraId="3D21113C" w14:textId="568C3DF5" w:rsidR="00B178A7" w:rsidRPr="00A241BD" w:rsidRDefault="00B178A7" w:rsidP="0052773D">
      <w:pPr>
        <w:pStyle w:val="SingleTxtG"/>
        <w:rPr>
          <w:lang w:val="fr-FR"/>
        </w:rPr>
      </w:pPr>
      <w:r>
        <w:rPr>
          <w:lang w:val="fr-FR"/>
        </w:rPr>
        <w:t>31.</w:t>
      </w:r>
      <w:r>
        <w:rPr>
          <w:lang w:val="fr-FR"/>
        </w:rPr>
        <w:tab/>
      </w:r>
      <w:r w:rsidRPr="00A241BD">
        <w:rPr>
          <w:lang w:val="fr-FR"/>
        </w:rPr>
        <w:t>En ce qui concerne l</w:t>
      </w:r>
      <w:r>
        <w:rPr>
          <w:lang w:val="fr-FR"/>
        </w:rPr>
        <w:t>’</w:t>
      </w:r>
      <w:r w:rsidRPr="00A241BD">
        <w:rPr>
          <w:lang w:val="fr-FR"/>
        </w:rPr>
        <w:t xml:space="preserve">avenir, le groupe de travail informel </w:t>
      </w:r>
      <w:r>
        <w:rPr>
          <w:lang w:val="fr-FR"/>
        </w:rPr>
        <w:t>est conscient de</w:t>
      </w:r>
      <w:r w:rsidRPr="00A241BD">
        <w:rPr>
          <w:lang w:val="fr-FR"/>
        </w:rPr>
        <w:t xml:space="preserve"> la nature à long terme de ce travail, qui vise à garantir que les méthodes d</w:t>
      </w:r>
      <w:r>
        <w:rPr>
          <w:lang w:val="fr-FR"/>
        </w:rPr>
        <w:t>’</w:t>
      </w:r>
      <w:r w:rsidRPr="00A241BD">
        <w:rPr>
          <w:lang w:val="fr-FR"/>
        </w:rPr>
        <w:t>expérimentation non animale so</w:t>
      </w:r>
      <w:r>
        <w:rPr>
          <w:lang w:val="fr-FR"/>
        </w:rPr>
        <w:t>ie</w:t>
      </w:r>
      <w:r w:rsidRPr="00A241BD">
        <w:rPr>
          <w:lang w:val="fr-FR"/>
        </w:rPr>
        <w:t>nt systématiquement intégrées dans le SGH d</w:t>
      </w:r>
      <w:r>
        <w:rPr>
          <w:lang w:val="fr-FR"/>
        </w:rPr>
        <w:t>’</w:t>
      </w:r>
      <w:r w:rsidRPr="00A241BD">
        <w:rPr>
          <w:lang w:val="fr-FR"/>
        </w:rPr>
        <w:t xml:space="preserve">une manière qui reflète leur importance croissante et leur pertinence scientifique, </w:t>
      </w:r>
      <w:r>
        <w:rPr>
          <w:lang w:val="fr-FR"/>
        </w:rPr>
        <w:t>sans se dissimuler</w:t>
      </w:r>
      <w:r w:rsidRPr="00A241BD">
        <w:rPr>
          <w:lang w:val="fr-FR"/>
        </w:rPr>
        <w:t xml:space="preserve"> leurs limites. Les</w:t>
      </w:r>
      <w:r>
        <w:rPr>
          <w:lang w:val="fr-FR"/>
        </w:rPr>
        <w:t xml:space="preserve"> </w:t>
      </w:r>
      <w:r w:rsidRPr="00A241BD">
        <w:rPr>
          <w:lang w:val="fr-FR"/>
        </w:rPr>
        <w:t>activité</w:t>
      </w:r>
      <w:r>
        <w:rPr>
          <w:lang w:val="fr-FR"/>
        </w:rPr>
        <w:t xml:space="preserve">s </w:t>
      </w:r>
      <w:r w:rsidRPr="00A241BD">
        <w:rPr>
          <w:lang w:val="fr-FR"/>
        </w:rPr>
        <w:t>prévues</w:t>
      </w:r>
      <w:r>
        <w:rPr>
          <w:lang w:val="fr-FR"/>
        </w:rPr>
        <w:t xml:space="preserve"> </w:t>
      </w:r>
      <w:r w:rsidRPr="00A241BD">
        <w:rPr>
          <w:lang w:val="fr-FR"/>
        </w:rPr>
        <w:t>comprennent une nouvelle mise à jour du chapitre 3.4, axée sur les méthodes non animales de</w:t>
      </w:r>
      <w:r>
        <w:rPr>
          <w:lang w:val="fr-FR"/>
        </w:rPr>
        <w:t xml:space="preserve"> classement en ce qui concerne la</w:t>
      </w:r>
      <w:r w:rsidRPr="00A241BD">
        <w:rPr>
          <w:lang w:val="fr-FR"/>
        </w:rPr>
        <w:t xml:space="preserve"> sensibilisation respiratoire, conformément au mandat du groupe de travail informel et au plan de travail proposé pour l</w:t>
      </w:r>
      <w:r>
        <w:rPr>
          <w:lang w:val="fr-FR"/>
        </w:rPr>
        <w:t>’</w:t>
      </w:r>
      <w:r w:rsidRPr="00A241BD">
        <w:rPr>
          <w:lang w:val="fr-FR"/>
        </w:rPr>
        <w:t>exercice</w:t>
      </w:r>
      <w:r>
        <w:rPr>
          <w:lang w:val="fr-FR"/>
        </w:rPr>
        <w:t xml:space="preserve"> biennal</w:t>
      </w:r>
      <w:r w:rsidRPr="00A241BD">
        <w:rPr>
          <w:lang w:val="fr-FR"/>
        </w:rPr>
        <w:t xml:space="preserve"> 2023</w:t>
      </w:r>
      <w:r w:rsidR="0052773D">
        <w:rPr>
          <w:lang w:val="fr-FR"/>
        </w:rPr>
        <w:noBreakHyphen/>
      </w:r>
      <w:r w:rsidRPr="00A241BD">
        <w:rPr>
          <w:lang w:val="fr-FR"/>
        </w:rPr>
        <w:t xml:space="preserve">2024. </w:t>
      </w:r>
      <w:r w:rsidRPr="00A241BD">
        <w:rPr>
          <w:lang w:val="fr-FR"/>
        </w:rPr>
        <w:br w:type="page"/>
      </w:r>
    </w:p>
    <w:p w14:paraId="389F0310" w14:textId="77777777" w:rsidR="00B178A7" w:rsidRPr="00A241BD" w:rsidRDefault="00B178A7" w:rsidP="00345BD9">
      <w:pPr>
        <w:pStyle w:val="HChG"/>
        <w:rPr>
          <w:lang w:val="fr-FR"/>
        </w:rPr>
      </w:pPr>
      <w:r w:rsidRPr="00A241BD">
        <w:rPr>
          <w:lang w:val="fr-FR"/>
        </w:rPr>
        <w:lastRenderedPageBreak/>
        <w:t xml:space="preserve">Annexe </w:t>
      </w:r>
    </w:p>
    <w:p w14:paraId="4745559A" w14:textId="4A9982B6" w:rsidR="00B178A7" w:rsidRPr="00A241BD" w:rsidRDefault="00345BD9" w:rsidP="00345BD9">
      <w:pPr>
        <w:pStyle w:val="HChG"/>
        <w:rPr>
          <w:lang w:val="fr-FR"/>
        </w:rPr>
      </w:pPr>
      <w:r>
        <w:rPr>
          <w:lang w:val="fr-FR"/>
        </w:rPr>
        <w:tab/>
      </w:r>
      <w:r>
        <w:rPr>
          <w:lang w:val="fr-FR"/>
        </w:rPr>
        <w:tab/>
      </w:r>
      <w:r w:rsidR="00B178A7" w:rsidRPr="00A241BD">
        <w:rPr>
          <w:lang w:val="fr-FR"/>
        </w:rPr>
        <w:t>Proposition</w:t>
      </w:r>
      <w:r w:rsidR="00B178A7">
        <w:rPr>
          <w:lang w:val="fr-FR"/>
        </w:rPr>
        <w:t>s</w:t>
      </w:r>
      <w:r w:rsidR="00B178A7" w:rsidRPr="00A241BD">
        <w:rPr>
          <w:lang w:val="fr-FR"/>
        </w:rPr>
        <w:t xml:space="preserve"> d</w:t>
      </w:r>
      <w:r w:rsidR="00B178A7">
        <w:rPr>
          <w:lang w:val="fr-FR"/>
        </w:rPr>
        <w:t>’</w:t>
      </w:r>
      <w:r w:rsidR="00B178A7" w:rsidRPr="00A241BD">
        <w:rPr>
          <w:lang w:val="fr-FR"/>
        </w:rPr>
        <w:t xml:space="preserve">amendements au chapitre 3.4 </w:t>
      </w:r>
      <w:r>
        <w:rPr>
          <w:lang w:val="fr-FR"/>
        </w:rPr>
        <w:br/>
      </w:r>
      <w:r w:rsidR="00B178A7">
        <w:rPr>
          <w:lang w:val="fr-FR"/>
        </w:rPr>
        <w:t>en ce qui concerne</w:t>
      </w:r>
      <w:r w:rsidR="00B178A7" w:rsidRPr="00A241BD">
        <w:rPr>
          <w:lang w:val="fr-FR"/>
        </w:rPr>
        <w:t xml:space="preserve"> la</w:t>
      </w:r>
      <w:r w:rsidR="00E91E82">
        <w:rPr>
          <w:lang w:val="fr-FR"/>
        </w:rPr>
        <w:t xml:space="preserve"> </w:t>
      </w:r>
      <w:r w:rsidR="00B178A7" w:rsidRPr="00A241BD">
        <w:rPr>
          <w:lang w:val="fr-FR"/>
        </w:rPr>
        <w:t xml:space="preserve">sensibilisation </w:t>
      </w:r>
      <w:r w:rsidR="00B178A7">
        <w:rPr>
          <w:lang w:val="fr-FR"/>
        </w:rPr>
        <w:t>cutanée</w:t>
      </w:r>
    </w:p>
    <w:p w14:paraId="49F1D826" w14:textId="55153D6E" w:rsidR="00B178A7" w:rsidRPr="00D5505A" w:rsidRDefault="00B178A7" w:rsidP="00345BD9">
      <w:pPr>
        <w:pStyle w:val="SingleTxtG"/>
        <w:rPr>
          <w:lang w:val="fr-FR"/>
        </w:rPr>
      </w:pPr>
      <w:r w:rsidRPr="00D5505A">
        <w:rPr>
          <w:i/>
          <w:iCs/>
          <w:lang w:val="fr-FR"/>
        </w:rPr>
        <w:t>3.4.2.2.1.</w:t>
      </w:r>
      <w:r w:rsidR="00454027" w:rsidRPr="00D5505A">
        <w:rPr>
          <w:i/>
          <w:iCs/>
          <w:lang w:val="fr-FR"/>
        </w:rPr>
        <w:t>2</w:t>
      </w:r>
      <w:r w:rsidR="00454027">
        <w:rPr>
          <w:lang w:val="fr-FR"/>
        </w:rPr>
        <w:t xml:space="preserve">, </w:t>
      </w:r>
      <w:r w:rsidR="00454027" w:rsidRPr="00D5505A">
        <w:rPr>
          <w:lang w:val="fr-FR"/>
        </w:rPr>
        <w:t>r</w:t>
      </w:r>
      <w:r w:rsidRPr="00D5505A">
        <w:rPr>
          <w:lang w:val="fr-FR"/>
        </w:rPr>
        <w:t>emplacer « au 3.4.2.2.1.3 » par « aux 3.4.2.2.2 à 3.4.2.2.6 ».</w:t>
      </w:r>
    </w:p>
    <w:p w14:paraId="5DFE1686" w14:textId="3F53E9DB" w:rsidR="00B178A7" w:rsidRPr="00A241BD" w:rsidRDefault="00B178A7" w:rsidP="00B178A7">
      <w:pPr>
        <w:pStyle w:val="SingleTxtG"/>
        <w:spacing w:line="240" w:lineRule="auto"/>
        <w:rPr>
          <w:lang w:val="fr-FR"/>
        </w:rPr>
      </w:pPr>
      <w:r w:rsidRPr="00D5505A">
        <w:rPr>
          <w:i/>
          <w:iCs/>
          <w:lang w:val="fr-FR"/>
        </w:rPr>
        <w:t>3.4.2.2.1.3</w:t>
      </w:r>
      <w:r w:rsidR="00454027">
        <w:rPr>
          <w:lang w:val="fr-FR"/>
        </w:rPr>
        <w:t xml:space="preserve">, </w:t>
      </w:r>
      <w:r w:rsidR="00454027" w:rsidRPr="00D5505A">
        <w:rPr>
          <w:lang w:val="fr-FR"/>
        </w:rPr>
        <w:t>l</w:t>
      </w:r>
      <w:r w:rsidRPr="00D5505A">
        <w:rPr>
          <w:lang w:val="fr-FR"/>
        </w:rPr>
        <w:t>ire </w:t>
      </w:r>
      <w:r>
        <w:rPr>
          <w:lang w:val="fr-FR"/>
        </w:rPr>
        <w:t>:</w:t>
      </w:r>
    </w:p>
    <w:p w14:paraId="77B30205" w14:textId="77777777" w:rsidR="00B178A7" w:rsidRPr="00537097" w:rsidRDefault="00B178A7" w:rsidP="00454027">
      <w:pPr>
        <w:pStyle w:val="SingleTxtG"/>
        <w:ind w:left="2268" w:hanging="1134"/>
        <w:rPr>
          <w:i/>
          <w:lang w:val="fr-FR"/>
        </w:rPr>
      </w:pPr>
      <w:r>
        <w:rPr>
          <w:lang w:val="fr-FR"/>
        </w:rPr>
        <w:t>« </w:t>
      </w:r>
      <w:r w:rsidRPr="00A241BD">
        <w:rPr>
          <w:lang w:val="fr-FR"/>
        </w:rPr>
        <w:t>3.4.2.2.1.3</w:t>
      </w:r>
      <w:r>
        <w:rPr>
          <w:lang w:val="fr-FR"/>
        </w:rPr>
        <w:tab/>
        <w:t>Aux fins du</w:t>
      </w:r>
      <w:r w:rsidRPr="00716039">
        <w:rPr>
          <w:lang w:val="fr-FR"/>
        </w:rPr>
        <w:t xml:space="preserve"> classement</w:t>
      </w:r>
      <w:r>
        <w:rPr>
          <w:lang w:val="fr-FR"/>
        </w:rPr>
        <w:t xml:space="preserve"> des sensibilisants cutanés</w:t>
      </w:r>
      <w:r w:rsidRPr="00716039">
        <w:rPr>
          <w:lang w:val="fr-FR"/>
        </w:rPr>
        <w:t xml:space="preserve">, toutes les informations disponibles et utiles sur les </w:t>
      </w:r>
      <w:r w:rsidRPr="00A241BD">
        <w:rPr>
          <w:lang w:val="fr-FR"/>
        </w:rPr>
        <w:t>sensibilisants cutanés</w:t>
      </w:r>
      <w:r w:rsidRPr="00716039">
        <w:rPr>
          <w:lang w:val="fr-FR"/>
        </w:rPr>
        <w:t xml:space="preserve"> sont collectées, et leur qualité est évaluée en fonction de leur pertinence et de leur fiabilité. Le classement doit être fondé sur des données</w:t>
      </w:r>
      <w:r>
        <w:rPr>
          <w:lang w:val="fr-FR"/>
        </w:rPr>
        <w:t xml:space="preserve"> et </w:t>
      </w:r>
      <w:r w:rsidRPr="00716039">
        <w:rPr>
          <w:lang w:val="fr-FR"/>
        </w:rPr>
        <w:t>des résultats acceptables pour toutes les parties, obtenus au moyen de méthodes ou de méthodes définies validées selon des procédures internationales</w:t>
      </w:r>
      <w:r>
        <w:rPr>
          <w:lang w:val="fr-FR"/>
        </w:rPr>
        <w:t xml:space="preserve">. </w:t>
      </w:r>
      <w:r w:rsidRPr="00683C28">
        <w:rPr>
          <w:lang w:val="fr-FR"/>
        </w:rPr>
        <w:t>Il s</w:t>
      </w:r>
      <w:r>
        <w:rPr>
          <w:lang w:val="fr-FR"/>
        </w:rPr>
        <w:t>’</w:t>
      </w:r>
      <w:r w:rsidRPr="00683C28">
        <w:rPr>
          <w:lang w:val="fr-FR"/>
        </w:rPr>
        <w:t xml:space="preserve">agit notamment des </w:t>
      </w:r>
      <w:r>
        <w:rPr>
          <w:lang w:val="fr-FR"/>
        </w:rPr>
        <w:t>l</w:t>
      </w:r>
      <w:r w:rsidRPr="00683C28">
        <w:rPr>
          <w:lang w:val="fr-FR"/>
        </w:rPr>
        <w:t>ignes directrices de l</w:t>
      </w:r>
      <w:r>
        <w:rPr>
          <w:lang w:val="fr-FR"/>
        </w:rPr>
        <w:t>’</w:t>
      </w:r>
      <w:r w:rsidRPr="00683C28">
        <w:rPr>
          <w:lang w:val="fr-FR"/>
        </w:rPr>
        <w:t xml:space="preserve">OCDE et des méthodes </w:t>
      </w:r>
      <w:r>
        <w:rPr>
          <w:lang w:val="fr-FR"/>
        </w:rPr>
        <w:t xml:space="preserve">ou </w:t>
      </w:r>
      <w:r w:rsidRPr="00683C28">
        <w:rPr>
          <w:lang w:val="fr-FR"/>
        </w:rPr>
        <w:t>méthodes définies équivalentes</w:t>
      </w:r>
      <w:r w:rsidRPr="00A241BD">
        <w:rPr>
          <w:lang w:val="fr-FR"/>
        </w:rPr>
        <w:t xml:space="preserve"> (voir 1.3.2.4.3)</w:t>
      </w:r>
      <w:r>
        <w:rPr>
          <w:lang w:val="fr-FR"/>
        </w:rPr>
        <w:t>.</w:t>
      </w:r>
      <w:r w:rsidRPr="003B0832">
        <w:rPr>
          <w:lang w:val="fr-FR"/>
        </w:rPr>
        <w:t xml:space="preserve"> On trouvera dans les sections </w:t>
      </w:r>
      <w:r w:rsidRPr="00A241BD">
        <w:rPr>
          <w:lang w:val="fr-FR"/>
        </w:rPr>
        <w:t>3.4.2.2.2 à 3.4.2.2.6</w:t>
      </w:r>
      <w:r w:rsidRPr="003B0832">
        <w:rPr>
          <w:lang w:val="fr-FR"/>
        </w:rPr>
        <w:t xml:space="preserve"> des critères de </w:t>
      </w:r>
      <w:r>
        <w:rPr>
          <w:lang w:val="fr-FR"/>
        </w:rPr>
        <w:t>classement</w:t>
      </w:r>
      <w:r w:rsidRPr="003B0832">
        <w:rPr>
          <w:lang w:val="fr-FR"/>
        </w:rPr>
        <w:t xml:space="preserve"> pour les différents types d</w:t>
      </w:r>
      <w:r>
        <w:rPr>
          <w:lang w:val="fr-FR"/>
        </w:rPr>
        <w:t>’</w:t>
      </w:r>
      <w:r w:rsidRPr="003B0832">
        <w:rPr>
          <w:lang w:val="fr-FR"/>
        </w:rPr>
        <w:t xml:space="preserve">informations </w:t>
      </w:r>
      <w:r>
        <w:rPr>
          <w:lang w:val="fr-FR"/>
        </w:rPr>
        <w:t>susceptibles d’</w:t>
      </w:r>
      <w:r w:rsidRPr="00A241BD">
        <w:rPr>
          <w:lang w:val="fr-FR"/>
        </w:rPr>
        <w:t>être disponibles.</w:t>
      </w:r>
      <w:r>
        <w:rPr>
          <w:lang w:val="fr-FR"/>
        </w:rPr>
        <w:t> ».</w:t>
      </w:r>
    </w:p>
    <w:p w14:paraId="296176E0" w14:textId="41238D18" w:rsidR="00B178A7" w:rsidRPr="00537097" w:rsidRDefault="00B178A7" w:rsidP="00B178A7">
      <w:pPr>
        <w:pStyle w:val="SingleTxtG"/>
        <w:spacing w:line="240" w:lineRule="auto"/>
        <w:rPr>
          <w:i/>
          <w:lang w:val="fr-FR"/>
        </w:rPr>
      </w:pPr>
      <w:r w:rsidRPr="00D5505A">
        <w:rPr>
          <w:i/>
          <w:iCs/>
          <w:lang w:val="fr-FR"/>
        </w:rPr>
        <w:t>3.4.2.2.1.3</w:t>
      </w:r>
      <w:r w:rsidR="00454027">
        <w:rPr>
          <w:lang w:val="fr-FR"/>
        </w:rPr>
        <w:t xml:space="preserve">, </w:t>
      </w:r>
      <w:r w:rsidR="00454027" w:rsidRPr="00D5505A">
        <w:rPr>
          <w:lang w:val="fr-FR"/>
        </w:rPr>
        <w:t>s</w:t>
      </w:r>
      <w:r w:rsidRPr="00D5505A">
        <w:rPr>
          <w:lang w:val="fr-FR"/>
        </w:rPr>
        <w:t>upprimer</w:t>
      </w:r>
      <w:r>
        <w:rPr>
          <w:lang w:val="fr-FR"/>
        </w:rPr>
        <w:t xml:space="preserve"> le</w:t>
      </w:r>
      <w:r w:rsidRPr="008B0F5C">
        <w:rPr>
          <w:lang w:val="fr-FR"/>
        </w:rPr>
        <w:t xml:space="preserve"> tableau 3.4.2</w:t>
      </w:r>
      <w:r w:rsidRPr="00A241BD">
        <w:rPr>
          <w:lang w:val="fr-FR"/>
        </w:rPr>
        <w:t>.</w:t>
      </w:r>
    </w:p>
    <w:p w14:paraId="1B1A28FF" w14:textId="77777777" w:rsidR="00B178A7" w:rsidRPr="00A241BD" w:rsidRDefault="00B178A7" w:rsidP="00CF1DD4">
      <w:pPr>
        <w:pStyle w:val="SingleTxtG"/>
        <w:keepNext/>
        <w:spacing w:line="240" w:lineRule="auto"/>
        <w:rPr>
          <w:lang w:val="fr-FR"/>
        </w:rPr>
      </w:pPr>
      <w:r w:rsidRPr="00D5505A">
        <w:rPr>
          <w:iCs/>
          <w:lang w:val="fr-FR"/>
        </w:rPr>
        <w:t>Ajouter les deux nouveaux paragraphes 3.4.2.2.1.4 et 3.4.2.2.1.5</w:t>
      </w:r>
      <w:r w:rsidRPr="008B0F5C">
        <w:rPr>
          <w:iCs/>
          <w:lang w:val="fr-FR"/>
        </w:rPr>
        <w:t xml:space="preserve">, </w:t>
      </w:r>
      <w:r>
        <w:rPr>
          <w:lang w:val="fr-FR"/>
        </w:rPr>
        <w:t>libellés comme suit :</w:t>
      </w:r>
    </w:p>
    <w:p w14:paraId="55A38C43" w14:textId="609FD0AB" w:rsidR="00B178A7" w:rsidRDefault="00B178A7" w:rsidP="00CF1DD4">
      <w:pPr>
        <w:pStyle w:val="SingleTxtG"/>
        <w:ind w:left="2268" w:hanging="1134"/>
        <w:rPr>
          <w:lang w:val="fr-FR"/>
        </w:rPr>
      </w:pPr>
      <w:r>
        <w:rPr>
          <w:lang w:val="fr-FR"/>
        </w:rPr>
        <w:t>« </w:t>
      </w:r>
      <w:r w:rsidRPr="00A241BD">
        <w:rPr>
          <w:lang w:val="fr-FR"/>
        </w:rPr>
        <w:t>3.4.2.2.1.4</w:t>
      </w:r>
      <w:r>
        <w:rPr>
          <w:lang w:val="fr-FR"/>
        </w:rPr>
        <w:tab/>
      </w:r>
      <w:r w:rsidRPr="009B3E71">
        <w:rPr>
          <w:lang w:val="fr-FR"/>
        </w:rPr>
        <w:t xml:space="preserve">Une méthode par étapes (voir </w:t>
      </w:r>
      <w:r w:rsidRPr="00A241BD">
        <w:rPr>
          <w:lang w:val="fr-FR"/>
        </w:rPr>
        <w:t>3.4.2.2.7</w:t>
      </w:r>
      <w:r w:rsidRPr="009B3E71">
        <w:rPr>
          <w:lang w:val="fr-FR"/>
        </w:rPr>
        <w:t xml:space="preserve">) organise les informations disponibles </w:t>
      </w:r>
      <w:r w:rsidRPr="00A241BD">
        <w:rPr>
          <w:lang w:val="fr-FR"/>
        </w:rPr>
        <w:t xml:space="preserve">sur la sensibilisation cutanée </w:t>
      </w:r>
      <w:r w:rsidRPr="009B3E71">
        <w:rPr>
          <w:lang w:val="fr-FR"/>
        </w:rPr>
        <w:t>par niveaux ou étapes permettant de prendre des décisions d</w:t>
      </w:r>
      <w:r>
        <w:rPr>
          <w:lang w:val="fr-FR"/>
        </w:rPr>
        <w:t>’</w:t>
      </w:r>
      <w:r w:rsidRPr="009B3E71">
        <w:rPr>
          <w:lang w:val="fr-FR"/>
        </w:rPr>
        <w:t>une manière structurée et progressive.</w:t>
      </w:r>
      <w:r>
        <w:rPr>
          <w:lang w:val="fr-FR"/>
        </w:rPr>
        <w:t xml:space="preserve"> </w:t>
      </w:r>
      <w:r w:rsidRPr="00A241BD">
        <w:rPr>
          <w:lang w:val="fr-FR"/>
        </w:rPr>
        <w:t>L</w:t>
      </w:r>
      <w:r>
        <w:rPr>
          <w:lang w:val="fr-FR"/>
        </w:rPr>
        <w:t>e classement</w:t>
      </w:r>
      <w:r w:rsidRPr="00A241BD">
        <w:rPr>
          <w:lang w:val="fr-FR"/>
        </w:rPr>
        <w:t xml:space="preserve"> </w:t>
      </w:r>
      <w:r w:rsidRPr="009B3E71">
        <w:rPr>
          <w:lang w:val="fr-FR"/>
        </w:rPr>
        <w:t>s</w:t>
      </w:r>
      <w:r>
        <w:rPr>
          <w:lang w:val="fr-FR"/>
        </w:rPr>
        <w:t>’</w:t>
      </w:r>
      <w:r w:rsidRPr="009B3E71">
        <w:rPr>
          <w:lang w:val="fr-FR"/>
        </w:rPr>
        <w:t xml:space="preserve">effectue automatiquement quand les informations </w:t>
      </w:r>
      <w:r w:rsidRPr="00A241BD">
        <w:rPr>
          <w:lang w:val="fr-FR"/>
        </w:rPr>
        <w:t xml:space="preserve">satisfont </w:t>
      </w:r>
      <w:r w:rsidRPr="009B3E71">
        <w:rPr>
          <w:lang w:val="fr-FR"/>
        </w:rPr>
        <w:t>systématiquement aux critères.</w:t>
      </w:r>
      <w:r>
        <w:rPr>
          <w:lang w:val="fr-FR"/>
        </w:rPr>
        <w:t xml:space="preserve"> </w:t>
      </w:r>
      <w:r w:rsidRPr="009B3E71">
        <w:rPr>
          <w:lang w:val="fr-FR"/>
        </w:rPr>
        <w:t>Cependant, lorsque les informations disponibles donnent des résultats incohérents ou contradictoires à une même étape, le classement d</w:t>
      </w:r>
      <w:r>
        <w:rPr>
          <w:lang w:val="fr-FR"/>
        </w:rPr>
        <w:t>’</w:t>
      </w:r>
      <w:r w:rsidRPr="009B3E71">
        <w:rPr>
          <w:lang w:val="fr-FR"/>
        </w:rPr>
        <w:t>une substance ou d</w:t>
      </w:r>
      <w:r>
        <w:rPr>
          <w:lang w:val="fr-FR"/>
        </w:rPr>
        <w:t>’</w:t>
      </w:r>
      <w:r w:rsidRPr="009B3E71">
        <w:rPr>
          <w:lang w:val="fr-FR"/>
        </w:rPr>
        <w:t>un mélange s</w:t>
      </w:r>
      <w:r>
        <w:rPr>
          <w:lang w:val="fr-FR"/>
        </w:rPr>
        <w:t>’</w:t>
      </w:r>
      <w:r w:rsidRPr="009B3E71">
        <w:rPr>
          <w:lang w:val="fr-FR"/>
        </w:rPr>
        <w:t>effectue sur la base de la force probante des données à cette étape.</w:t>
      </w:r>
      <w:r>
        <w:rPr>
          <w:lang w:val="fr-FR"/>
        </w:rPr>
        <w:t xml:space="preserve"> </w:t>
      </w:r>
      <w:r w:rsidRPr="009B3E71">
        <w:rPr>
          <w:lang w:val="fr-FR"/>
        </w:rPr>
        <w:t>Dans certains cas, lorsque les informations provenant de différentes étapes donnent des résultats incohérents ou contradictoires (voir</w:t>
      </w:r>
      <w:r w:rsidRPr="00A241BD">
        <w:rPr>
          <w:lang w:val="fr-FR"/>
        </w:rPr>
        <w:t xml:space="preserve"> 3.4.2.2.7.7</w:t>
      </w:r>
      <w:r w:rsidRPr="009B3E71">
        <w:rPr>
          <w:lang w:val="fr-FR"/>
        </w:rPr>
        <w:t xml:space="preserve">), ou lorsque, prises séparément, les données ne sont pas suffisantes pour déterminer </w:t>
      </w:r>
      <w:r>
        <w:rPr>
          <w:lang w:val="fr-FR"/>
        </w:rPr>
        <w:t>le classement</w:t>
      </w:r>
      <w:r w:rsidRPr="009B3E71">
        <w:rPr>
          <w:lang w:val="fr-FR"/>
        </w:rPr>
        <w:t xml:space="preserve">, on a recours à une évaluation globale de la force probante des données (voir </w:t>
      </w:r>
      <w:r w:rsidRPr="00A241BD">
        <w:rPr>
          <w:lang w:val="fr-FR"/>
        </w:rPr>
        <w:t>3.4.2.2.7.6 et 1.3.2.4.9</w:t>
      </w:r>
      <w:r w:rsidRPr="009B3E71">
        <w:rPr>
          <w:lang w:val="fr-FR"/>
        </w:rPr>
        <w:t>).</w:t>
      </w:r>
    </w:p>
    <w:p w14:paraId="7E48C712" w14:textId="77777777" w:rsidR="00B178A7" w:rsidRDefault="00B178A7" w:rsidP="00CF1DD4">
      <w:pPr>
        <w:pStyle w:val="SingleTxtG"/>
        <w:ind w:left="2268" w:hanging="1134"/>
        <w:rPr>
          <w:lang w:val="fr-FR"/>
        </w:rPr>
      </w:pPr>
      <w:r w:rsidRPr="00A241BD">
        <w:rPr>
          <w:lang w:val="fr-FR"/>
        </w:rPr>
        <w:t>3.4.2.2.1.5</w:t>
      </w:r>
      <w:r>
        <w:rPr>
          <w:lang w:val="fr-FR"/>
        </w:rPr>
        <w:tab/>
      </w:r>
      <w:r w:rsidRPr="009B3E71">
        <w:rPr>
          <w:lang w:val="fr-FR"/>
        </w:rPr>
        <w:t xml:space="preserve">On trouve </w:t>
      </w:r>
      <w:r>
        <w:rPr>
          <w:lang w:val="fr-FR"/>
        </w:rPr>
        <w:t>au</w:t>
      </w:r>
      <w:r w:rsidRPr="009B3E71">
        <w:rPr>
          <w:lang w:val="fr-FR"/>
        </w:rPr>
        <w:t xml:space="preserve"> 3.</w:t>
      </w:r>
      <w:r>
        <w:rPr>
          <w:lang w:val="fr-FR"/>
        </w:rPr>
        <w:t>4</w:t>
      </w:r>
      <w:r w:rsidRPr="009B3E71">
        <w:rPr>
          <w:lang w:val="fr-FR"/>
        </w:rPr>
        <w:t>.5.3 des indications relatives à l</w:t>
      </w:r>
      <w:r>
        <w:rPr>
          <w:lang w:val="fr-FR"/>
        </w:rPr>
        <w:t>’</w:t>
      </w:r>
      <w:r w:rsidRPr="009B3E71">
        <w:rPr>
          <w:lang w:val="fr-FR"/>
        </w:rPr>
        <w:t xml:space="preserve">interprétation des critères </w:t>
      </w:r>
      <w:r>
        <w:rPr>
          <w:lang w:val="fr-FR"/>
        </w:rPr>
        <w:t>ainsi que</w:t>
      </w:r>
      <w:r w:rsidRPr="009B3E71">
        <w:rPr>
          <w:lang w:val="fr-FR"/>
        </w:rPr>
        <w:t xml:space="preserve"> des renvois aux documents d</w:t>
      </w:r>
      <w:r>
        <w:rPr>
          <w:lang w:val="fr-FR"/>
        </w:rPr>
        <w:t>’</w:t>
      </w:r>
      <w:r w:rsidRPr="009B3E71">
        <w:rPr>
          <w:lang w:val="fr-FR"/>
        </w:rPr>
        <w:t>orientation pertinents.</w:t>
      </w:r>
      <w:r>
        <w:rPr>
          <w:lang w:val="fr-FR"/>
        </w:rPr>
        <w:t> ».</w:t>
      </w:r>
    </w:p>
    <w:p w14:paraId="4909EA7C" w14:textId="49A81EF8" w:rsidR="00B178A7" w:rsidRPr="00093205" w:rsidRDefault="00B178A7" w:rsidP="00093205">
      <w:pPr>
        <w:pStyle w:val="SingleTxtG"/>
        <w:rPr>
          <w:lang w:val="fr-FR"/>
        </w:rPr>
      </w:pPr>
      <w:r w:rsidRPr="00D5505A">
        <w:rPr>
          <w:i/>
          <w:lang w:val="fr-FR"/>
        </w:rPr>
        <w:t>3.4.2.2.2</w:t>
      </w:r>
      <w:r w:rsidRPr="00093205">
        <w:rPr>
          <w:lang w:val="fr-FR"/>
        </w:rPr>
        <w:t xml:space="preserve">, </w:t>
      </w:r>
      <w:r w:rsidRPr="00413392">
        <w:rPr>
          <w:i/>
          <w:iCs/>
          <w:lang w:val="fr-FR"/>
        </w:rPr>
        <w:t>titre</w:t>
      </w:r>
      <w:r w:rsidRPr="00093205">
        <w:rPr>
          <w:lang w:val="fr-FR"/>
        </w:rPr>
        <w:tab/>
      </w:r>
      <w:r w:rsidR="00D470CA">
        <w:rPr>
          <w:lang w:val="fr-FR"/>
        </w:rPr>
        <w:t xml:space="preserve">, </w:t>
      </w:r>
      <w:r w:rsidR="00D470CA" w:rsidRPr="00D5505A">
        <w:rPr>
          <w:lang w:val="fr-FR"/>
        </w:rPr>
        <w:t>l</w:t>
      </w:r>
      <w:r w:rsidRPr="00D5505A">
        <w:rPr>
          <w:lang w:val="fr-FR"/>
        </w:rPr>
        <w:t>ire</w:t>
      </w:r>
      <w:r w:rsidRPr="00093205">
        <w:rPr>
          <w:lang w:val="fr-FR"/>
        </w:rPr>
        <w:t xml:space="preserve"> : </w:t>
      </w:r>
    </w:p>
    <w:p w14:paraId="1C757516" w14:textId="3CBD3572" w:rsidR="00B178A7" w:rsidRPr="00537097" w:rsidRDefault="00B178A7" w:rsidP="00413392">
      <w:pPr>
        <w:pStyle w:val="SingleTxtG"/>
        <w:ind w:left="2268" w:hanging="1134"/>
        <w:jc w:val="left"/>
        <w:rPr>
          <w:i/>
          <w:lang w:val="fr-FR"/>
        </w:rPr>
      </w:pPr>
      <w:r>
        <w:rPr>
          <w:lang w:val="fr-FR"/>
        </w:rPr>
        <w:t>« </w:t>
      </w:r>
      <w:r w:rsidRPr="00A241BD">
        <w:rPr>
          <w:lang w:val="fr-FR"/>
        </w:rPr>
        <w:t>3.4.2.2.2</w:t>
      </w:r>
      <w:r w:rsidRPr="00A241BD">
        <w:rPr>
          <w:lang w:val="fr-FR"/>
        </w:rPr>
        <w:tab/>
      </w:r>
      <w:r w:rsidRPr="009B3E71">
        <w:rPr>
          <w:i/>
          <w:iCs/>
          <w:lang w:val="fr-FR"/>
        </w:rPr>
        <w:t>Classification fondée sur des données obtenues sur l</w:t>
      </w:r>
      <w:r>
        <w:rPr>
          <w:i/>
          <w:iCs/>
          <w:lang w:val="fr-FR"/>
        </w:rPr>
        <w:t>’</w:t>
      </w:r>
      <w:r w:rsidRPr="009B3E71">
        <w:rPr>
          <w:i/>
          <w:iCs/>
          <w:lang w:val="fr-FR"/>
        </w:rPr>
        <w:t>homme</w:t>
      </w:r>
      <w:r w:rsidRPr="00A241BD">
        <w:rPr>
          <w:i/>
          <w:iCs/>
          <w:lang w:val="fr-FR"/>
        </w:rPr>
        <w:t xml:space="preserve"> </w:t>
      </w:r>
      <w:r w:rsidR="00413392">
        <w:rPr>
          <w:i/>
          <w:iCs/>
          <w:lang w:val="fr-FR"/>
        </w:rPr>
        <w:br/>
      </w:r>
      <w:r w:rsidRPr="00A241BD">
        <w:rPr>
          <w:i/>
          <w:lang w:val="fr-FR"/>
        </w:rPr>
        <w:t>(</w:t>
      </w:r>
      <w:r>
        <w:rPr>
          <w:i/>
          <w:lang w:val="fr-FR"/>
        </w:rPr>
        <w:t>étape</w:t>
      </w:r>
      <w:r w:rsidRPr="00A241BD">
        <w:rPr>
          <w:i/>
          <w:lang w:val="fr-FR"/>
        </w:rPr>
        <w:t xml:space="preserve"> 1 de la figure 3.4.1)</w:t>
      </w:r>
      <w:r>
        <w:rPr>
          <w:i/>
          <w:lang w:val="fr-FR"/>
        </w:rPr>
        <w:t> »</w:t>
      </w:r>
      <w:r w:rsidRPr="00A241BD">
        <w:rPr>
          <w:i/>
          <w:lang w:val="fr-FR"/>
        </w:rPr>
        <w:t>.</w:t>
      </w:r>
    </w:p>
    <w:p w14:paraId="61197EE5" w14:textId="77777777" w:rsidR="00B178A7" w:rsidRPr="00A241BD" w:rsidRDefault="00B178A7" w:rsidP="00B178A7">
      <w:pPr>
        <w:keepNext/>
        <w:keepLines/>
        <w:spacing w:before="240" w:after="200"/>
        <w:ind w:left="1134" w:right="1134"/>
        <w:jc w:val="both"/>
        <w:rPr>
          <w:lang w:val="fr-FR"/>
        </w:rPr>
      </w:pPr>
      <w:r w:rsidRPr="00D5505A">
        <w:rPr>
          <w:iCs/>
          <w:lang w:val="fr-FR"/>
        </w:rPr>
        <w:t xml:space="preserve">Ajouter le nouveau paragraphe </w:t>
      </w:r>
      <w:r w:rsidRPr="00413392">
        <w:rPr>
          <w:i/>
          <w:lang w:val="fr-FR"/>
        </w:rPr>
        <w:t>3.4.2.2.2.1</w:t>
      </w:r>
      <w:r w:rsidRPr="008B0F5C">
        <w:rPr>
          <w:iCs/>
          <w:lang w:val="fr-FR"/>
        </w:rPr>
        <w:t>,</w:t>
      </w:r>
      <w:r>
        <w:rPr>
          <w:lang w:val="fr-FR"/>
        </w:rPr>
        <w:t xml:space="preserve"> libellé comme suit :</w:t>
      </w:r>
    </w:p>
    <w:p w14:paraId="2A25EFFC" w14:textId="77777777" w:rsidR="00B178A7" w:rsidRPr="00537097" w:rsidRDefault="00B178A7" w:rsidP="00D470CA">
      <w:pPr>
        <w:pStyle w:val="SingleTxtG"/>
        <w:ind w:left="2268" w:hanging="1134"/>
        <w:rPr>
          <w:i/>
          <w:lang w:val="fr-FR"/>
        </w:rPr>
      </w:pPr>
      <w:r>
        <w:rPr>
          <w:lang w:val="fr-FR"/>
        </w:rPr>
        <w:t>« </w:t>
      </w:r>
      <w:r w:rsidRPr="00A241BD">
        <w:rPr>
          <w:lang w:val="fr-FR"/>
        </w:rPr>
        <w:t>3.4.2.2.2.1</w:t>
      </w:r>
      <w:r>
        <w:rPr>
          <w:lang w:val="fr-FR"/>
        </w:rPr>
        <w:tab/>
      </w:r>
      <w:r w:rsidRPr="00A241BD">
        <w:rPr>
          <w:lang w:val="fr-FR"/>
        </w:rPr>
        <w:t>Une</w:t>
      </w:r>
      <w:r>
        <w:rPr>
          <w:lang w:val="fr-FR"/>
        </w:rPr>
        <w:t xml:space="preserve"> substance</w:t>
      </w:r>
      <w:r w:rsidRPr="00A241BD">
        <w:rPr>
          <w:lang w:val="fr-FR"/>
        </w:rPr>
        <w:t xml:space="preserve"> est </w:t>
      </w:r>
      <w:r w:rsidRPr="0098318C">
        <w:rPr>
          <w:lang w:val="fr-FR"/>
        </w:rPr>
        <w:t xml:space="preserve">considérée comme </w:t>
      </w:r>
      <w:r w:rsidRPr="00A241BD">
        <w:rPr>
          <w:lang w:val="fr-FR"/>
        </w:rPr>
        <w:t>sensibilisant cutané de catégorie</w:t>
      </w:r>
      <w:r>
        <w:rPr>
          <w:lang w:val="fr-FR"/>
        </w:rPr>
        <w:t> </w:t>
      </w:r>
      <w:r w:rsidRPr="00A241BD">
        <w:rPr>
          <w:lang w:val="fr-FR"/>
        </w:rPr>
        <w:t>1 s</w:t>
      </w:r>
      <w:r>
        <w:rPr>
          <w:lang w:val="fr-FR"/>
        </w:rPr>
        <w:t>’</w:t>
      </w:r>
      <w:r w:rsidRPr="00A241BD">
        <w:rPr>
          <w:lang w:val="fr-FR"/>
        </w:rPr>
        <w:t xml:space="preserve">il </w:t>
      </w:r>
      <w:r w:rsidRPr="0098318C">
        <w:rPr>
          <w:lang w:val="fr-FR"/>
        </w:rPr>
        <w:t>existe des données relevées chez l</w:t>
      </w:r>
      <w:r>
        <w:rPr>
          <w:lang w:val="fr-FR"/>
        </w:rPr>
        <w:t>’</w:t>
      </w:r>
      <w:r w:rsidRPr="0098318C">
        <w:rPr>
          <w:lang w:val="fr-FR"/>
        </w:rPr>
        <w:t>homme montrant qu</w:t>
      </w:r>
      <w:r>
        <w:rPr>
          <w:lang w:val="fr-FR"/>
        </w:rPr>
        <w:t>’</w:t>
      </w:r>
      <w:r w:rsidRPr="0098318C">
        <w:rPr>
          <w:lang w:val="fr-FR"/>
        </w:rPr>
        <w:t>elle peut entraîner</w:t>
      </w:r>
      <w:r w:rsidRPr="00A241BD">
        <w:rPr>
          <w:lang w:val="fr-FR"/>
        </w:rPr>
        <w:t xml:space="preserve"> une sensibilisation par contact cutané </w:t>
      </w:r>
      <w:r w:rsidRPr="0098318C">
        <w:rPr>
          <w:lang w:val="fr-FR"/>
        </w:rPr>
        <w:t>chez un nombre significatif de personnes</w:t>
      </w:r>
      <w:r w:rsidRPr="00A241BD">
        <w:rPr>
          <w:lang w:val="fr-FR"/>
        </w:rPr>
        <w:t>.</w:t>
      </w:r>
      <w:r>
        <w:rPr>
          <w:lang w:val="fr-FR"/>
        </w:rPr>
        <w:t> ».</w:t>
      </w:r>
    </w:p>
    <w:p w14:paraId="0C745364" w14:textId="5C3A7FAC" w:rsidR="00B178A7" w:rsidRPr="00A241BD" w:rsidRDefault="00B178A7" w:rsidP="00091705">
      <w:pPr>
        <w:pStyle w:val="SingleTxtG"/>
        <w:keepNext/>
        <w:rPr>
          <w:lang w:val="fr-FR"/>
        </w:rPr>
      </w:pPr>
      <w:r w:rsidRPr="00D5505A">
        <w:rPr>
          <w:i/>
          <w:lang w:val="fr-FR"/>
        </w:rPr>
        <w:t>3.4.2.2.2.1</w:t>
      </w:r>
      <w:r w:rsidR="00831DB9">
        <w:rPr>
          <w:iCs/>
          <w:lang w:val="fr-FR"/>
        </w:rPr>
        <w:t xml:space="preserve">, </w:t>
      </w:r>
      <w:r w:rsidR="00831DB9" w:rsidRPr="00A62A57">
        <w:rPr>
          <w:iCs/>
          <w:lang w:val="fr-FR"/>
        </w:rPr>
        <w:t>r</w:t>
      </w:r>
      <w:r w:rsidRPr="00A62A57">
        <w:rPr>
          <w:iCs/>
          <w:lang w:val="fr-FR"/>
        </w:rPr>
        <w:t xml:space="preserve">enuméroter en </w:t>
      </w:r>
      <w:bookmarkStart w:id="11" w:name="_Hlk116593414"/>
      <w:r w:rsidRPr="00A62A57">
        <w:rPr>
          <w:iCs/>
          <w:lang w:val="fr-FR"/>
        </w:rPr>
        <w:t>3.4.2.2.2.2</w:t>
      </w:r>
      <w:bookmarkEnd w:id="11"/>
      <w:r w:rsidRPr="00A62A57">
        <w:rPr>
          <w:iCs/>
          <w:lang w:val="fr-FR"/>
        </w:rPr>
        <w:t xml:space="preserve"> et ajouter deux nouvelles phrases au début</w:t>
      </w:r>
      <w:r>
        <w:rPr>
          <w:lang w:val="fr-FR"/>
        </w:rPr>
        <w:t>, libellées comme suit :</w:t>
      </w:r>
    </w:p>
    <w:p w14:paraId="65AFE9AF" w14:textId="77777777" w:rsidR="00B178A7" w:rsidRPr="00537097" w:rsidRDefault="00B178A7" w:rsidP="00D470CA">
      <w:pPr>
        <w:pStyle w:val="SingleTxtG"/>
        <w:ind w:left="2268" w:hanging="1134"/>
        <w:rPr>
          <w:i/>
          <w:lang w:val="fr-FR"/>
        </w:rPr>
      </w:pPr>
      <w:r>
        <w:rPr>
          <w:lang w:val="fr-FR"/>
        </w:rPr>
        <w:t>« </w:t>
      </w:r>
      <w:r w:rsidRPr="00DD04DE">
        <w:rPr>
          <w:lang w:val="fr-FR"/>
        </w:rPr>
        <w:t>3.4.2.2.2.2</w:t>
      </w:r>
      <w:r>
        <w:rPr>
          <w:lang w:val="fr-FR"/>
        </w:rPr>
        <w:tab/>
      </w:r>
      <w:r w:rsidRPr="00B57F06">
        <w:rPr>
          <w:lang w:val="fr-FR"/>
        </w:rPr>
        <w:t xml:space="preserve">Les substances </w:t>
      </w:r>
      <w:r w:rsidRPr="00A241BD">
        <w:rPr>
          <w:lang w:val="fr-FR"/>
        </w:rPr>
        <w:t>présentant une fréquence d</w:t>
      </w:r>
      <w:r>
        <w:rPr>
          <w:lang w:val="fr-FR"/>
        </w:rPr>
        <w:t>’</w:t>
      </w:r>
      <w:r w:rsidRPr="00A241BD">
        <w:rPr>
          <w:lang w:val="fr-FR"/>
        </w:rPr>
        <w:t>occurrence</w:t>
      </w:r>
      <w:r w:rsidRPr="00B57F06">
        <w:rPr>
          <w:lang w:val="fr-FR"/>
        </w:rPr>
        <w:t xml:space="preserve"> </w:t>
      </w:r>
      <w:r>
        <w:rPr>
          <w:lang w:val="fr-FR"/>
        </w:rPr>
        <w:t xml:space="preserve">élevée </w:t>
      </w:r>
      <w:r w:rsidRPr="00B57F06">
        <w:rPr>
          <w:lang w:val="fr-FR"/>
        </w:rPr>
        <w:t>chez l</w:t>
      </w:r>
      <w:r>
        <w:rPr>
          <w:lang w:val="fr-FR"/>
        </w:rPr>
        <w:t>’</w:t>
      </w:r>
      <w:r w:rsidRPr="00B57F06">
        <w:rPr>
          <w:lang w:val="fr-FR"/>
        </w:rPr>
        <w:t xml:space="preserve">homme peuvent être présumées capables de provoquer une sensibilisation significative </w:t>
      </w:r>
      <w:r w:rsidRPr="00A241BD">
        <w:rPr>
          <w:lang w:val="fr-FR"/>
        </w:rPr>
        <w:t>et sont classées dans la catégorie 1A. La gravité de la réaction peut également être prise en co</w:t>
      </w:r>
      <w:r>
        <w:rPr>
          <w:lang w:val="fr-FR"/>
        </w:rPr>
        <w:t>nsidération</w:t>
      </w:r>
      <w:r w:rsidRPr="00A241BD">
        <w:rPr>
          <w:lang w:val="fr-FR"/>
        </w:rPr>
        <w:t>.</w:t>
      </w:r>
      <w:r>
        <w:rPr>
          <w:lang w:val="fr-FR"/>
        </w:rPr>
        <w:t xml:space="preserve"> </w:t>
      </w:r>
      <w:bookmarkStart w:id="12" w:name="_Hlk116591334"/>
      <w:r>
        <w:rPr>
          <w:lang w:val="fr-FR"/>
        </w:rPr>
        <w:t>Les données humaines pour</w:t>
      </w:r>
      <w:r w:rsidRPr="00165418">
        <w:rPr>
          <w:lang w:val="fr-FR"/>
        </w:rPr>
        <w:t xml:space="preserve"> </w:t>
      </w:r>
      <w:bookmarkStart w:id="13" w:name="_Hlk116592855"/>
      <w:r>
        <w:rPr>
          <w:lang w:val="fr-FR"/>
        </w:rPr>
        <w:t>la sous-catégorie 1A</w:t>
      </w:r>
      <w:bookmarkEnd w:id="13"/>
      <w:r>
        <w:rPr>
          <w:lang w:val="fr-FR"/>
        </w:rPr>
        <w:t>…</w:t>
      </w:r>
      <w:bookmarkEnd w:id="12"/>
      <w:r>
        <w:rPr>
          <w:lang w:val="fr-FR"/>
        </w:rPr>
        <w:t> ».</w:t>
      </w:r>
    </w:p>
    <w:p w14:paraId="557C8710" w14:textId="323ED4D3" w:rsidR="00B178A7" w:rsidRPr="00A241BD" w:rsidRDefault="00B178A7" w:rsidP="00D5505A">
      <w:pPr>
        <w:pStyle w:val="SingleTxtG"/>
        <w:keepNext/>
        <w:rPr>
          <w:lang w:val="fr-FR"/>
        </w:rPr>
      </w:pPr>
      <w:r w:rsidRPr="00A62A57">
        <w:rPr>
          <w:i/>
          <w:iCs/>
          <w:lang w:val="fr-FR"/>
        </w:rPr>
        <w:lastRenderedPageBreak/>
        <w:t>3.4.2.2.2</w:t>
      </w:r>
      <w:r w:rsidR="00091705" w:rsidRPr="00091705">
        <w:rPr>
          <w:lang w:val="fr-FR"/>
        </w:rPr>
        <w:t>,</w:t>
      </w:r>
      <w:r w:rsidR="00091705">
        <w:rPr>
          <w:i/>
          <w:iCs/>
          <w:lang w:val="fr-FR"/>
        </w:rPr>
        <w:t xml:space="preserve"> </w:t>
      </w:r>
      <w:r w:rsidR="00091705" w:rsidRPr="00A62A57">
        <w:rPr>
          <w:lang w:val="fr-FR"/>
        </w:rPr>
        <w:t>r</w:t>
      </w:r>
      <w:r w:rsidRPr="00A62A57">
        <w:rPr>
          <w:lang w:val="fr-FR"/>
        </w:rPr>
        <w:t xml:space="preserve">enuméroter en </w:t>
      </w:r>
      <w:bookmarkStart w:id="14" w:name="_Hlk116593513"/>
      <w:r w:rsidRPr="00A62A57">
        <w:rPr>
          <w:lang w:val="fr-FR"/>
        </w:rPr>
        <w:t>3.4.2.2.2.3</w:t>
      </w:r>
      <w:bookmarkStart w:id="15" w:name="_Hlk116548552"/>
      <w:bookmarkEnd w:id="14"/>
      <w:r w:rsidRPr="00A62A57">
        <w:rPr>
          <w:lang w:val="fr-FR"/>
        </w:rPr>
        <w:t xml:space="preserve"> et ajouter deux nouvelles phrases au début</w:t>
      </w:r>
      <w:bookmarkStart w:id="16" w:name="_Hlk116591560"/>
      <w:r>
        <w:rPr>
          <w:lang w:val="fr-FR"/>
        </w:rPr>
        <w:t>, libellées comme suit</w:t>
      </w:r>
      <w:bookmarkEnd w:id="15"/>
      <w:r>
        <w:rPr>
          <w:lang w:val="fr-FR"/>
        </w:rPr>
        <w:t> </w:t>
      </w:r>
      <w:bookmarkEnd w:id="16"/>
      <w:r>
        <w:rPr>
          <w:lang w:val="fr-FR"/>
        </w:rPr>
        <w:t>:</w:t>
      </w:r>
    </w:p>
    <w:p w14:paraId="255650B9" w14:textId="77777777" w:rsidR="00B178A7" w:rsidRPr="00091705" w:rsidRDefault="00B178A7" w:rsidP="008E7111">
      <w:pPr>
        <w:pStyle w:val="SingleTxtG"/>
        <w:keepLines/>
        <w:ind w:left="2268" w:hanging="1134"/>
        <w:rPr>
          <w:lang w:val="fr-FR"/>
        </w:rPr>
      </w:pPr>
      <w:r>
        <w:rPr>
          <w:lang w:val="fr-FR"/>
        </w:rPr>
        <w:t>« </w:t>
      </w:r>
      <w:r w:rsidRPr="00DD04DE">
        <w:rPr>
          <w:lang w:val="fr-FR"/>
        </w:rPr>
        <w:t>3.4.2.2.2.3</w:t>
      </w:r>
      <w:r>
        <w:rPr>
          <w:lang w:val="fr-FR"/>
        </w:rPr>
        <w:tab/>
      </w:r>
      <w:r w:rsidRPr="00A241BD">
        <w:rPr>
          <w:lang w:val="fr-FR"/>
        </w:rPr>
        <w:t xml:space="preserve">Les </w:t>
      </w:r>
      <w:r>
        <w:rPr>
          <w:lang w:val="fr-FR"/>
        </w:rPr>
        <w:t>substance</w:t>
      </w:r>
      <w:r w:rsidRPr="00A241BD">
        <w:rPr>
          <w:lang w:val="fr-FR"/>
        </w:rPr>
        <w:t>s présentant une fréquence d</w:t>
      </w:r>
      <w:r>
        <w:rPr>
          <w:lang w:val="fr-FR"/>
        </w:rPr>
        <w:t>’</w:t>
      </w:r>
      <w:r w:rsidRPr="00A241BD">
        <w:rPr>
          <w:lang w:val="fr-FR"/>
        </w:rPr>
        <w:t>occurrence faible à modérée chez l</w:t>
      </w:r>
      <w:r>
        <w:rPr>
          <w:lang w:val="fr-FR"/>
        </w:rPr>
        <w:t>’</w:t>
      </w:r>
      <w:r w:rsidRPr="00A241BD">
        <w:rPr>
          <w:lang w:val="fr-FR"/>
        </w:rPr>
        <w:t xml:space="preserve">homme peuvent être présumées </w:t>
      </w:r>
      <w:r w:rsidRPr="00B57F06">
        <w:rPr>
          <w:lang w:val="fr-FR"/>
        </w:rPr>
        <w:t xml:space="preserve">capables de </w:t>
      </w:r>
      <w:r w:rsidRPr="00A241BD">
        <w:rPr>
          <w:lang w:val="fr-FR"/>
        </w:rPr>
        <w:t>produire une sensibilisation et sont classées dans la catégorie 1B. La gravité de la réaction peut également être prise en co</w:t>
      </w:r>
      <w:r>
        <w:rPr>
          <w:lang w:val="fr-FR"/>
        </w:rPr>
        <w:t>nsidération</w:t>
      </w:r>
      <w:r w:rsidRPr="00A241BD">
        <w:rPr>
          <w:lang w:val="fr-FR"/>
        </w:rPr>
        <w:t>.</w:t>
      </w:r>
      <w:r>
        <w:rPr>
          <w:lang w:val="fr-FR"/>
        </w:rPr>
        <w:t xml:space="preserve"> Les données humaines pour la sous-catégorie 1B… ».</w:t>
      </w:r>
    </w:p>
    <w:p w14:paraId="3592F624" w14:textId="4034EF19" w:rsidR="00B178A7" w:rsidRPr="00A241BD" w:rsidRDefault="00B178A7" w:rsidP="00B178A7">
      <w:pPr>
        <w:pStyle w:val="SingleTxtG"/>
        <w:spacing w:line="240" w:lineRule="auto"/>
        <w:rPr>
          <w:lang w:val="fr-FR"/>
        </w:rPr>
      </w:pPr>
      <w:r w:rsidRPr="00E751A3">
        <w:rPr>
          <w:i/>
          <w:lang w:val="fr-FR"/>
        </w:rPr>
        <w:t>3.4.2.2.3, titre</w:t>
      </w:r>
      <w:r>
        <w:rPr>
          <w:lang w:val="fr-FR"/>
        </w:rPr>
        <w:tab/>
      </w:r>
      <w:r w:rsidR="00A62A57">
        <w:rPr>
          <w:lang w:val="fr-FR"/>
        </w:rPr>
        <w:t>, l</w:t>
      </w:r>
      <w:r>
        <w:rPr>
          <w:lang w:val="fr-FR"/>
        </w:rPr>
        <w:t>ire :</w:t>
      </w:r>
      <w:r w:rsidRPr="00A241BD">
        <w:rPr>
          <w:lang w:val="fr-FR"/>
        </w:rPr>
        <w:t xml:space="preserve"> </w:t>
      </w:r>
    </w:p>
    <w:p w14:paraId="61F9896F" w14:textId="28734269" w:rsidR="00B178A7" w:rsidRPr="00537097" w:rsidRDefault="00B178A7" w:rsidP="00B86A0C">
      <w:pPr>
        <w:pStyle w:val="SingleTxtG"/>
        <w:keepLines/>
        <w:ind w:left="2268" w:hanging="1134"/>
        <w:jc w:val="left"/>
        <w:rPr>
          <w:lang w:val="fr-FR"/>
        </w:rPr>
      </w:pPr>
      <w:r>
        <w:rPr>
          <w:lang w:val="fr-FR"/>
        </w:rPr>
        <w:t>« </w:t>
      </w:r>
      <w:r w:rsidRPr="00A241BD">
        <w:rPr>
          <w:lang w:val="fr-FR"/>
        </w:rPr>
        <w:t>3.4.2.2.3</w:t>
      </w:r>
      <w:r>
        <w:rPr>
          <w:lang w:val="fr-FR"/>
        </w:rPr>
        <w:tab/>
      </w:r>
      <w:r w:rsidRPr="00F3017E">
        <w:rPr>
          <w:lang w:val="fr-FR"/>
        </w:rPr>
        <w:t>Classification fondée sur les résultats d</w:t>
      </w:r>
      <w:r>
        <w:rPr>
          <w:lang w:val="fr-FR"/>
        </w:rPr>
        <w:t>’</w:t>
      </w:r>
      <w:r w:rsidRPr="00F3017E">
        <w:rPr>
          <w:lang w:val="fr-FR"/>
        </w:rPr>
        <w:t xml:space="preserve">essais normalisés sur les animaux </w:t>
      </w:r>
      <w:r w:rsidR="00B86A0C">
        <w:rPr>
          <w:lang w:val="fr-FR"/>
        </w:rPr>
        <w:br/>
      </w:r>
      <w:r w:rsidRPr="00A241BD">
        <w:rPr>
          <w:lang w:val="fr-FR"/>
        </w:rPr>
        <w:t>(</w:t>
      </w:r>
      <w:r>
        <w:rPr>
          <w:lang w:val="fr-FR"/>
        </w:rPr>
        <w:t>étape</w:t>
      </w:r>
      <w:r w:rsidRPr="00A241BD">
        <w:rPr>
          <w:lang w:val="fr-FR"/>
        </w:rPr>
        <w:t xml:space="preserve"> 1 de la figure 3.4.1)</w:t>
      </w:r>
      <w:r>
        <w:rPr>
          <w:lang w:val="fr-FR"/>
        </w:rPr>
        <w:t> »</w:t>
      </w:r>
      <w:r w:rsidRPr="00A241BD">
        <w:rPr>
          <w:lang w:val="fr-FR"/>
        </w:rPr>
        <w:t>.</w:t>
      </w:r>
    </w:p>
    <w:p w14:paraId="3D1A56AB" w14:textId="5EC66302" w:rsidR="00B178A7" w:rsidRPr="00BD0919" w:rsidRDefault="00B178A7" w:rsidP="00A62A57">
      <w:pPr>
        <w:pStyle w:val="SingleTxtG"/>
        <w:ind w:left="2268" w:hanging="1134"/>
        <w:rPr>
          <w:lang w:val="fr-FR"/>
        </w:rPr>
      </w:pPr>
      <w:bookmarkStart w:id="17" w:name="_Hlk116593495"/>
      <w:r w:rsidRPr="00A62A57">
        <w:rPr>
          <w:i/>
          <w:iCs/>
          <w:lang w:val="fr-FR"/>
        </w:rPr>
        <w:t>3.4.2.2.3.1</w:t>
      </w:r>
      <w:bookmarkEnd w:id="17"/>
      <w:r w:rsidR="00A62A57">
        <w:rPr>
          <w:lang w:val="fr-FR"/>
        </w:rPr>
        <w:t>, a</w:t>
      </w:r>
      <w:r>
        <w:rPr>
          <w:lang w:val="fr-FR"/>
        </w:rPr>
        <w:t>jouter</w:t>
      </w:r>
      <w:r w:rsidRPr="00BD0919">
        <w:rPr>
          <w:lang w:val="fr-FR"/>
        </w:rPr>
        <w:t xml:space="preserve"> une nouvelle phrase au début</w:t>
      </w:r>
      <w:r>
        <w:rPr>
          <w:lang w:val="fr-FR"/>
        </w:rPr>
        <w:t>,</w:t>
      </w:r>
      <w:r w:rsidRPr="00BD0919">
        <w:rPr>
          <w:lang w:val="fr-FR"/>
        </w:rPr>
        <w:t xml:space="preserve"> </w:t>
      </w:r>
      <w:r>
        <w:rPr>
          <w:lang w:val="fr-FR"/>
        </w:rPr>
        <w:t>libellée comme suit</w:t>
      </w:r>
      <w:r w:rsidRPr="00BD0919">
        <w:rPr>
          <w:lang w:val="fr-FR"/>
        </w:rPr>
        <w:t xml:space="preserve"> : </w:t>
      </w:r>
    </w:p>
    <w:p w14:paraId="367BB4D0" w14:textId="77777777" w:rsidR="00B178A7" w:rsidRPr="00A62A57" w:rsidRDefault="00B178A7" w:rsidP="00A62A57">
      <w:pPr>
        <w:pStyle w:val="SingleTxtG"/>
        <w:keepLines/>
        <w:ind w:left="2268" w:hanging="1134"/>
        <w:rPr>
          <w:lang w:val="fr-FR"/>
        </w:rPr>
      </w:pPr>
      <w:r>
        <w:rPr>
          <w:lang w:val="fr-FR"/>
        </w:rPr>
        <w:t>« </w:t>
      </w:r>
      <w:r w:rsidRPr="00DD04DE">
        <w:rPr>
          <w:lang w:val="fr-FR"/>
        </w:rPr>
        <w:t>3.4.2.2.3.1</w:t>
      </w:r>
      <w:r>
        <w:rPr>
          <w:lang w:val="fr-FR"/>
        </w:rPr>
        <w:tab/>
      </w:r>
      <w:r w:rsidRPr="00A241BD">
        <w:rPr>
          <w:lang w:val="fr-FR"/>
        </w:rPr>
        <w:t xml:space="preserve">Une </w:t>
      </w:r>
      <w:r>
        <w:rPr>
          <w:lang w:val="fr-FR"/>
        </w:rPr>
        <w:t>substance</w:t>
      </w:r>
      <w:r w:rsidRPr="00A241BD">
        <w:rPr>
          <w:lang w:val="fr-FR"/>
        </w:rPr>
        <w:t xml:space="preserve"> est classée comme sensibilisant cutané si les résultats d</w:t>
      </w:r>
      <w:r>
        <w:rPr>
          <w:lang w:val="fr-FR"/>
        </w:rPr>
        <w:t>’</w:t>
      </w:r>
      <w:r w:rsidRPr="00A241BD">
        <w:rPr>
          <w:lang w:val="fr-FR"/>
        </w:rPr>
        <w:t>un essai approprié sur les animaux sont positifs.</w:t>
      </w:r>
      <w:r w:rsidRPr="005C14C3">
        <w:rPr>
          <w:lang w:val="fr-FR"/>
        </w:rPr>
        <w:t xml:space="preserve"> </w:t>
      </w:r>
      <w:bookmarkStart w:id="18" w:name="_Hlk116592959"/>
      <w:r>
        <w:rPr>
          <w:lang w:val="fr-FR"/>
        </w:rPr>
        <w:t>Pour la catégorie 1, lorsqu’on utilise</w:t>
      </w:r>
      <w:bookmarkEnd w:id="18"/>
      <w:r>
        <w:rPr>
          <w:lang w:val="fr-FR"/>
        </w:rPr>
        <w:t>… ».</w:t>
      </w:r>
    </w:p>
    <w:p w14:paraId="6AC53B9D" w14:textId="3F75C1D3" w:rsidR="00B178A7" w:rsidRPr="00A241BD" w:rsidRDefault="00B178A7" w:rsidP="00545B58">
      <w:pPr>
        <w:pStyle w:val="SingleTxtG"/>
        <w:rPr>
          <w:lang w:val="fr-FR"/>
        </w:rPr>
      </w:pPr>
      <w:bookmarkStart w:id="19" w:name="_Hlk116593481"/>
      <w:r w:rsidRPr="00E751A3">
        <w:rPr>
          <w:i/>
          <w:iCs/>
          <w:lang w:val="fr-FR"/>
        </w:rPr>
        <w:t>3.4.2.2.3.</w:t>
      </w:r>
      <w:bookmarkEnd w:id="19"/>
      <w:r w:rsidR="00545B58">
        <w:rPr>
          <w:i/>
          <w:iCs/>
          <w:lang w:val="fr-FR"/>
        </w:rPr>
        <w:t xml:space="preserve">2, </w:t>
      </w:r>
      <w:r w:rsidR="00545B58" w:rsidRPr="00B86A0C">
        <w:rPr>
          <w:lang w:val="fr-FR"/>
        </w:rPr>
        <w:t>a</w:t>
      </w:r>
      <w:r w:rsidRPr="00BD0919">
        <w:rPr>
          <w:lang w:val="fr-FR"/>
        </w:rPr>
        <w:t>jouter deux nouvelles phrases au début, libellées comme suit</w:t>
      </w:r>
      <w:r>
        <w:rPr>
          <w:lang w:val="fr-FR"/>
        </w:rPr>
        <w:t> :</w:t>
      </w:r>
      <w:r w:rsidRPr="00A241BD">
        <w:rPr>
          <w:lang w:val="fr-FR"/>
        </w:rPr>
        <w:t xml:space="preserve"> </w:t>
      </w:r>
    </w:p>
    <w:p w14:paraId="2B8CDAE4" w14:textId="77777777" w:rsidR="00B178A7" w:rsidRPr="00545B58" w:rsidRDefault="00B178A7" w:rsidP="00545B58">
      <w:pPr>
        <w:pStyle w:val="SingleTxtG"/>
        <w:keepLines/>
        <w:ind w:left="2268" w:hanging="1134"/>
        <w:rPr>
          <w:lang w:val="fr-FR"/>
        </w:rPr>
      </w:pPr>
      <w:r>
        <w:rPr>
          <w:lang w:val="fr-FR"/>
        </w:rPr>
        <w:t>« </w:t>
      </w:r>
      <w:r w:rsidRPr="00DD04DE">
        <w:rPr>
          <w:lang w:val="fr-FR"/>
        </w:rPr>
        <w:t>3.4.2.2.3.2</w:t>
      </w:r>
      <w:r>
        <w:rPr>
          <w:lang w:val="fr-FR"/>
        </w:rPr>
        <w:tab/>
      </w:r>
      <w:r w:rsidRPr="00A241BD">
        <w:rPr>
          <w:lang w:val="fr-FR"/>
        </w:rPr>
        <w:t xml:space="preserve">Les </w:t>
      </w:r>
      <w:r>
        <w:rPr>
          <w:lang w:val="fr-FR"/>
        </w:rPr>
        <w:t>substance</w:t>
      </w:r>
      <w:r w:rsidRPr="00A241BD">
        <w:rPr>
          <w:lang w:val="fr-FR"/>
        </w:rPr>
        <w:t xml:space="preserve">s </w:t>
      </w:r>
      <w:bookmarkStart w:id="20" w:name="_Hlk116632763"/>
      <w:r w:rsidRPr="00DD04DE">
        <w:rPr>
          <w:lang w:val="fr-FR"/>
        </w:rPr>
        <w:t xml:space="preserve">caractérisées par un pouvoir sensibilisant </w:t>
      </w:r>
      <w:bookmarkEnd w:id="20"/>
      <w:r w:rsidRPr="00DD04DE">
        <w:rPr>
          <w:lang w:val="fr-FR"/>
        </w:rPr>
        <w:t xml:space="preserve">fort </w:t>
      </w:r>
      <w:bookmarkStart w:id="21" w:name="_Hlk116632790"/>
      <w:r w:rsidRPr="00DD04DE">
        <w:rPr>
          <w:lang w:val="fr-FR"/>
        </w:rPr>
        <w:t>chez l</w:t>
      </w:r>
      <w:r>
        <w:rPr>
          <w:lang w:val="fr-FR"/>
        </w:rPr>
        <w:t>’</w:t>
      </w:r>
      <w:r w:rsidRPr="00DD04DE">
        <w:rPr>
          <w:lang w:val="fr-FR"/>
        </w:rPr>
        <w:t xml:space="preserve">animal peuvent être présumées capables de provoquer une sensibilisation </w:t>
      </w:r>
      <w:bookmarkEnd w:id="21"/>
      <w:r w:rsidRPr="00DD04DE">
        <w:rPr>
          <w:lang w:val="fr-FR"/>
        </w:rPr>
        <w:t>significative chez l</w:t>
      </w:r>
      <w:r>
        <w:rPr>
          <w:lang w:val="fr-FR"/>
        </w:rPr>
        <w:t>’</w:t>
      </w:r>
      <w:r w:rsidRPr="00DD04DE">
        <w:rPr>
          <w:lang w:val="fr-FR"/>
        </w:rPr>
        <w:t>homme</w:t>
      </w:r>
      <w:r w:rsidRPr="00A241BD">
        <w:rPr>
          <w:lang w:val="fr-FR"/>
        </w:rPr>
        <w:t xml:space="preserve"> et sont classées dans la catégorie 1A. La gravité des réactions peut également être prise en co</w:t>
      </w:r>
      <w:r>
        <w:rPr>
          <w:lang w:val="fr-FR"/>
        </w:rPr>
        <w:t>nsidération</w:t>
      </w:r>
      <w:r w:rsidRPr="00A241BD">
        <w:rPr>
          <w:lang w:val="fr-FR"/>
        </w:rPr>
        <w:t>.</w:t>
      </w:r>
      <w:r>
        <w:rPr>
          <w:lang w:val="fr-FR"/>
        </w:rPr>
        <w:t xml:space="preserve"> </w:t>
      </w:r>
      <w:bookmarkStart w:id="22" w:name="_Hlk117005509"/>
      <w:r>
        <w:rPr>
          <w:lang w:val="fr-FR"/>
        </w:rPr>
        <w:t>Les résultats d’essais sur l’animal…</w:t>
      </w:r>
      <w:bookmarkEnd w:id="22"/>
      <w:r>
        <w:rPr>
          <w:lang w:val="fr-FR"/>
        </w:rPr>
        <w:t> ».</w:t>
      </w:r>
    </w:p>
    <w:p w14:paraId="4770B16B" w14:textId="3ADB8A03" w:rsidR="00B178A7" w:rsidRPr="00537097" w:rsidRDefault="00B178A7" w:rsidP="00545B58">
      <w:pPr>
        <w:pStyle w:val="SingleTxtG"/>
        <w:rPr>
          <w:i/>
          <w:lang w:val="fr-FR"/>
        </w:rPr>
      </w:pPr>
      <w:bookmarkStart w:id="23" w:name="_Hlk116632530"/>
      <w:bookmarkStart w:id="24" w:name="_Hlk116632721"/>
      <w:r w:rsidRPr="00E751A3">
        <w:rPr>
          <w:i/>
          <w:lang w:val="fr-FR"/>
        </w:rPr>
        <w:t>3.4.2.2.3.2</w:t>
      </w:r>
      <w:r w:rsidR="00545B58">
        <w:rPr>
          <w:iCs/>
          <w:lang w:val="fr-FR"/>
        </w:rPr>
        <w:t>, r</w:t>
      </w:r>
      <w:r>
        <w:rPr>
          <w:lang w:val="fr-FR"/>
        </w:rPr>
        <w:t>emplacer « </w:t>
      </w:r>
      <w:r w:rsidRPr="00A241BD">
        <w:rPr>
          <w:lang w:val="fr-FR"/>
        </w:rPr>
        <w:t>tableau 3.4.3</w:t>
      </w:r>
      <w:r>
        <w:rPr>
          <w:lang w:val="fr-FR"/>
        </w:rPr>
        <w:t> » par « tableau</w:t>
      </w:r>
      <w:r w:rsidRPr="00A241BD">
        <w:rPr>
          <w:lang w:val="fr-FR"/>
        </w:rPr>
        <w:t xml:space="preserve"> 3.4.2</w:t>
      </w:r>
      <w:r>
        <w:rPr>
          <w:lang w:val="fr-FR"/>
        </w:rPr>
        <w:t> »</w:t>
      </w:r>
      <w:bookmarkEnd w:id="23"/>
      <w:r>
        <w:rPr>
          <w:i/>
          <w:lang w:val="fr-FR"/>
        </w:rPr>
        <w:t xml:space="preserve"> </w:t>
      </w:r>
      <w:r>
        <w:rPr>
          <w:iCs/>
          <w:lang w:val="fr-FR"/>
        </w:rPr>
        <w:t>et dans l’</w:t>
      </w:r>
      <w:r w:rsidRPr="008B0F5C">
        <w:rPr>
          <w:iCs/>
          <w:lang w:val="fr-FR"/>
        </w:rPr>
        <w:t>en-tête du tableau 3.4.3</w:t>
      </w:r>
      <w:r>
        <w:rPr>
          <w:iCs/>
          <w:lang w:val="fr-FR"/>
        </w:rPr>
        <w:t>, r</w:t>
      </w:r>
      <w:r>
        <w:rPr>
          <w:lang w:val="fr-FR"/>
        </w:rPr>
        <w:t>emplacer « T</w:t>
      </w:r>
      <w:r w:rsidRPr="00A241BD">
        <w:rPr>
          <w:lang w:val="fr-FR"/>
        </w:rPr>
        <w:t>ableau 3.4.3</w:t>
      </w:r>
      <w:r>
        <w:rPr>
          <w:lang w:val="fr-FR"/>
        </w:rPr>
        <w:t> » par « Tableau</w:t>
      </w:r>
      <w:r w:rsidRPr="00A241BD">
        <w:rPr>
          <w:lang w:val="fr-FR"/>
        </w:rPr>
        <w:t xml:space="preserve"> 3.4.2</w:t>
      </w:r>
      <w:r>
        <w:rPr>
          <w:lang w:val="fr-FR"/>
        </w:rPr>
        <w:t> ».</w:t>
      </w:r>
    </w:p>
    <w:bookmarkEnd w:id="24"/>
    <w:p w14:paraId="49532C90" w14:textId="68E6900F" w:rsidR="00B178A7" w:rsidRPr="00A241BD" w:rsidRDefault="00B178A7" w:rsidP="00545B58">
      <w:pPr>
        <w:pStyle w:val="SingleTxtG"/>
        <w:rPr>
          <w:lang w:val="fr-FR"/>
        </w:rPr>
      </w:pPr>
      <w:r w:rsidRPr="00E751A3">
        <w:rPr>
          <w:i/>
          <w:iCs/>
          <w:lang w:val="fr-FR"/>
        </w:rPr>
        <w:t>3.4.2.2.3.3</w:t>
      </w:r>
      <w:r w:rsidR="00545B58">
        <w:rPr>
          <w:lang w:val="fr-FR"/>
        </w:rPr>
        <w:t xml:space="preserve">. </w:t>
      </w:r>
      <w:proofErr w:type="gramStart"/>
      <w:r w:rsidR="00545B58">
        <w:rPr>
          <w:lang w:val="fr-FR"/>
        </w:rPr>
        <w:t>a</w:t>
      </w:r>
      <w:r w:rsidRPr="00BD0919">
        <w:rPr>
          <w:lang w:val="fr-FR"/>
        </w:rPr>
        <w:t>jouter</w:t>
      </w:r>
      <w:proofErr w:type="gramEnd"/>
      <w:r w:rsidRPr="00BD0919">
        <w:rPr>
          <w:lang w:val="fr-FR"/>
        </w:rPr>
        <w:t xml:space="preserve"> deux nouvelles phrases au début, libellées comme suit</w:t>
      </w:r>
      <w:r>
        <w:rPr>
          <w:lang w:val="fr-FR"/>
        </w:rPr>
        <w:t> :</w:t>
      </w:r>
    </w:p>
    <w:p w14:paraId="16E17039" w14:textId="77777777" w:rsidR="00B178A7" w:rsidRPr="00545B58" w:rsidRDefault="00B178A7" w:rsidP="00545B58">
      <w:pPr>
        <w:pStyle w:val="SingleTxtG"/>
        <w:keepLines/>
        <w:ind w:left="2268" w:hanging="1134"/>
        <w:rPr>
          <w:lang w:val="fr-FR"/>
        </w:rPr>
      </w:pPr>
      <w:r>
        <w:rPr>
          <w:lang w:val="fr-FR"/>
        </w:rPr>
        <w:t>« </w:t>
      </w:r>
      <w:r w:rsidRPr="00F76802">
        <w:rPr>
          <w:lang w:val="fr-FR"/>
        </w:rPr>
        <w:t>3.4.2.2.3.3</w:t>
      </w:r>
      <w:r>
        <w:rPr>
          <w:lang w:val="fr-FR"/>
        </w:rPr>
        <w:tab/>
      </w:r>
      <w:r w:rsidRPr="00A241BD">
        <w:rPr>
          <w:lang w:val="fr-FR"/>
        </w:rPr>
        <w:t xml:space="preserve">Les </w:t>
      </w:r>
      <w:r>
        <w:rPr>
          <w:lang w:val="fr-FR"/>
        </w:rPr>
        <w:t>substance</w:t>
      </w:r>
      <w:r w:rsidRPr="00A241BD">
        <w:rPr>
          <w:lang w:val="fr-FR"/>
        </w:rPr>
        <w:t xml:space="preserve">s </w:t>
      </w:r>
      <w:r w:rsidRPr="00151C78">
        <w:rPr>
          <w:lang w:val="fr-FR"/>
        </w:rPr>
        <w:t xml:space="preserve">caractérisées par un pouvoir sensibilisant </w:t>
      </w:r>
      <w:r w:rsidRPr="00A241BD">
        <w:rPr>
          <w:lang w:val="fr-FR"/>
        </w:rPr>
        <w:t xml:space="preserve">faible à modéré </w:t>
      </w:r>
      <w:r w:rsidRPr="00151C78">
        <w:rPr>
          <w:lang w:val="fr-FR"/>
        </w:rPr>
        <w:t>chez l</w:t>
      </w:r>
      <w:r>
        <w:rPr>
          <w:lang w:val="fr-FR"/>
        </w:rPr>
        <w:t>’</w:t>
      </w:r>
      <w:r w:rsidRPr="00151C78">
        <w:rPr>
          <w:lang w:val="fr-FR"/>
        </w:rPr>
        <w:t xml:space="preserve">animal peuvent être présumées capables de provoquer une sensibilisation </w:t>
      </w:r>
      <w:r w:rsidRPr="00A241BD">
        <w:rPr>
          <w:lang w:val="fr-FR"/>
        </w:rPr>
        <w:t>chez l</w:t>
      </w:r>
      <w:r>
        <w:rPr>
          <w:lang w:val="fr-FR"/>
        </w:rPr>
        <w:t>’</w:t>
      </w:r>
      <w:r w:rsidRPr="00A241BD">
        <w:rPr>
          <w:lang w:val="fr-FR"/>
        </w:rPr>
        <w:t>homme et sont classées dans la catégorie 1B. La gravité de la réaction peut également être prise en co</w:t>
      </w:r>
      <w:r>
        <w:rPr>
          <w:lang w:val="fr-FR"/>
        </w:rPr>
        <w:t>nsidération</w:t>
      </w:r>
      <w:r w:rsidRPr="00A241BD">
        <w:rPr>
          <w:lang w:val="fr-FR"/>
        </w:rPr>
        <w:t>.</w:t>
      </w:r>
      <w:r w:rsidRPr="00151C78">
        <w:rPr>
          <w:lang w:val="fr-FR"/>
        </w:rPr>
        <w:t xml:space="preserve"> </w:t>
      </w:r>
      <w:r>
        <w:rPr>
          <w:lang w:val="fr-FR"/>
        </w:rPr>
        <w:t>Les résultats des essais sur l’animal… ».</w:t>
      </w:r>
    </w:p>
    <w:p w14:paraId="619B015D" w14:textId="10145717" w:rsidR="00B178A7" w:rsidRPr="00537097" w:rsidRDefault="00B178A7" w:rsidP="00545B58">
      <w:pPr>
        <w:pStyle w:val="SingleTxtG"/>
        <w:rPr>
          <w:i/>
          <w:lang w:val="fr-FR"/>
        </w:rPr>
      </w:pPr>
      <w:r w:rsidRPr="00E751A3">
        <w:rPr>
          <w:i/>
          <w:lang w:val="fr-FR"/>
        </w:rPr>
        <w:t>3.4.2.2.3.</w:t>
      </w:r>
      <w:r w:rsidR="0019587F">
        <w:rPr>
          <w:i/>
          <w:lang w:val="fr-FR"/>
        </w:rPr>
        <w:t>3</w:t>
      </w:r>
      <w:r w:rsidR="00545B58">
        <w:rPr>
          <w:i/>
          <w:lang w:val="fr-FR"/>
        </w:rPr>
        <w:t xml:space="preserve">, </w:t>
      </w:r>
      <w:r w:rsidR="00545B58" w:rsidRPr="005838E8">
        <w:rPr>
          <w:iCs/>
          <w:lang w:val="fr-FR"/>
        </w:rPr>
        <w:t>r</w:t>
      </w:r>
      <w:r>
        <w:rPr>
          <w:lang w:val="fr-FR"/>
        </w:rPr>
        <w:t>emplacer « </w:t>
      </w:r>
      <w:r w:rsidRPr="00A241BD">
        <w:rPr>
          <w:lang w:val="fr-FR"/>
        </w:rPr>
        <w:t>tableau 3.4.</w:t>
      </w:r>
      <w:r>
        <w:rPr>
          <w:lang w:val="fr-FR"/>
        </w:rPr>
        <w:t>4 » par « tableau</w:t>
      </w:r>
      <w:r w:rsidRPr="00A241BD">
        <w:rPr>
          <w:lang w:val="fr-FR"/>
        </w:rPr>
        <w:t xml:space="preserve"> 3.4.</w:t>
      </w:r>
      <w:r>
        <w:rPr>
          <w:lang w:val="fr-FR"/>
        </w:rPr>
        <w:t>3 »</w:t>
      </w:r>
      <w:r w:rsidRPr="008E78E3">
        <w:rPr>
          <w:iCs/>
          <w:lang w:val="fr-FR"/>
        </w:rPr>
        <w:t xml:space="preserve"> et </w:t>
      </w:r>
      <w:r>
        <w:rPr>
          <w:iCs/>
          <w:lang w:val="fr-FR"/>
        </w:rPr>
        <w:t>dans l’</w:t>
      </w:r>
      <w:r w:rsidRPr="00F76802">
        <w:rPr>
          <w:iCs/>
          <w:lang w:val="fr-FR"/>
        </w:rPr>
        <w:t>en-tête du tableau</w:t>
      </w:r>
      <w:r w:rsidR="008978B9">
        <w:rPr>
          <w:iCs/>
          <w:lang w:val="fr-FR"/>
        </w:rPr>
        <w:t> </w:t>
      </w:r>
      <w:r w:rsidRPr="00F76802">
        <w:rPr>
          <w:iCs/>
          <w:lang w:val="fr-FR"/>
        </w:rPr>
        <w:t>3.4.3</w:t>
      </w:r>
      <w:r>
        <w:rPr>
          <w:iCs/>
          <w:lang w:val="fr-FR"/>
        </w:rPr>
        <w:t>, r</w:t>
      </w:r>
      <w:r>
        <w:rPr>
          <w:lang w:val="fr-FR"/>
        </w:rPr>
        <w:t>emplacer « T</w:t>
      </w:r>
      <w:r w:rsidRPr="00A241BD">
        <w:rPr>
          <w:lang w:val="fr-FR"/>
        </w:rPr>
        <w:t>ableau 3.4.</w:t>
      </w:r>
      <w:r>
        <w:rPr>
          <w:lang w:val="fr-FR"/>
        </w:rPr>
        <w:t>4 » par « Tableau</w:t>
      </w:r>
      <w:r w:rsidRPr="00A241BD">
        <w:rPr>
          <w:lang w:val="fr-FR"/>
        </w:rPr>
        <w:t xml:space="preserve"> 3.4.</w:t>
      </w:r>
      <w:r w:rsidR="008978B9">
        <w:rPr>
          <w:lang w:val="fr-FR"/>
        </w:rPr>
        <w:t>3</w:t>
      </w:r>
      <w:r>
        <w:rPr>
          <w:lang w:val="fr-FR"/>
        </w:rPr>
        <w:t> ».</w:t>
      </w:r>
    </w:p>
    <w:p w14:paraId="129031A4" w14:textId="2CF1772E" w:rsidR="00B178A7" w:rsidRPr="00A241BD" w:rsidRDefault="00B178A7" w:rsidP="00B178A7">
      <w:pPr>
        <w:pStyle w:val="SingleTxtG"/>
        <w:tabs>
          <w:tab w:val="left" w:pos="3119"/>
        </w:tabs>
        <w:rPr>
          <w:lang w:val="fr-FR"/>
        </w:rPr>
      </w:pPr>
      <w:r w:rsidRPr="00E751A3">
        <w:rPr>
          <w:i/>
          <w:iCs/>
          <w:lang w:val="fr-FR"/>
        </w:rPr>
        <w:t>3.4.2.2.4 à 3.4.2.2.4.3</w:t>
      </w:r>
      <w:r w:rsidR="00545B58">
        <w:rPr>
          <w:lang w:val="fr-FR"/>
        </w:rPr>
        <w:t>, l</w:t>
      </w:r>
      <w:r>
        <w:rPr>
          <w:lang w:val="fr-FR"/>
        </w:rPr>
        <w:t xml:space="preserve">ire </w:t>
      </w:r>
      <w:r w:rsidRPr="00A241BD">
        <w:rPr>
          <w:lang w:val="fr-FR"/>
        </w:rPr>
        <w:t xml:space="preserve">(y compris les </w:t>
      </w:r>
      <w:r>
        <w:rPr>
          <w:lang w:val="fr-FR"/>
        </w:rPr>
        <w:t>appels de</w:t>
      </w:r>
      <w:r w:rsidRPr="00A241BD">
        <w:rPr>
          <w:lang w:val="fr-FR"/>
        </w:rPr>
        <w:t xml:space="preserve"> note de bas de page </w:t>
      </w:r>
      <w:r w:rsidRPr="00345D2B">
        <w:rPr>
          <w:vertAlign w:val="superscript"/>
          <w:lang w:val="fr-FR"/>
        </w:rPr>
        <w:t>3</w:t>
      </w:r>
      <w:r w:rsidRPr="00A241BD">
        <w:rPr>
          <w:lang w:val="fr-FR"/>
        </w:rPr>
        <w:t xml:space="preserve"> et </w:t>
      </w:r>
      <w:r w:rsidRPr="00345D2B">
        <w:rPr>
          <w:vertAlign w:val="superscript"/>
          <w:lang w:val="fr-FR"/>
        </w:rPr>
        <w:t>4</w:t>
      </w:r>
      <w:r w:rsidRPr="00A241BD">
        <w:rPr>
          <w:lang w:val="fr-FR"/>
        </w:rPr>
        <w:t>)</w:t>
      </w:r>
      <w:r>
        <w:rPr>
          <w:lang w:val="fr-FR"/>
        </w:rPr>
        <w:t> :</w:t>
      </w:r>
    </w:p>
    <w:p w14:paraId="40CD26C9" w14:textId="059ABE4E" w:rsidR="00B178A7" w:rsidRPr="00A241BD" w:rsidRDefault="00B178A7" w:rsidP="00072B6C">
      <w:pPr>
        <w:pStyle w:val="SingleTxtG"/>
        <w:keepLines/>
        <w:ind w:left="2268" w:hanging="1134"/>
        <w:jc w:val="left"/>
        <w:rPr>
          <w:lang w:val="fr-FR"/>
        </w:rPr>
      </w:pPr>
      <w:r>
        <w:rPr>
          <w:lang w:val="fr-FR"/>
        </w:rPr>
        <w:t>« </w:t>
      </w:r>
      <w:r w:rsidRPr="00A241BD">
        <w:rPr>
          <w:lang w:val="fr-FR"/>
        </w:rPr>
        <w:t>3.4.2.2.4</w:t>
      </w:r>
      <w:r w:rsidRPr="00A241BD">
        <w:rPr>
          <w:lang w:val="fr-FR"/>
        </w:rPr>
        <w:tab/>
      </w:r>
      <w:r w:rsidRPr="00CC3935">
        <w:rPr>
          <w:i/>
          <w:iCs/>
          <w:lang w:val="fr-FR"/>
        </w:rPr>
        <w:t xml:space="preserve">Classification fondée sur des méthodes définies </w:t>
      </w:r>
      <w:r w:rsidR="00072B6C" w:rsidRPr="00CC3935">
        <w:rPr>
          <w:i/>
          <w:iCs/>
          <w:lang w:val="fr-FR"/>
        </w:rPr>
        <w:br/>
      </w:r>
      <w:r w:rsidRPr="00CC3935">
        <w:rPr>
          <w:i/>
          <w:iCs/>
          <w:lang w:val="fr-FR"/>
        </w:rPr>
        <w:t>(étape 1 ou étape 2 dans la figure 3.4.1)</w:t>
      </w:r>
    </w:p>
    <w:p w14:paraId="1955CE6E" w14:textId="77777777" w:rsidR="00B178A7" w:rsidRPr="00A241BD" w:rsidRDefault="00B178A7" w:rsidP="005838E8">
      <w:pPr>
        <w:pStyle w:val="SingleTxtG"/>
        <w:keepLines/>
        <w:ind w:left="2268" w:hanging="1134"/>
        <w:rPr>
          <w:lang w:val="fr-FR"/>
        </w:rPr>
      </w:pPr>
      <w:r w:rsidRPr="00A241BD">
        <w:rPr>
          <w:lang w:val="fr-FR"/>
        </w:rPr>
        <w:t>3.4.2.2.4.1</w:t>
      </w:r>
      <w:r>
        <w:rPr>
          <w:lang w:val="fr-FR"/>
        </w:rPr>
        <w:tab/>
      </w:r>
      <w:r w:rsidRPr="00A241BD">
        <w:rPr>
          <w:lang w:val="fr-FR"/>
        </w:rPr>
        <w:t>Les</w:t>
      </w:r>
      <w:r>
        <w:rPr>
          <w:lang w:val="fr-FR"/>
        </w:rPr>
        <w:t xml:space="preserve"> méthodes définies </w:t>
      </w:r>
      <w:r w:rsidRPr="00A241BD">
        <w:rPr>
          <w:lang w:val="fr-FR"/>
        </w:rPr>
        <w:t xml:space="preserve">consistent en </w:t>
      </w:r>
      <w:r>
        <w:rPr>
          <w:lang w:val="fr-FR"/>
        </w:rPr>
        <w:t xml:space="preserve">des </w:t>
      </w:r>
      <w:r w:rsidRPr="00A241BD">
        <w:rPr>
          <w:lang w:val="fr-FR"/>
        </w:rPr>
        <w:t>combinaison</w:t>
      </w:r>
      <w:r>
        <w:rPr>
          <w:lang w:val="fr-FR"/>
        </w:rPr>
        <w:t>s</w:t>
      </w:r>
      <w:r w:rsidRPr="00A241BD">
        <w:rPr>
          <w:lang w:val="fr-FR"/>
        </w:rPr>
        <w:t xml:space="preserve">, </w:t>
      </w:r>
      <w:r>
        <w:rPr>
          <w:lang w:val="fr-FR"/>
        </w:rPr>
        <w:t>fond</w:t>
      </w:r>
      <w:r w:rsidRPr="00A241BD">
        <w:rPr>
          <w:lang w:val="fr-FR"/>
        </w:rPr>
        <w:t>ée</w:t>
      </w:r>
      <w:r>
        <w:rPr>
          <w:lang w:val="fr-FR"/>
        </w:rPr>
        <w:t>s</w:t>
      </w:r>
      <w:r w:rsidRPr="00A241BD">
        <w:rPr>
          <w:lang w:val="fr-FR"/>
        </w:rPr>
        <w:t xml:space="preserve"> sur des règles, de données obtenues à partir d</w:t>
      </w:r>
      <w:r>
        <w:rPr>
          <w:lang w:val="fr-FR"/>
        </w:rPr>
        <w:t>’</w:t>
      </w:r>
      <w:r w:rsidRPr="00A241BD">
        <w:rPr>
          <w:lang w:val="fr-FR"/>
        </w:rPr>
        <w:t>un ensemble prédéfini de sources d</w:t>
      </w:r>
      <w:r>
        <w:rPr>
          <w:lang w:val="fr-FR"/>
        </w:rPr>
        <w:t>’</w:t>
      </w:r>
      <w:r w:rsidRPr="00A241BD">
        <w:rPr>
          <w:lang w:val="fr-FR"/>
        </w:rPr>
        <w:t>information différentes (par exemple</w:t>
      </w:r>
      <w:r>
        <w:rPr>
          <w:lang w:val="fr-FR"/>
        </w:rPr>
        <w:t xml:space="preserve"> </w:t>
      </w:r>
      <w:r w:rsidRPr="00A241BD">
        <w:rPr>
          <w:lang w:val="fr-FR"/>
        </w:rPr>
        <w:t xml:space="preserve">méthodes </w:t>
      </w:r>
      <w:r w:rsidRPr="00A241BD">
        <w:rPr>
          <w:i/>
          <w:lang w:val="fr-FR"/>
        </w:rPr>
        <w:t xml:space="preserve">in </w:t>
      </w:r>
      <w:proofErr w:type="spellStart"/>
      <w:r w:rsidRPr="00A241BD">
        <w:rPr>
          <w:i/>
          <w:lang w:val="fr-FR"/>
        </w:rPr>
        <w:t>chemico</w:t>
      </w:r>
      <w:proofErr w:type="spellEnd"/>
      <w:r w:rsidRPr="00A241BD">
        <w:rPr>
          <w:i/>
          <w:iCs/>
          <w:lang w:val="fr-FR"/>
        </w:rPr>
        <w:t xml:space="preserve">, </w:t>
      </w:r>
      <w:r w:rsidRPr="00A241BD">
        <w:rPr>
          <w:lang w:val="fr-FR"/>
        </w:rPr>
        <w:t xml:space="preserve">méthodes </w:t>
      </w:r>
      <w:r w:rsidRPr="00A241BD">
        <w:rPr>
          <w:i/>
          <w:iCs/>
          <w:lang w:val="fr-FR"/>
        </w:rPr>
        <w:t>in vitro</w:t>
      </w:r>
      <w:r w:rsidRPr="00A241BD">
        <w:rPr>
          <w:lang w:val="fr-FR"/>
        </w:rPr>
        <w:t>, propriétés physico-chimiques</w:t>
      </w:r>
      <w:r>
        <w:rPr>
          <w:lang w:val="fr-FR"/>
        </w:rPr>
        <w:t xml:space="preserve"> ou </w:t>
      </w:r>
      <w:r w:rsidRPr="000A24D6">
        <w:rPr>
          <w:lang w:val="fr-FR"/>
        </w:rPr>
        <w:t>méthodes non fondées sur des essais</w:t>
      </w:r>
      <w:r w:rsidRPr="00A241BD">
        <w:rPr>
          <w:lang w:val="fr-FR"/>
        </w:rPr>
        <w:t xml:space="preserve">). Il est reconnu que la plupart des </w:t>
      </w:r>
      <w:r w:rsidRPr="00A9685D">
        <w:rPr>
          <w:lang w:val="fr-FR"/>
        </w:rPr>
        <w:t>méthodes d</w:t>
      </w:r>
      <w:r>
        <w:rPr>
          <w:lang w:val="fr-FR"/>
        </w:rPr>
        <w:t>’</w:t>
      </w:r>
      <w:r w:rsidRPr="00A9685D">
        <w:rPr>
          <w:lang w:val="fr-FR"/>
        </w:rPr>
        <w:t xml:space="preserve">expérimentation non animales </w:t>
      </w:r>
      <w:r w:rsidRPr="00A241BD">
        <w:rPr>
          <w:lang w:val="fr-FR"/>
        </w:rPr>
        <w:t xml:space="preserve">ne sont pas en mesure de remplacer entièrement les méthodes </w:t>
      </w:r>
      <w:r w:rsidRPr="00A241BD">
        <w:rPr>
          <w:i/>
          <w:lang w:val="fr-FR"/>
        </w:rPr>
        <w:t xml:space="preserve">in vivo </w:t>
      </w:r>
      <w:r w:rsidRPr="00A241BD">
        <w:rPr>
          <w:lang w:val="fr-FR"/>
        </w:rPr>
        <w:t xml:space="preserve">pour la plupart des </w:t>
      </w:r>
      <w:r>
        <w:rPr>
          <w:lang w:val="fr-FR"/>
        </w:rPr>
        <w:t>effets visés</w:t>
      </w:r>
      <w:r w:rsidRPr="00D75F15">
        <w:rPr>
          <w:lang w:val="fr-FR"/>
        </w:rPr>
        <w:t xml:space="preserve"> par </w:t>
      </w:r>
      <w:r>
        <w:rPr>
          <w:lang w:val="fr-FR"/>
        </w:rPr>
        <w:t xml:space="preserve">la </w:t>
      </w:r>
      <w:r w:rsidRPr="00D75F15">
        <w:rPr>
          <w:lang w:val="fr-FR"/>
        </w:rPr>
        <w:t>réglementation</w:t>
      </w:r>
      <w:r w:rsidRPr="00A241BD">
        <w:rPr>
          <w:lang w:val="fr-FR"/>
        </w:rPr>
        <w:t xml:space="preserve">. </w:t>
      </w:r>
      <w:r w:rsidRPr="00D75F15">
        <w:rPr>
          <w:lang w:val="fr-FR"/>
        </w:rPr>
        <w:t xml:space="preserve">Dans ce contexte, les méthodes définies peuvent avantageusement servir à combiner des données </w:t>
      </w:r>
      <w:r>
        <w:rPr>
          <w:lang w:val="fr-FR"/>
        </w:rPr>
        <w:t>afin de classer les</w:t>
      </w:r>
      <w:r w:rsidRPr="00D75F15">
        <w:rPr>
          <w:lang w:val="fr-FR"/>
        </w:rPr>
        <w:t xml:space="preserve"> substances et </w:t>
      </w:r>
      <w:r>
        <w:rPr>
          <w:lang w:val="fr-FR"/>
        </w:rPr>
        <w:t>l</w:t>
      </w:r>
      <w:r w:rsidRPr="00D75F15">
        <w:rPr>
          <w:lang w:val="fr-FR"/>
        </w:rPr>
        <w:t>es mélanges</w:t>
      </w:r>
      <w:r w:rsidRPr="00A241BD">
        <w:rPr>
          <w:lang w:val="fr-FR"/>
        </w:rPr>
        <w:t xml:space="preserve">. Les résultats obtenus avec une </w:t>
      </w:r>
      <w:r>
        <w:rPr>
          <w:lang w:val="fr-FR"/>
        </w:rPr>
        <w:t>méthode</w:t>
      </w:r>
      <w:r w:rsidRPr="00A241BD">
        <w:rPr>
          <w:lang w:val="fr-FR"/>
        </w:rPr>
        <w:t xml:space="preserve"> définie validée selon des procédures internationales, telles que l</w:t>
      </w:r>
      <w:r>
        <w:rPr>
          <w:lang w:val="fr-FR"/>
        </w:rPr>
        <w:t>a</w:t>
      </w:r>
      <w:r w:rsidRPr="00A241BD">
        <w:rPr>
          <w:lang w:val="fr-FR"/>
        </w:rPr>
        <w:t xml:space="preserve"> </w:t>
      </w:r>
      <w:r>
        <w:rPr>
          <w:lang w:val="fr-FR"/>
        </w:rPr>
        <w:t>Ligne directrice</w:t>
      </w:r>
      <w:r w:rsidRPr="00A241BD">
        <w:rPr>
          <w:lang w:val="fr-FR"/>
        </w:rPr>
        <w:t xml:space="preserve"> 497 de l</w:t>
      </w:r>
      <w:r>
        <w:rPr>
          <w:lang w:val="fr-FR"/>
        </w:rPr>
        <w:t>’</w:t>
      </w:r>
      <w:r w:rsidRPr="00A241BD">
        <w:rPr>
          <w:lang w:val="fr-FR"/>
        </w:rPr>
        <w:t xml:space="preserve">OCDE ou une </w:t>
      </w:r>
      <w:r>
        <w:rPr>
          <w:lang w:val="fr-FR"/>
        </w:rPr>
        <w:t>méthode</w:t>
      </w:r>
      <w:r w:rsidRPr="00A241BD">
        <w:rPr>
          <w:lang w:val="fr-FR"/>
        </w:rPr>
        <w:t xml:space="preserve"> équivalente, sont concluants pour </w:t>
      </w:r>
      <w:r>
        <w:rPr>
          <w:lang w:val="fr-FR"/>
        </w:rPr>
        <w:t>le classement en ce qui concerne</w:t>
      </w:r>
      <w:r w:rsidRPr="00A241BD">
        <w:rPr>
          <w:lang w:val="fr-FR"/>
        </w:rPr>
        <w:t xml:space="preserve"> la sensibilisation cutanée s</w:t>
      </w:r>
      <w:r>
        <w:rPr>
          <w:lang w:val="fr-FR"/>
        </w:rPr>
        <w:t>’il est satisfait aux</w:t>
      </w:r>
      <w:r w:rsidRPr="00A241BD">
        <w:rPr>
          <w:lang w:val="fr-FR"/>
        </w:rPr>
        <w:t xml:space="preserve"> critères de </w:t>
      </w:r>
      <w:r>
        <w:rPr>
          <w:lang w:val="fr-FR"/>
        </w:rPr>
        <w:t>la méthode</w:t>
      </w:r>
      <w:r w:rsidRPr="00A241BD">
        <w:rPr>
          <w:lang w:val="fr-FR"/>
        </w:rPr>
        <w:t xml:space="preserve"> définie </w:t>
      </w:r>
      <w:r>
        <w:rPr>
          <w:lang w:val="fr-FR"/>
        </w:rPr>
        <w:t>concernée</w:t>
      </w:r>
      <w:r w:rsidRPr="00A241BD">
        <w:rPr>
          <w:lang w:val="fr-FR"/>
        </w:rPr>
        <w:t xml:space="preserve"> </w:t>
      </w:r>
      <w:bookmarkStart w:id="25" w:name="_Hlk117005958"/>
      <w:r w:rsidRPr="00A241BD">
        <w:rPr>
          <w:lang w:val="fr-FR"/>
        </w:rPr>
        <w:t>(voir tableau 3.4.6)</w:t>
      </w:r>
      <w:r w:rsidRPr="00AB18F7">
        <w:rPr>
          <w:sz w:val="18"/>
          <w:szCs w:val="18"/>
          <w:vertAlign w:val="superscript"/>
          <w:lang w:val="fr-FR"/>
        </w:rPr>
        <w:t>3</w:t>
      </w:r>
      <w:bookmarkEnd w:id="25"/>
      <w:r w:rsidRPr="00A241BD">
        <w:rPr>
          <w:lang w:val="fr-FR"/>
        </w:rPr>
        <w:t xml:space="preserve">. Les données </w:t>
      </w:r>
      <w:r w:rsidRPr="00D75F15">
        <w:rPr>
          <w:lang w:val="fr-FR"/>
        </w:rPr>
        <w:t xml:space="preserve">obtenues au moyen </w:t>
      </w:r>
      <w:r w:rsidRPr="00A241BD">
        <w:rPr>
          <w:lang w:val="fr-FR"/>
        </w:rPr>
        <w:t>d</w:t>
      </w:r>
      <w:r>
        <w:rPr>
          <w:lang w:val="fr-FR"/>
        </w:rPr>
        <w:t>’</w:t>
      </w:r>
      <w:r w:rsidRPr="00A241BD">
        <w:rPr>
          <w:lang w:val="fr-FR"/>
        </w:rPr>
        <w:t xml:space="preserve">une </w:t>
      </w:r>
      <w:r>
        <w:rPr>
          <w:lang w:val="fr-FR"/>
        </w:rPr>
        <w:t>méthode</w:t>
      </w:r>
      <w:r w:rsidRPr="00A241BD">
        <w:rPr>
          <w:lang w:val="fr-FR"/>
        </w:rPr>
        <w:t xml:space="preserve"> définie </w:t>
      </w:r>
      <w:r w:rsidRPr="00D75F15">
        <w:rPr>
          <w:lang w:val="fr-FR"/>
        </w:rPr>
        <w:t>ne peuvent être utilisées à des fins de classement que lorsque la substance soumise à l</w:t>
      </w:r>
      <w:r>
        <w:rPr>
          <w:lang w:val="fr-FR"/>
        </w:rPr>
        <w:t>’</w:t>
      </w:r>
      <w:r w:rsidRPr="00D75F15">
        <w:rPr>
          <w:lang w:val="fr-FR"/>
        </w:rPr>
        <w:t>essai relève du domaine d</w:t>
      </w:r>
      <w:r>
        <w:rPr>
          <w:lang w:val="fr-FR"/>
        </w:rPr>
        <w:t>’</w:t>
      </w:r>
      <w:r w:rsidRPr="00D75F15">
        <w:rPr>
          <w:lang w:val="fr-FR"/>
        </w:rPr>
        <w:t>application de ladite méthode définie</w:t>
      </w:r>
      <w:r w:rsidRPr="00A241BD">
        <w:rPr>
          <w:lang w:val="fr-FR"/>
        </w:rPr>
        <w:t xml:space="preserve">. </w:t>
      </w:r>
      <w:r w:rsidRPr="00D75F15">
        <w:rPr>
          <w:lang w:val="fr-FR"/>
        </w:rPr>
        <w:t xml:space="preserve">Les limites supplémentaires décrites dans </w:t>
      </w:r>
      <w:r>
        <w:rPr>
          <w:lang w:val="fr-FR"/>
        </w:rPr>
        <w:t xml:space="preserve">des publications </w:t>
      </w:r>
      <w:r w:rsidRPr="00D75F15">
        <w:rPr>
          <w:lang w:val="fr-FR"/>
        </w:rPr>
        <w:t>doivent également être prises en compte</w:t>
      </w:r>
      <w:r w:rsidRPr="00A241BD">
        <w:rPr>
          <w:lang w:val="fr-FR"/>
        </w:rPr>
        <w:t>.</w:t>
      </w:r>
    </w:p>
    <w:p w14:paraId="39E9E291" w14:textId="77777777" w:rsidR="00B178A7" w:rsidRPr="00A241BD" w:rsidRDefault="00B178A7" w:rsidP="00072B6C">
      <w:pPr>
        <w:pStyle w:val="SingleTxtG"/>
        <w:keepLines/>
        <w:ind w:left="2268" w:hanging="1134"/>
        <w:rPr>
          <w:lang w:val="fr-FR"/>
        </w:rPr>
      </w:pPr>
      <w:r w:rsidRPr="00C34078">
        <w:rPr>
          <w:lang w:val="fr-FR"/>
        </w:rPr>
        <w:lastRenderedPageBreak/>
        <w:t>3.4.2.2.4.2</w:t>
      </w:r>
      <w:r w:rsidRPr="00C34078">
        <w:rPr>
          <w:lang w:val="fr-FR"/>
        </w:rPr>
        <w:tab/>
        <w:t>Lorsque les résultats des méthodes définies se voient attribuer un degré de confiance, par exemple dans la Ligne directrice 497 de l’OCDE, un résultat peu fiable d’une méthode définie ne peut pas être utilisé seul à des fins de classement, mais peut être pris en compte en combinaison avec d’autres données de l’étape 2.</w:t>
      </w:r>
    </w:p>
    <w:p w14:paraId="5CA5A260" w14:textId="77777777" w:rsidR="00B178A7" w:rsidRPr="00A241BD" w:rsidRDefault="00B178A7" w:rsidP="00072B6C">
      <w:pPr>
        <w:pStyle w:val="SingleTxtG"/>
        <w:keepLines/>
        <w:ind w:left="2268" w:hanging="1134"/>
        <w:rPr>
          <w:lang w:val="fr-FR"/>
        </w:rPr>
      </w:pPr>
      <w:r w:rsidRPr="00A241BD">
        <w:rPr>
          <w:lang w:val="fr-FR"/>
        </w:rPr>
        <w:t>3.4.2.2.4.3</w:t>
      </w:r>
      <w:r>
        <w:rPr>
          <w:lang w:val="fr-FR"/>
        </w:rPr>
        <w:tab/>
      </w:r>
      <w:r w:rsidRPr="00A241BD">
        <w:rPr>
          <w:lang w:val="fr-FR"/>
        </w:rPr>
        <w:t>Certains</w:t>
      </w:r>
      <w:r>
        <w:rPr>
          <w:lang w:val="fr-FR"/>
        </w:rPr>
        <w:t xml:space="preserve"> éléments de </w:t>
      </w:r>
      <w:r w:rsidRPr="00A241BD">
        <w:rPr>
          <w:lang w:val="fr-FR"/>
        </w:rPr>
        <w:t xml:space="preserve">preuve peuvent être utilisés individuellement et dans </w:t>
      </w:r>
      <w:r>
        <w:rPr>
          <w:lang w:val="fr-FR"/>
        </w:rPr>
        <w:t>le cadre de</w:t>
      </w:r>
      <w:r w:rsidRPr="00A241BD">
        <w:rPr>
          <w:lang w:val="fr-FR"/>
        </w:rPr>
        <w:t xml:space="preserve"> </w:t>
      </w:r>
      <w:r>
        <w:rPr>
          <w:lang w:val="fr-FR"/>
        </w:rPr>
        <w:t>méthodes définies</w:t>
      </w:r>
      <w:r w:rsidRPr="00A241BD">
        <w:rPr>
          <w:lang w:val="fr-FR"/>
        </w:rPr>
        <w:t xml:space="preserve">. </w:t>
      </w:r>
      <w:r>
        <w:rPr>
          <w:lang w:val="fr-FR"/>
        </w:rPr>
        <w:t xml:space="preserve">Un élément de </w:t>
      </w:r>
      <w:r w:rsidRPr="00A241BD">
        <w:rPr>
          <w:lang w:val="fr-FR"/>
        </w:rPr>
        <w:t xml:space="preserve">preuve utilisé dans </w:t>
      </w:r>
      <w:r>
        <w:rPr>
          <w:lang w:val="fr-FR"/>
        </w:rPr>
        <w:t>le cadre d’une</w:t>
      </w:r>
      <w:r w:rsidRPr="00A241BD">
        <w:rPr>
          <w:lang w:val="fr-FR"/>
        </w:rPr>
        <w:t xml:space="preserve"> </w:t>
      </w:r>
      <w:r>
        <w:rPr>
          <w:lang w:val="fr-FR"/>
        </w:rPr>
        <w:t>méthode définie</w:t>
      </w:r>
      <w:r w:rsidRPr="00A241BD">
        <w:rPr>
          <w:lang w:val="fr-FR"/>
        </w:rPr>
        <w:t xml:space="preserve"> ne doit pas être </w:t>
      </w:r>
      <w:r>
        <w:rPr>
          <w:lang w:val="fr-FR"/>
        </w:rPr>
        <w:t xml:space="preserve">également </w:t>
      </w:r>
      <w:r w:rsidRPr="00A241BD">
        <w:rPr>
          <w:lang w:val="fr-FR"/>
        </w:rPr>
        <w:t xml:space="preserve">utilisé </w:t>
      </w:r>
      <w:r>
        <w:rPr>
          <w:lang w:val="fr-FR"/>
        </w:rPr>
        <w:t>seul</w:t>
      </w:r>
      <w:r w:rsidRPr="00A241BD">
        <w:rPr>
          <w:lang w:val="fr-FR"/>
        </w:rPr>
        <w:t xml:space="preserve"> dans </w:t>
      </w:r>
      <w:r>
        <w:rPr>
          <w:lang w:val="fr-FR"/>
        </w:rPr>
        <w:t>le cadre d’</w:t>
      </w:r>
      <w:r w:rsidRPr="00A241BD">
        <w:rPr>
          <w:lang w:val="fr-FR"/>
        </w:rPr>
        <w:t xml:space="preserve">une évaluation de </w:t>
      </w:r>
      <w:r w:rsidRPr="0063183B">
        <w:rPr>
          <w:lang w:val="fr-FR"/>
        </w:rPr>
        <w:t>la force probante des données</w:t>
      </w:r>
      <w:r w:rsidRPr="00A241BD">
        <w:rPr>
          <w:lang w:val="fr-FR"/>
        </w:rPr>
        <w:t>.</w:t>
      </w:r>
    </w:p>
    <w:p w14:paraId="59532493" w14:textId="2769DF97" w:rsidR="00B178A7" w:rsidRPr="00A241BD" w:rsidRDefault="00B178A7" w:rsidP="00C34078">
      <w:pPr>
        <w:pStyle w:val="SingleTxtG"/>
        <w:keepLines/>
        <w:ind w:left="2268" w:hanging="1134"/>
        <w:jc w:val="left"/>
        <w:rPr>
          <w:lang w:val="fr-FR"/>
        </w:rPr>
      </w:pPr>
      <w:r w:rsidRPr="00A241BD">
        <w:rPr>
          <w:lang w:val="fr-FR"/>
        </w:rPr>
        <w:t>3.4.2.2.5</w:t>
      </w:r>
      <w:r w:rsidRPr="00A241BD">
        <w:rPr>
          <w:lang w:val="fr-FR"/>
        </w:rPr>
        <w:tab/>
      </w:r>
      <w:r w:rsidRPr="00CC3935">
        <w:rPr>
          <w:i/>
          <w:iCs/>
          <w:lang w:val="fr-FR"/>
        </w:rPr>
        <w:t xml:space="preserve">Classification fondée sur des données in </w:t>
      </w:r>
      <w:proofErr w:type="spellStart"/>
      <w:r w:rsidRPr="00CC3935">
        <w:rPr>
          <w:i/>
          <w:iCs/>
          <w:lang w:val="fr-FR"/>
        </w:rPr>
        <w:t>chemico</w:t>
      </w:r>
      <w:proofErr w:type="spellEnd"/>
      <w:r w:rsidRPr="00CC3935">
        <w:rPr>
          <w:i/>
          <w:iCs/>
          <w:lang w:val="fr-FR"/>
        </w:rPr>
        <w:t xml:space="preserve">/in vitro </w:t>
      </w:r>
      <w:r w:rsidR="00C34078" w:rsidRPr="00CC3935">
        <w:rPr>
          <w:i/>
          <w:iCs/>
          <w:lang w:val="fr-FR"/>
        </w:rPr>
        <w:br/>
      </w:r>
      <w:r w:rsidRPr="00CC3935">
        <w:rPr>
          <w:i/>
          <w:iCs/>
          <w:lang w:val="fr-FR"/>
        </w:rPr>
        <w:t>(étape 1 ou étape 2 dans la figure 3.4.1)</w:t>
      </w:r>
    </w:p>
    <w:p w14:paraId="65AF043A" w14:textId="2C0C7617" w:rsidR="00B178A7" w:rsidRPr="00A241BD" w:rsidRDefault="00B178A7" w:rsidP="00072B6C">
      <w:pPr>
        <w:pStyle w:val="SingleTxtG"/>
        <w:keepLines/>
        <w:ind w:left="2268" w:hanging="1134"/>
        <w:rPr>
          <w:lang w:val="fr-FR"/>
        </w:rPr>
      </w:pPr>
      <w:r w:rsidRPr="00A241BD">
        <w:rPr>
          <w:lang w:val="fr-FR"/>
        </w:rPr>
        <w:t>3.4.2.2.5.1</w:t>
      </w:r>
      <w:r>
        <w:rPr>
          <w:lang w:val="fr-FR"/>
        </w:rPr>
        <w:tab/>
      </w:r>
      <w:r w:rsidRPr="00A241BD">
        <w:rPr>
          <w:lang w:val="fr-FR"/>
        </w:rPr>
        <w:t xml:space="preserve">Les méthodes </w:t>
      </w:r>
      <w:r>
        <w:rPr>
          <w:i/>
          <w:iCs/>
          <w:lang w:val="fr-FR"/>
        </w:rPr>
        <w:t xml:space="preserve">in </w:t>
      </w:r>
      <w:proofErr w:type="spellStart"/>
      <w:r>
        <w:rPr>
          <w:i/>
          <w:iCs/>
          <w:lang w:val="fr-FR"/>
        </w:rPr>
        <w:t>chemico</w:t>
      </w:r>
      <w:proofErr w:type="spellEnd"/>
      <w:r>
        <w:rPr>
          <w:i/>
          <w:iCs/>
          <w:lang w:val="fr-FR"/>
        </w:rPr>
        <w:t xml:space="preserve">/in vitro </w:t>
      </w:r>
      <w:r w:rsidRPr="00A241BD">
        <w:rPr>
          <w:lang w:val="fr-FR"/>
        </w:rPr>
        <w:t xml:space="preserve">actuellement disponibles portent sur des mécanismes biologiques </w:t>
      </w:r>
      <w:r>
        <w:rPr>
          <w:lang w:val="fr-FR"/>
        </w:rPr>
        <w:t>déterminés</w:t>
      </w:r>
      <w:r w:rsidRPr="00A241BD">
        <w:rPr>
          <w:lang w:val="fr-FR"/>
        </w:rPr>
        <w:t xml:space="preserve"> conduisant à l</w:t>
      </w:r>
      <w:r>
        <w:rPr>
          <w:lang w:val="fr-FR"/>
        </w:rPr>
        <w:t>’</w:t>
      </w:r>
      <w:r w:rsidRPr="00A241BD">
        <w:rPr>
          <w:lang w:val="fr-FR"/>
        </w:rPr>
        <w:t>acquisition d</w:t>
      </w:r>
      <w:r>
        <w:rPr>
          <w:lang w:val="fr-FR"/>
        </w:rPr>
        <w:t>’</w:t>
      </w:r>
      <w:r w:rsidRPr="00A241BD">
        <w:rPr>
          <w:lang w:val="fr-FR"/>
        </w:rPr>
        <w:t>une sensibilisation cutanée, comme décrit, par exemple, dans</w:t>
      </w:r>
      <w:r>
        <w:rPr>
          <w:lang w:val="fr-FR"/>
        </w:rPr>
        <w:t xml:space="preserve"> la publication intitulée</w:t>
      </w:r>
      <w:r w:rsidRPr="00A241BD">
        <w:rPr>
          <w:lang w:val="fr-FR"/>
        </w:rPr>
        <w:t xml:space="preserve"> </w:t>
      </w:r>
      <w:r>
        <w:rPr>
          <w:lang w:val="fr-FR"/>
        </w:rPr>
        <w:t>« </w:t>
      </w:r>
      <w:r w:rsidRPr="00C945A3">
        <w:rPr>
          <w:lang w:val="fr-FR"/>
        </w:rPr>
        <w:t xml:space="preserve">Adverse </w:t>
      </w:r>
      <w:proofErr w:type="spellStart"/>
      <w:r w:rsidRPr="00C945A3">
        <w:rPr>
          <w:lang w:val="fr-FR"/>
        </w:rPr>
        <w:t>Outcome</w:t>
      </w:r>
      <w:proofErr w:type="spellEnd"/>
      <w:r w:rsidRPr="00C945A3">
        <w:rPr>
          <w:lang w:val="fr-FR"/>
        </w:rPr>
        <w:t xml:space="preserve"> </w:t>
      </w:r>
      <w:proofErr w:type="spellStart"/>
      <w:r w:rsidRPr="00C945A3">
        <w:rPr>
          <w:lang w:val="fr-FR"/>
        </w:rPr>
        <w:t>Pathway</w:t>
      </w:r>
      <w:proofErr w:type="spellEnd"/>
      <w:r w:rsidRPr="00C945A3">
        <w:rPr>
          <w:lang w:val="fr-FR"/>
        </w:rPr>
        <w:t xml:space="preserve"> for Skin </w:t>
      </w:r>
      <w:proofErr w:type="spellStart"/>
      <w:r w:rsidRPr="00C945A3">
        <w:rPr>
          <w:lang w:val="fr-FR"/>
        </w:rPr>
        <w:t>Sensitisation</w:t>
      </w:r>
      <w:proofErr w:type="spellEnd"/>
      <w:r>
        <w:rPr>
          <w:lang w:val="fr-FR"/>
        </w:rPr>
        <w:t> »</w:t>
      </w:r>
      <w:r w:rsidRPr="00A241BD">
        <w:rPr>
          <w:lang w:val="fr-FR"/>
        </w:rPr>
        <w:t xml:space="preserve"> (</w:t>
      </w:r>
      <w:r w:rsidR="00C34078">
        <w:rPr>
          <w:lang w:val="fr-FR"/>
        </w:rPr>
        <w:t xml:space="preserve">voir </w:t>
      </w:r>
      <w:r w:rsidRPr="00A241BD">
        <w:rPr>
          <w:lang w:val="fr-FR"/>
        </w:rPr>
        <w:t>OCDE, 2014). Les méthodes d</w:t>
      </w:r>
      <w:r>
        <w:rPr>
          <w:lang w:val="fr-FR"/>
        </w:rPr>
        <w:t>’</w:t>
      </w:r>
      <w:r w:rsidRPr="00A241BD">
        <w:rPr>
          <w:lang w:val="fr-FR"/>
        </w:rPr>
        <w:t xml:space="preserve">essai validées selon des procédures internationales et acceptées en tant que méthodes autonomes peuvent être utilisées pour </w:t>
      </w:r>
      <w:r>
        <w:rPr>
          <w:lang w:val="fr-FR"/>
        </w:rPr>
        <w:t>aboutir</w:t>
      </w:r>
      <w:r w:rsidRPr="00A241BD">
        <w:rPr>
          <w:lang w:val="fr-FR"/>
        </w:rPr>
        <w:t xml:space="preserve"> à </w:t>
      </w:r>
      <w:r>
        <w:rPr>
          <w:lang w:val="fr-FR"/>
        </w:rPr>
        <w:t>un classement</w:t>
      </w:r>
      <w:r w:rsidRPr="00A241BD">
        <w:rPr>
          <w:lang w:val="fr-FR"/>
        </w:rPr>
        <w:t xml:space="preserve"> </w:t>
      </w:r>
      <w:r>
        <w:rPr>
          <w:lang w:val="fr-FR"/>
        </w:rPr>
        <w:t>à</w:t>
      </w:r>
      <w:r w:rsidRPr="002D0727">
        <w:rPr>
          <w:lang w:val="fr-FR"/>
        </w:rPr>
        <w:t xml:space="preserve"> l</w:t>
      </w:r>
      <w:r>
        <w:rPr>
          <w:lang w:val="fr-FR"/>
        </w:rPr>
        <w:t>’</w:t>
      </w:r>
      <w:r w:rsidRPr="002D0727">
        <w:rPr>
          <w:lang w:val="fr-FR"/>
        </w:rPr>
        <w:t>étape</w:t>
      </w:r>
      <w:r>
        <w:rPr>
          <w:lang w:val="fr-FR"/>
        </w:rPr>
        <w:t> </w:t>
      </w:r>
      <w:r w:rsidRPr="00A241BD">
        <w:rPr>
          <w:lang w:val="fr-FR"/>
        </w:rPr>
        <w:t>1. Une autorité compétente peut décider d</w:t>
      </w:r>
      <w:r>
        <w:rPr>
          <w:lang w:val="fr-FR"/>
        </w:rPr>
        <w:t>’</w:t>
      </w:r>
      <w:r w:rsidRPr="00A241BD">
        <w:rPr>
          <w:lang w:val="fr-FR"/>
        </w:rPr>
        <w:t>utiliser la méthode décrite à l</w:t>
      </w:r>
      <w:r>
        <w:rPr>
          <w:lang w:val="fr-FR"/>
        </w:rPr>
        <w:t>’</w:t>
      </w:r>
      <w:r w:rsidRPr="00A241BD">
        <w:rPr>
          <w:lang w:val="fr-FR"/>
        </w:rPr>
        <w:t>annexe III de</w:t>
      </w:r>
      <w:r>
        <w:rPr>
          <w:lang w:val="fr-FR"/>
        </w:rPr>
        <w:t xml:space="preserve"> la</w:t>
      </w:r>
      <w:r w:rsidRPr="00A241BD">
        <w:rPr>
          <w:lang w:val="fr-FR"/>
        </w:rPr>
        <w:t xml:space="preserve"> </w:t>
      </w:r>
      <w:r>
        <w:rPr>
          <w:lang w:val="fr-FR"/>
        </w:rPr>
        <w:t>Ligne directrice</w:t>
      </w:r>
      <w:r w:rsidRPr="00A241BD">
        <w:rPr>
          <w:lang w:val="fr-FR"/>
        </w:rPr>
        <w:t xml:space="preserve"> 442C de l</w:t>
      </w:r>
      <w:r>
        <w:rPr>
          <w:lang w:val="fr-FR"/>
        </w:rPr>
        <w:t>’</w:t>
      </w:r>
      <w:r w:rsidRPr="00A241BD">
        <w:rPr>
          <w:lang w:val="fr-FR"/>
        </w:rPr>
        <w:t xml:space="preserve">OCDE en tant que méthode autonome pour établir une distinction entre les </w:t>
      </w:r>
      <w:r>
        <w:rPr>
          <w:lang w:val="fr-FR"/>
        </w:rPr>
        <w:t>substance</w:t>
      </w:r>
      <w:r w:rsidRPr="00A241BD">
        <w:rPr>
          <w:lang w:val="fr-FR"/>
        </w:rPr>
        <w:t>s de catégorie 1A et celles qui ne sont pas classées dans cette catégorie (voir</w:t>
      </w:r>
      <w:r>
        <w:rPr>
          <w:lang w:val="fr-FR"/>
        </w:rPr>
        <w:t> </w:t>
      </w:r>
      <w:r w:rsidRPr="00A241BD">
        <w:rPr>
          <w:lang w:val="fr-FR"/>
        </w:rPr>
        <w:t xml:space="preserve">3.4.5.3.5). </w:t>
      </w:r>
    </w:p>
    <w:p w14:paraId="06420355" w14:textId="17371526" w:rsidR="00B178A7" w:rsidRPr="00A241BD" w:rsidRDefault="00B178A7" w:rsidP="00072B6C">
      <w:pPr>
        <w:pStyle w:val="SingleTxtG"/>
        <w:keepLines/>
        <w:ind w:left="2268" w:hanging="1134"/>
        <w:rPr>
          <w:lang w:val="fr-FR"/>
        </w:rPr>
      </w:pPr>
      <w:r w:rsidRPr="00A241BD">
        <w:rPr>
          <w:lang w:val="fr-FR"/>
        </w:rPr>
        <w:t>3.4.2.2.5.2</w:t>
      </w:r>
      <w:r>
        <w:rPr>
          <w:lang w:val="fr-FR"/>
        </w:rPr>
        <w:tab/>
        <w:t>Les résultats d’</w:t>
      </w:r>
      <w:r w:rsidRPr="00A241BD">
        <w:rPr>
          <w:lang w:val="fr-FR"/>
        </w:rPr>
        <w:t xml:space="preserve">autres méthodes </w:t>
      </w:r>
      <w:r>
        <w:rPr>
          <w:i/>
          <w:lang w:val="fr-FR"/>
        </w:rPr>
        <w:t xml:space="preserve">in </w:t>
      </w:r>
      <w:proofErr w:type="spellStart"/>
      <w:r>
        <w:rPr>
          <w:i/>
          <w:lang w:val="fr-FR"/>
        </w:rPr>
        <w:t>chemico</w:t>
      </w:r>
      <w:proofErr w:type="spellEnd"/>
      <w:r>
        <w:rPr>
          <w:i/>
          <w:lang w:val="fr-FR"/>
        </w:rPr>
        <w:t>/in vitro</w:t>
      </w:r>
      <w:r w:rsidRPr="00E348B7">
        <w:rPr>
          <w:i/>
          <w:iCs/>
          <w:lang w:val="fr-FR"/>
        </w:rPr>
        <w:t xml:space="preserve"> </w:t>
      </w:r>
      <w:r w:rsidRPr="00E348B7">
        <w:rPr>
          <w:lang w:val="fr-FR"/>
        </w:rPr>
        <w:t>non</w:t>
      </w:r>
      <w:r w:rsidRPr="00A241BD">
        <w:rPr>
          <w:lang w:val="fr-FR"/>
        </w:rPr>
        <w:t xml:space="preserve"> autonomes, validées selon des procédures internationales telles que les </w:t>
      </w:r>
      <w:r>
        <w:rPr>
          <w:lang w:val="fr-FR"/>
        </w:rPr>
        <w:t>L</w:t>
      </w:r>
      <w:r w:rsidRPr="00A241BD">
        <w:rPr>
          <w:lang w:val="fr-FR"/>
        </w:rPr>
        <w:t>ignes directrices 442C (annexes</w:t>
      </w:r>
      <w:r w:rsidR="00441C95">
        <w:rPr>
          <w:lang w:val="fr-FR"/>
        </w:rPr>
        <w:t> </w:t>
      </w:r>
      <w:r w:rsidRPr="00A241BD">
        <w:rPr>
          <w:lang w:val="fr-FR"/>
        </w:rPr>
        <w:t>I et II), 442D et 442E</w:t>
      </w:r>
      <w:r w:rsidRPr="00455039">
        <w:rPr>
          <w:lang w:val="fr-FR"/>
        </w:rPr>
        <w:t xml:space="preserve"> </w:t>
      </w:r>
      <w:r w:rsidRPr="00A241BD">
        <w:rPr>
          <w:lang w:val="fr-FR"/>
        </w:rPr>
        <w:t>de l</w:t>
      </w:r>
      <w:r>
        <w:rPr>
          <w:lang w:val="fr-FR"/>
        </w:rPr>
        <w:t>’</w:t>
      </w:r>
      <w:r w:rsidRPr="00A241BD">
        <w:rPr>
          <w:lang w:val="fr-FR"/>
        </w:rPr>
        <w:t xml:space="preserve">OCDE, sont acceptés comme </w:t>
      </w:r>
      <w:r w:rsidRPr="000A08D8">
        <w:rPr>
          <w:lang w:val="fr-FR"/>
        </w:rPr>
        <w:t>élément</w:t>
      </w:r>
      <w:r>
        <w:rPr>
          <w:lang w:val="fr-FR"/>
        </w:rPr>
        <w:t>s</w:t>
      </w:r>
      <w:r w:rsidRPr="000A08D8">
        <w:rPr>
          <w:lang w:val="fr-FR"/>
        </w:rPr>
        <w:t xml:space="preserve"> de preuve supplémentaire</w:t>
      </w:r>
      <w:r>
        <w:rPr>
          <w:lang w:val="fr-FR"/>
        </w:rPr>
        <w:t>s</w:t>
      </w:r>
      <w:r w:rsidRPr="000A08D8">
        <w:rPr>
          <w:lang w:val="fr-FR"/>
        </w:rPr>
        <w:t xml:space="preserve"> </w:t>
      </w:r>
      <w:r w:rsidRPr="00A241BD">
        <w:rPr>
          <w:lang w:val="fr-FR"/>
        </w:rPr>
        <w:t xml:space="preserve">et ne doivent être utilisés </w:t>
      </w:r>
      <w:bookmarkStart w:id="26" w:name="_Hlk116474324"/>
      <w:r>
        <w:rPr>
          <w:lang w:val="fr-FR"/>
        </w:rPr>
        <w:t xml:space="preserve">à </w:t>
      </w:r>
      <w:r w:rsidRPr="002D0727">
        <w:rPr>
          <w:lang w:val="fr-FR"/>
        </w:rPr>
        <w:t>l</w:t>
      </w:r>
      <w:r>
        <w:rPr>
          <w:lang w:val="fr-FR"/>
        </w:rPr>
        <w:t>’</w:t>
      </w:r>
      <w:r w:rsidRPr="002D0727">
        <w:rPr>
          <w:lang w:val="fr-FR"/>
        </w:rPr>
        <w:t xml:space="preserve">étape </w:t>
      </w:r>
      <w:bookmarkEnd w:id="26"/>
      <w:r w:rsidRPr="00A241BD">
        <w:rPr>
          <w:lang w:val="fr-FR"/>
        </w:rPr>
        <w:t>1 qu</w:t>
      </w:r>
      <w:r>
        <w:rPr>
          <w:lang w:val="fr-FR"/>
        </w:rPr>
        <w:t>’</w:t>
      </w:r>
      <w:r w:rsidRPr="00A241BD">
        <w:rPr>
          <w:lang w:val="fr-FR"/>
        </w:rPr>
        <w:t>en combinaison avec d</w:t>
      </w:r>
      <w:r>
        <w:rPr>
          <w:lang w:val="fr-FR"/>
        </w:rPr>
        <w:t>’</w:t>
      </w:r>
      <w:r w:rsidRPr="00A241BD">
        <w:rPr>
          <w:lang w:val="fr-FR"/>
        </w:rPr>
        <w:t xml:space="preserve">autres types de données </w:t>
      </w:r>
      <w:r>
        <w:rPr>
          <w:lang w:val="fr-FR"/>
        </w:rPr>
        <w:t>obtenues au moyen</w:t>
      </w:r>
      <w:r w:rsidRPr="00A241BD">
        <w:rPr>
          <w:lang w:val="fr-FR"/>
        </w:rPr>
        <w:t xml:space="preserve"> de </w:t>
      </w:r>
      <w:r>
        <w:rPr>
          <w:lang w:val="fr-FR"/>
        </w:rPr>
        <w:t>méthodes définies</w:t>
      </w:r>
      <w:r w:rsidRPr="00A241BD">
        <w:rPr>
          <w:lang w:val="fr-FR"/>
        </w:rPr>
        <w:t>. L</w:t>
      </w:r>
      <w:r>
        <w:rPr>
          <w:lang w:val="fr-FR"/>
        </w:rPr>
        <w:t>’</w:t>
      </w:r>
      <w:r w:rsidRPr="00A241BD">
        <w:rPr>
          <w:lang w:val="fr-FR"/>
        </w:rPr>
        <w:t xml:space="preserve">utilisation de ces méthodes </w:t>
      </w:r>
      <w:r>
        <w:rPr>
          <w:lang w:val="fr-FR"/>
        </w:rPr>
        <w:t xml:space="preserve">à </w:t>
      </w:r>
      <w:r w:rsidRPr="002D0727">
        <w:rPr>
          <w:lang w:val="fr-FR"/>
        </w:rPr>
        <w:t>l</w:t>
      </w:r>
      <w:r>
        <w:rPr>
          <w:lang w:val="fr-FR"/>
        </w:rPr>
        <w:t>’</w:t>
      </w:r>
      <w:r w:rsidRPr="002D0727">
        <w:rPr>
          <w:lang w:val="fr-FR"/>
        </w:rPr>
        <w:t xml:space="preserve">étape </w:t>
      </w:r>
      <w:r w:rsidRPr="00A241BD">
        <w:rPr>
          <w:lang w:val="fr-FR"/>
        </w:rPr>
        <w:t>2 est décrite au 3.4.2.2.7.5. Lorsqu</w:t>
      </w:r>
      <w:r>
        <w:rPr>
          <w:lang w:val="fr-FR"/>
        </w:rPr>
        <w:t>’il</w:t>
      </w:r>
      <w:r w:rsidRPr="00A241BD">
        <w:rPr>
          <w:lang w:val="fr-FR"/>
        </w:rPr>
        <w:t>s sont déjà pris en considération dans le cadre d</w:t>
      </w:r>
      <w:r>
        <w:rPr>
          <w:lang w:val="fr-FR"/>
        </w:rPr>
        <w:t>’</w:t>
      </w:r>
      <w:r w:rsidRPr="00A241BD">
        <w:rPr>
          <w:lang w:val="fr-FR"/>
        </w:rPr>
        <w:t xml:space="preserve">une </w:t>
      </w:r>
      <w:r>
        <w:rPr>
          <w:lang w:val="fr-FR"/>
        </w:rPr>
        <w:t>méthode</w:t>
      </w:r>
      <w:r w:rsidRPr="00A241BD">
        <w:rPr>
          <w:lang w:val="fr-FR"/>
        </w:rPr>
        <w:t xml:space="preserve"> définie, les </w:t>
      </w:r>
      <w:r>
        <w:rPr>
          <w:lang w:val="fr-FR"/>
        </w:rPr>
        <w:t xml:space="preserve">résultats de </w:t>
      </w:r>
      <w:r w:rsidRPr="00A241BD">
        <w:rPr>
          <w:lang w:val="fr-FR"/>
        </w:rPr>
        <w:t xml:space="preserve">méthodes </w:t>
      </w:r>
      <w:r>
        <w:rPr>
          <w:i/>
          <w:lang w:val="fr-FR"/>
        </w:rPr>
        <w:t xml:space="preserve">in </w:t>
      </w:r>
      <w:proofErr w:type="spellStart"/>
      <w:r>
        <w:rPr>
          <w:i/>
          <w:lang w:val="fr-FR"/>
        </w:rPr>
        <w:t>chemico</w:t>
      </w:r>
      <w:proofErr w:type="spellEnd"/>
      <w:r>
        <w:rPr>
          <w:i/>
          <w:lang w:val="fr-FR"/>
        </w:rPr>
        <w:t>/in vitro</w:t>
      </w:r>
      <w:r w:rsidRPr="00E348B7">
        <w:rPr>
          <w:i/>
          <w:iCs/>
          <w:lang w:val="fr-FR"/>
        </w:rPr>
        <w:t xml:space="preserve"> </w:t>
      </w:r>
      <w:r w:rsidRPr="00E348B7">
        <w:rPr>
          <w:lang w:val="fr-FR"/>
        </w:rPr>
        <w:t>non</w:t>
      </w:r>
      <w:r w:rsidRPr="00A241BD">
        <w:rPr>
          <w:lang w:val="fr-FR"/>
        </w:rPr>
        <w:t xml:space="preserve"> autonomes ne doivent pas être considérés comme élément</w:t>
      </w:r>
      <w:r>
        <w:rPr>
          <w:lang w:val="fr-FR"/>
        </w:rPr>
        <w:t>s</w:t>
      </w:r>
      <w:r w:rsidRPr="00A241BD">
        <w:rPr>
          <w:lang w:val="fr-FR"/>
        </w:rPr>
        <w:t xml:space="preserve"> de preuve supplémentaire</w:t>
      </w:r>
      <w:r>
        <w:rPr>
          <w:lang w:val="fr-FR"/>
        </w:rPr>
        <w:t>s</w:t>
      </w:r>
      <w:r w:rsidRPr="00A241BD">
        <w:rPr>
          <w:lang w:val="fr-FR"/>
        </w:rPr>
        <w:t xml:space="preserve"> (voir 3.4.2.2.7.4).</w:t>
      </w:r>
    </w:p>
    <w:p w14:paraId="2D869AB0" w14:textId="77777777" w:rsidR="00B178A7" w:rsidRPr="00A241BD" w:rsidRDefault="00B178A7" w:rsidP="00072B6C">
      <w:pPr>
        <w:pStyle w:val="SingleTxtG"/>
        <w:keepLines/>
        <w:ind w:left="2268" w:hanging="1134"/>
        <w:rPr>
          <w:lang w:val="fr-FR"/>
        </w:rPr>
      </w:pPr>
      <w:r w:rsidRPr="00A241BD">
        <w:rPr>
          <w:lang w:val="fr-FR"/>
        </w:rPr>
        <w:t>3.4.2.2.5.3</w:t>
      </w:r>
      <w:r>
        <w:rPr>
          <w:lang w:val="fr-FR"/>
        </w:rPr>
        <w:tab/>
      </w:r>
      <w:r w:rsidRPr="00A241BD">
        <w:rPr>
          <w:lang w:val="fr-FR"/>
        </w:rPr>
        <w:t>D</w:t>
      </w:r>
      <w:r>
        <w:rPr>
          <w:lang w:val="fr-FR"/>
        </w:rPr>
        <w:t>’</w:t>
      </w:r>
      <w:r w:rsidRPr="00A241BD">
        <w:rPr>
          <w:lang w:val="fr-FR"/>
        </w:rPr>
        <w:t>autres méthodes d</w:t>
      </w:r>
      <w:r>
        <w:rPr>
          <w:lang w:val="fr-FR"/>
        </w:rPr>
        <w:t>’</w:t>
      </w:r>
      <w:r w:rsidRPr="00A241BD">
        <w:rPr>
          <w:lang w:val="fr-FR"/>
        </w:rPr>
        <w:t xml:space="preserve">essai </w:t>
      </w:r>
      <w:r>
        <w:rPr>
          <w:i/>
          <w:iCs/>
          <w:lang w:val="fr-FR"/>
        </w:rPr>
        <w:t xml:space="preserve">in </w:t>
      </w:r>
      <w:proofErr w:type="spellStart"/>
      <w:r>
        <w:rPr>
          <w:i/>
          <w:iCs/>
          <w:lang w:val="fr-FR"/>
        </w:rPr>
        <w:t>chemico</w:t>
      </w:r>
      <w:proofErr w:type="spellEnd"/>
      <w:r>
        <w:rPr>
          <w:i/>
          <w:iCs/>
          <w:lang w:val="fr-FR"/>
        </w:rPr>
        <w:t>/in vitro</w:t>
      </w:r>
      <w:r w:rsidRPr="00E348B7">
        <w:rPr>
          <w:i/>
          <w:iCs/>
          <w:lang w:val="fr-FR"/>
        </w:rPr>
        <w:t xml:space="preserve"> </w:t>
      </w:r>
      <w:r w:rsidRPr="00E348B7">
        <w:rPr>
          <w:lang w:val="fr-FR"/>
        </w:rPr>
        <w:t>val</w:t>
      </w:r>
      <w:r w:rsidRPr="00A241BD">
        <w:rPr>
          <w:lang w:val="fr-FR"/>
        </w:rPr>
        <w:t>idées et acceptées par certaines autorités compétentes sont décrites au point 3.4.5.3.6.1</w:t>
      </w:r>
      <w:r w:rsidRPr="005E1AB8">
        <w:rPr>
          <w:sz w:val="18"/>
          <w:szCs w:val="18"/>
          <w:vertAlign w:val="superscript"/>
          <w:lang w:val="fr-FR"/>
        </w:rPr>
        <w:t>4</w:t>
      </w:r>
      <w:r w:rsidRPr="00A241BD">
        <w:rPr>
          <w:lang w:val="fr-FR"/>
        </w:rPr>
        <w:t xml:space="preserve">. Une autorité compétente peut décider quels critères de </w:t>
      </w:r>
      <w:r>
        <w:rPr>
          <w:lang w:val="fr-FR"/>
        </w:rPr>
        <w:t>classement</w:t>
      </w:r>
      <w:r w:rsidRPr="00A241BD">
        <w:rPr>
          <w:lang w:val="fr-FR"/>
        </w:rPr>
        <w:t>, le cas échéant, doivent être appliqués à ces méthodes d</w:t>
      </w:r>
      <w:r>
        <w:rPr>
          <w:lang w:val="fr-FR"/>
        </w:rPr>
        <w:t>’</w:t>
      </w:r>
      <w:r w:rsidRPr="00A241BD">
        <w:rPr>
          <w:lang w:val="fr-FR"/>
        </w:rPr>
        <w:t xml:space="preserve">essai pour conclure </w:t>
      </w:r>
      <w:r>
        <w:rPr>
          <w:lang w:val="fr-FR"/>
        </w:rPr>
        <w:t>au classement</w:t>
      </w:r>
      <w:r w:rsidRPr="00A241BD">
        <w:rPr>
          <w:lang w:val="fr-FR"/>
        </w:rPr>
        <w:t xml:space="preserve">. </w:t>
      </w:r>
    </w:p>
    <w:p w14:paraId="4D3EBA1D" w14:textId="77777777" w:rsidR="00B178A7" w:rsidRPr="00A241BD" w:rsidRDefault="00B178A7" w:rsidP="00072B6C">
      <w:pPr>
        <w:pStyle w:val="SingleTxtG"/>
        <w:keepLines/>
        <w:ind w:left="2268" w:hanging="1134"/>
        <w:rPr>
          <w:lang w:val="fr-FR"/>
        </w:rPr>
      </w:pPr>
      <w:r w:rsidRPr="00A241BD">
        <w:rPr>
          <w:lang w:val="fr-FR"/>
        </w:rPr>
        <w:t>3.4.2.2.5.4</w:t>
      </w:r>
      <w:r w:rsidRPr="00A241BD">
        <w:rPr>
          <w:lang w:val="fr-FR"/>
        </w:rPr>
        <w:tab/>
        <w:t xml:space="preserve">Les données </w:t>
      </w:r>
      <w:r>
        <w:rPr>
          <w:i/>
          <w:iCs/>
          <w:lang w:val="fr-FR"/>
        </w:rPr>
        <w:t xml:space="preserve">in </w:t>
      </w:r>
      <w:proofErr w:type="spellStart"/>
      <w:r>
        <w:rPr>
          <w:i/>
          <w:iCs/>
          <w:lang w:val="fr-FR"/>
        </w:rPr>
        <w:t>chemico</w:t>
      </w:r>
      <w:proofErr w:type="spellEnd"/>
      <w:r>
        <w:rPr>
          <w:i/>
          <w:iCs/>
          <w:lang w:val="fr-FR"/>
        </w:rPr>
        <w:t>/in vitro</w:t>
      </w:r>
      <w:r w:rsidRPr="00E348B7">
        <w:rPr>
          <w:i/>
          <w:iCs/>
          <w:lang w:val="fr-FR"/>
        </w:rPr>
        <w:t xml:space="preserve"> </w:t>
      </w:r>
      <w:r w:rsidRPr="00E348B7">
        <w:rPr>
          <w:lang w:val="fr-FR"/>
        </w:rPr>
        <w:t xml:space="preserve">ne </w:t>
      </w:r>
      <w:r w:rsidRPr="00A241BD">
        <w:rPr>
          <w:lang w:val="fr-FR"/>
        </w:rPr>
        <w:t xml:space="preserve">peuvent être utilisées </w:t>
      </w:r>
      <w:r>
        <w:rPr>
          <w:lang w:val="fr-FR"/>
        </w:rPr>
        <w:t xml:space="preserve">à des fins de classement </w:t>
      </w:r>
      <w:r w:rsidRPr="00A241BD">
        <w:rPr>
          <w:lang w:val="fr-FR"/>
        </w:rPr>
        <w:t xml:space="preserve">que lorsque la </w:t>
      </w:r>
      <w:r>
        <w:rPr>
          <w:lang w:val="fr-FR"/>
        </w:rPr>
        <w:t>substance</w:t>
      </w:r>
      <w:r w:rsidRPr="00A241BD">
        <w:rPr>
          <w:lang w:val="fr-FR"/>
        </w:rPr>
        <w:t xml:space="preserve"> </w:t>
      </w:r>
      <w:r>
        <w:rPr>
          <w:lang w:val="fr-FR"/>
        </w:rPr>
        <w:t>soumise à l’essai</w:t>
      </w:r>
      <w:r w:rsidRPr="00A241BD">
        <w:rPr>
          <w:lang w:val="fr-FR"/>
        </w:rPr>
        <w:t xml:space="preserve"> se situe dans le domaine d</w:t>
      </w:r>
      <w:r>
        <w:rPr>
          <w:lang w:val="fr-FR"/>
        </w:rPr>
        <w:t>’</w:t>
      </w:r>
      <w:r w:rsidRPr="00A241BD">
        <w:rPr>
          <w:lang w:val="fr-FR"/>
        </w:rPr>
        <w:t>applicabilité de la ou des méthodes d</w:t>
      </w:r>
      <w:r>
        <w:rPr>
          <w:lang w:val="fr-FR"/>
        </w:rPr>
        <w:t>’</w:t>
      </w:r>
      <w:r w:rsidRPr="00A241BD">
        <w:rPr>
          <w:lang w:val="fr-FR"/>
        </w:rPr>
        <w:t>essai utilisées. Les limit</w:t>
      </w:r>
      <w:r>
        <w:rPr>
          <w:lang w:val="fr-FR"/>
        </w:rPr>
        <w:t>es</w:t>
      </w:r>
      <w:r w:rsidRPr="00A241BD">
        <w:rPr>
          <w:lang w:val="fr-FR"/>
        </w:rPr>
        <w:t xml:space="preserve"> supplémentaires décrites dans </w:t>
      </w:r>
      <w:r>
        <w:rPr>
          <w:lang w:val="fr-FR"/>
        </w:rPr>
        <w:t>des</w:t>
      </w:r>
      <w:r w:rsidRPr="00A241BD">
        <w:rPr>
          <w:lang w:val="fr-FR"/>
        </w:rPr>
        <w:t xml:space="preserve"> </w:t>
      </w:r>
      <w:r w:rsidRPr="00C32736">
        <w:rPr>
          <w:lang w:val="fr-FR"/>
        </w:rPr>
        <w:t xml:space="preserve">publications </w:t>
      </w:r>
      <w:r w:rsidRPr="00A241BD">
        <w:rPr>
          <w:lang w:val="fr-FR"/>
        </w:rPr>
        <w:t xml:space="preserve">doivent également être prises en </w:t>
      </w:r>
      <w:r>
        <w:rPr>
          <w:lang w:val="fr-FR"/>
        </w:rPr>
        <w:t>compte</w:t>
      </w:r>
      <w:r w:rsidRPr="00A241BD">
        <w:rPr>
          <w:lang w:val="fr-FR"/>
        </w:rPr>
        <w:t>.</w:t>
      </w:r>
    </w:p>
    <w:p w14:paraId="7A76CCB0" w14:textId="757DDDE5" w:rsidR="00B178A7" w:rsidRPr="00A241BD" w:rsidRDefault="00B178A7" w:rsidP="005E1AB8">
      <w:pPr>
        <w:pStyle w:val="SingleTxtG"/>
        <w:keepLines/>
        <w:ind w:left="2268" w:hanging="1134"/>
        <w:jc w:val="left"/>
        <w:rPr>
          <w:lang w:val="fr-FR"/>
        </w:rPr>
      </w:pPr>
      <w:r w:rsidRPr="00A241BD">
        <w:rPr>
          <w:lang w:val="fr-FR"/>
        </w:rPr>
        <w:t>3.4.2.2.6</w:t>
      </w:r>
      <w:r w:rsidRPr="00A241BD">
        <w:rPr>
          <w:lang w:val="fr-FR"/>
        </w:rPr>
        <w:tab/>
      </w:r>
      <w:r w:rsidRPr="00CC3935">
        <w:rPr>
          <w:i/>
          <w:iCs/>
          <w:lang w:val="fr-FR"/>
        </w:rPr>
        <w:t xml:space="preserve">Classification fondée sur des méthodes non fondées sur des essais </w:t>
      </w:r>
      <w:r w:rsidR="005E1AB8" w:rsidRPr="00CC3935">
        <w:rPr>
          <w:i/>
          <w:iCs/>
          <w:lang w:val="fr-FR"/>
        </w:rPr>
        <w:br/>
      </w:r>
      <w:r w:rsidRPr="00CC3935">
        <w:rPr>
          <w:i/>
          <w:iCs/>
          <w:lang w:val="fr-FR"/>
        </w:rPr>
        <w:t>(étape 2 de la figure 3.4.1)</w:t>
      </w:r>
    </w:p>
    <w:p w14:paraId="3A977A31" w14:textId="77777777" w:rsidR="00B178A7" w:rsidRPr="00A241BD" w:rsidRDefault="00B178A7" w:rsidP="005E1AB8">
      <w:pPr>
        <w:pStyle w:val="SingleTxtG"/>
        <w:ind w:left="2268" w:hanging="1134"/>
        <w:rPr>
          <w:lang w:val="fr-FR"/>
        </w:rPr>
      </w:pPr>
      <w:r w:rsidRPr="00A241BD">
        <w:rPr>
          <w:lang w:val="fr-FR"/>
        </w:rPr>
        <w:t>3.4.2.2.6.1</w:t>
      </w:r>
      <w:r>
        <w:rPr>
          <w:lang w:val="fr-FR"/>
        </w:rPr>
        <w:tab/>
        <w:t>Le classement</w:t>
      </w:r>
      <w:r w:rsidRPr="00A241BD">
        <w:rPr>
          <w:lang w:val="fr-FR"/>
        </w:rPr>
        <w:t xml:space="preserve">, y compris </w:t>
      </w:r>
      <w:r>
        <w:rPr>
          <w:lang w:val="fr-FR"/>
        </w:rPr>
        <w:t xml:space="preserve">la </w:t>
      </w:r>
      <w:r w:rsidRPr="00A241BD">
        <w:rPr>
          <w:lang w:val="fr-FR"/>
        </w:rPr>
        <w:t xml:space="preserve">conclusion de </w:t>
      </w:r>
      <w:r>
        <w:rPr>
          <w:lang w:val="fr-FR"/>
        </w:rPr>
        <w:t>non-classement</w:t>
      </w:r>
      <w:r w:rsidRPr="00A241BD">
        <w:rPr>
          <w:lang w:val="fr-FR"/>
        </w:rPr>
        <w:t xml:space="preserve">, peut </w:t>
      </w:r>
      <w:r>
        <w:rPr>
          <w:lang w:val="fr-FR"/>
        </w:rPr>
        <w:t>reposer</w:t>
      </w:r>
      <w:r w:rsidRPr="00A241BD">
        <w:rPr>
          <w:lang w:val="fr-FR"/>
        </w:rPr>
        <w:t xml:space="preserve"> sur des </w:t>
      </w:r>
      <w:r w:rsidRPr="000A24D6">
        <w:rPr>
          <w:lang w:val="fr-FR"/>
        </w:rPr>
        <w:t>méthodes non fondées sur des essais</w:t>
      </w:r>
      <w:r>
        <w:rPr>
          <w:lang w:val="fr-FR"/>
        </w:rPr>
        <w:t xml:space="preserve"> appliquées au cas par cas</w:t>
      </w:r>
      <w:r w:rsidRPr="00A241BD">
        <w:rPr>
          <w:lang w:val="fr-FR"/>
        </w:rPr>
        <w:t xml:space="preserve">, compte </w:t>
      </w:r>
      <w:r>
        <w:rPr>
          <w:lang w:val="fr-FR"/>
        </w:rPr>
        <w:t xml:space="preserve">dûment </w:t>
      </w:r>
      <w:r w:rsidRPr="00A241BD">
        <w:rPr>
          <w:lang w:val="fr-FR"/>
        </w:rPr>
        <w:t>ten</w:t>
      </w:r>
      <w:r>
        <w:rPr>
          <w:lang w:val="fr-FR"/>
        </w:rPr>
        <w:t>u</w:t>
      </w:r>
      <w:r w:rsidRPr="00A241BD">
        <w:rPr>
          <w:lang w:val="fr-FR"/>
        </w:rPr>
        <w:t xml:space="preserve"> de </w:t>
      </w:r>
      <w:r>
        <w:rPr>
          <w:lang w:val="fr-FR"/>
        </w:rPr>
        <w:t>la</w:t>
      </w:r>
      <w:r w:rsidRPr="00A241BD">
        <w:rPr>
          <w:lang w:val="fr-FR"/>
        </w:rPr>
        <w:t xml:space="preserve"> fiabilité et de </w:t>
      </w:r>
      <w:r>
        <w:rPr>
          <w:lang w:val="fr-FR"/>
        </w:rPr>
        <w:t>l’</w:t>
      </w:r>
      <w:r w:rsidRPr="00A241BD">
        <w:rPr>
          <w:lang w:val="fr-FR"/>
        </w:rPr>
        <w:t xml:space="preserve">applicabilité. </w:t>
      </w:r>
      <w:r>
        <w:rPr>
          <w:lang w:val="fr-FR"/>
        </w:rPr>
        <w:t>Certain</w:t>
      </w:r>
      <w:r w:rsidRPr="00A241BD">
        <w:rPr>
          <w:lang w:val="fr-FR"/>
        </w:rPr>
        <w:t xml:space="preserve">es </w:t>
      </w:r>
      <w:r w:rsidRPr="000A24D6">
        <w:rPr>
          <w:lang w:val="fr-FR"/>
        </w:rPr>
        <w:t xml:space="preserve">méthodes non fondées sur des essais </w:t>
      </w:r>
      <w:r w:rsidRPr="00A241BD">
        <w:rPr>
          <w:lang w:val="fr-FR"/>
        </w:rPr>
        <w:t xml:space="preserve">peuvent </w:t>
      </w:r>
      <w:r>
        <w:rPr>
          <w:lang w:val="fr-FR"/>
        </w:rPr>
        <w:t>aussi</w:t>
      </w:r>
      <w:r w:rsidRPr="00A241BD">
        <w:rPr>
          <w:lang w:val="fr-FR"/>
        </w:rPr>
        <w:t xml:space="preserve"> être utilisées dans le cadre d</w:t>
      </w:r>
      <w:r>
        <w:rPr>
          <w:lang w:val="fr-FR"/>
        </w:rPr>
        <w:t>’</w:t>
      </w:r>
      <w:r w:rsidRPr="00A241BD">
        <w:rPr>
          <w:lang w:val="fr-FR"/>
        </w:rPr>
        <w:t xml:space="preserve">une </w:t>
      </w:r>
      <w:r>
        <w:rPr>
          <w:lang w:val="fr-FR"/>
        </w:rPr>
        <w:t>méthode</w:t>
      </w:r>
      <w:r w:rsidRPr="00A241BD">
        <w:rPr>
          <w:lang w:val="fr-FR"/>
        </w:rPr>
        <w:t xml:space="preserve"> définie. Lorsqu</w:t>
      </w:r>
      <w:r>
        <w:rPr>
          <w:lang w:val="fr-FR"/>
        </w:rPr>
        <w:t>’</w:t>
      </w:r>
      <w:r w:rsidRPr="00A241BD">
        <w:rPr>
          <w:lang w:val="fr-FR"/>
        </w:rPr>
        <w:t xml:space="preserve">elle </w:t>
      </w:r>
      <w:r>
        <w:rPr>
          <w:lang w:val="fr-FR"/>
        </w:rPr>
        <w:t>est</w:t>
      </w:r>
      <w:r w:rsidRPr="00A241BD">
        <w:rPr>
          <w:lang w:val="fr-FR"/>
        </w:rPr>
        <w:t xml:space="preserve"> déjà prise en compte dans le cadre d</w:t>
      </w:r>
      <w:r>
        <w:rPr>
          <w:lang w:val="fr-FR"/>
        </w:rPr>
        <w:t>’</w:t>
      </w:r>
      <w:r w:rsidRPr="00A241BD">
        <w:rPr>
          <w:lang w:val="fr-FR"/>
        </w:rPr>
        <w:t xml:space="preserve">une </w:t>
      </w:r>
      <w:r>
        <w:rPr>
          <w:lang w:val="fr-FR"/>
        </w:rPr>
        <w:t>méthode</w:t>
      </w:r>
      <w:r w:rsidRPr="00A241BD">
        <w:rPr>
          <w:lang w:val="fr-FR"/>
        </w:rPr>
        <w:t xml:space="preserve"> définie, </w:t>
      </w:r>
      <w:r>
        <w:rPr>
          <w:lang w:val="fr-FR"/>
        </w:rPr>
        <w:t>une</w:t>
      </w:r>
      <w:r w:rsidRPr="00A241BD">
        <w:rPr>
          <w:lang w:val="fr-FR"/>
        </w:rPr>
        <w:t xml:space="preserve"> </w:t>
      </w:r>
      <w:r w:rsidRPr="000A24D6">
        <w:rPr>
          <w:lang w:val="fr-FR"/>
        </w:rPr>
        <w:t xml:space="preserve">méthode non fondée sur des essais </w:t>
      </w:r>
      <w:r w:rsidRPr="00A241BD">
        <w:rPr>
          <w:lang w:val="fr-FR"/>
        </w:rPr>
        <w:t xml:space="preserve">ne doit pas être considérée comme un élément de preuve supplémentaire (voir 3.4.2.2.7.4). Les méthodes non </w:t>
      </w:r>
      <w:r w:rsidRPr="000A24D6">
        <w:rPr>
          <w:lang w:val="fr-FR"/>
        </w:rPr>
        <w:t>fondée</w:t>
      </w:r>
      <w:r>
        <w:rPr>
          <w:lang w:val="fr-FR"/>
        </w:rPr>
        <w:t>s</w:t>
      </w:r>
      <w:r w:rsidRPr="000A24D6">
        <w:rPr>
          <w:lang w:val="fr-FR"/>
        </w:rPr>
        <w:t xml:space="preserve"> sur des essais </w:t>
      </w:r>
      <w:r w:rsidRPr="00A241BD">
        <w:rPr>
          <w:lang w:val="fr-FR"/>
        </w:rPr>
        <w:t xml:space="preserve">comprennent les modèles informatiques prédisant les relations qualitatives structure-activité (alertes structurelles, SAR) ou les relations quantitatives structure-activité (QSAR), les systèmes experts informatiques et la lecture croisée </w:t>
      </w:r>
      <w:r>
        <w:rPr>
          <w:lang w:val="fr-FR"/>
        </w:rPr>
        <w:t>par analogie ou par catégorie</w:t>
      </w:r>
      <w:r w:rsidRPr="00A241BD">
        <w:rPr>
          <w:lang w:val="fr-FR"/>
        </w:rPr>
        <w:t xml:space="preserve">. </w:t>
      </w:r>
    </w:p>
    <w:p w14:paraId="60378630" w14:textId="77777777" w:rsidR="00B178A7" w:rsidRPr="00A241BD" w:rsidRDefault="00B178A7" w:rsidP="00072B6C">
      <w:pPr>
        <w:pStyle w:val="SingleTxtG"/>
        <w:keepLines/>
        <w:ind w:left="2268" w:hanging="1134"/>
        <w:rPr>
          <w:lang w:val="fr-FR"/>
        </w:rPr>
      </w:pPr>
      <w:r w:rsidRPr="00A241BD">
        <w:rPr>
          <w:lang w:val="fr-FR"/>
        </w:rPr>
        <w:lastRenderedPageBreak/>
        <w:t>3.4.2.2.6.2</w:t>
      </w:r>
      <w:r>
        <w:rPr>
          <w:lang w:val="fr-FR"/>
        </w:rPr>
        <w:tab/>
        <w:t>La méthode de</w:t>
      </w:r>
      <w:r w:rsidRPr="00A241BD">
        <w:rPr>
          <w:lang w:val="fr-FR"/>
        </w:rPr>
        <w:t xml:space="preserve"> lecture croisée</w:t>
      </w:r>
      <w:r w:rsidRPr="005C225C">
        <w:rPr>
          <w:lang w:val="fr-FR"/>
        </w:rPr>
        <w:t xml:space="preserve"> </w:t>
      </w:r>
      <w:r>
        <w:rPr>
          <w:lang w:val="fr-FR"/>
        </w:rPr>
        <w:t xml:space="preserve">par analogie </w:t>
      </w:r>
      <w:r w:rsidRPr="00A241BD">
        <w:rPr>
          <w:lang w:val="fr-FR"/>
        </w:rPr>
        <w:t xml:space="preserve">ou catégorie </w:t>
      </w:r>
      <w:r>
        <w:rPr>
          <w:lang w:val="fr-FR"/>
        </w:rPr>
        <w:t xml:space="preserve">doit pouvoir reposer sur des </w:t>
      </w:r>
      <w:r w:rsidRPr="00A241BD">
        <w:rPr>
          <w:lang w:val="fr-FR"/>
        </w:rPr>
        <w:t>données d</w:t>
      </w:r>
      <w:r>
        <w:rPr>
          <w:lang w:val="fr-FR"/>
        </w:rPr>
        <w:t>’</w:t>
      </w:r>
      <w:r w:rsidRPr="00A241BD">
        <w:rPr>
          <w:lang w:val="fr-FR"/>
        </w:rPr>
        <w:t xml:space="preserve">essai suffisamment fiables </w:t>
      </w:r>
      <w:r>
        <w:rPr>
          <w:lang w:val="fr-FR"/>
        </w:rPr>
        <w:t>pour</w:t>
      </w:r>
      <w:r w:rsidRPr="00A241BD">
        <w:rPr>
          <w:lang w:val="fr-FR"/>
        </w:rPr>
        <w:t xml:space="preserve"> une ou </w:t>
      </w:r>
      <w:r>
        <w:rPr>
          <w:lang w:val="fr-FR"/>
        </w:rPr>
        <w:t>des</w:t>
      </w:r>
      <w:r w:rsidRPr="00A241BD">
        <w:rPr>
          <w:lang w:val="fr-FR"/>
        </w:rPr>
        <w:t xml:space="preserve"> </w:t>
      </w:r>
      <w:r>
        <w:rPr>
          <w:lang w:val="fr-FR"/>
        </w:rPr>
        <w:t>substance</w:t>
      </w:r>
      <w:r w:rsidRPr="00A241BD">
        <w:rPr>
          <w:lang w:val="fr-FR"/>
        </w:rPr>
        <w:t>s similaires et justifi</w:t>
      </w:r>
      <w:r>
        <w:rPr>
          <w:lang w:val="fr-FR"/>
        </w:rPr>
        <w:t>er</w:t>
      </w:r>
      <w:r w:rsidRPr="00A241BD">
        <w:rPr>
          <w:lang w:val="fr-FR"/>
        </w:rPr>
        <w:t xml:space="preserve"> de la similarité des </w:t>
      </w:r>
      <w:r>
        <w:rPr>
          <w:lang w:val="fr-FR"/>
        </w:rPr>
        <w:t>substance</w:t>
      </w:r>
      <w:r w:rsidRPr="00A241BD">
        <w:rPr>
          <w:lang w:val="fr-FR"/>
        </w:rPr>
        <w:t xml:space="preserve">s </w:t>
      </w:r>
      <w:r>
        <w:rPr>
          <w:lang w:val="fr-FR"/>
        </w:rPr>
        <w:t>testées</w:t>
      </w:r>
      <w:r w:rsidRPr="00A241BD">
        <w:rPr>
          <w:lang w:val="fr-FR"/>
        </w:rPr>
        <w:t xml:space="preserve"> </w:t>
      </w:r>
      <w:r>
        <w:rPr>
          <w:lang w:val="fr-FR"/>
        </w:rPr>
        <w:t>et de</w:t>
      </w:r>
      <w:r w:rsidRPr="00A241BD">
        <w:rPr>
          <w:lang w:val="fr-FR"/>
        </w:rPr>
        <w:t xml:space="preserve"> la </w:t>
      </w:r>
      <w:r>
        <w:rPr>
          <w:lang w:val="fr-FR"/>
        </w:rPr>
        <w:t>substance</w:t>
      </w:r>
      <w:r w:rsidRPr="00A241BD">
        <w:rPr>
          <w:lang w:val="fr-FR"/>
        </w:rPr>
        <w:t xml:space="preserve"> à classer. Lorsqu</w:t>
      </w:r>
      <w:r>
        <w:rPr>
          <w:lang w:val="fr-FR"/>
        </w:rPr>
        <w:t>’</w:t>
      </w:r>
      <w:r w:rsidRPr="00A241BD">
        <w:rPr>
          <w:lang w:val="fr-FR"/>
        </w:rPr>
        <w:t xml:space="preserve">une justification </w:t>
      </w:r>
      <w:r>
        <w:rPr>
          <w:lang w:val="fr-FR"/>
        </w:rPr>
        <w:t>valable</w:t>
      </w:r>
      <w:r w:rsidRPr="00A241BD">
        <w:rPr>
          <w:lang w:val="fr-FR"/>
        </w:rPr>
        <w:t xml:space="preserve"> de </w:t>
      </w:r>
      <w:r>
        <w:rPr>
          <w:lang w:val="fr-FR"/>
        </w:rPr>
        <w:t>la méthode</w:t>
      </w:r>
      <w:r w:rsidRPr="00A241BD">
        <w:rPr>
          <w:lang w:val="fr-FR"/>
        </w:rPr>
        <w:t xml:space="preserve"> </w:t>
      </w:r>
      <w:r>
        <w:rPr>
          <w:lang w:val="fr-FR"/>
        </w:rPr>
        <w:t>de</w:t>
      </w:r>
      <w:r w:rsidRPr="00A241BD">
        <w:rPr>
          <w:lang w:val="fr-FR"/>
        </w:rPr>
        <w:t xml:space="preserve"> lecture croisée est fournie, elle a </w:t>
      </w:r>
      <w:r>
        <w:rPr>
          <w:lang w:val="fr-FR"/>
        </w:rPr>
        <w:t>souvent plus de</w:t>
      </w:r>
      <w:r w:rsidRPr="00A241BD">
        <w:rPr>
          <w:lang w:val="fr-FR"/>
        </w:rPr>
        <w:t xml:space="preserve"> poids que les </w:t>
      </w:r>
      <w:r>
        <w:rPr>
          <w:lang w:val="fr-FR"/>
        </w:rPr>
        <w:t xml:space="preserve">méthodes </w:t>
      </w:r>
      <w:r w:rsidRPr="00A241BD">
        <w:rPr>
          <w:lang w:val="fr-FR"/>
        </w:rPr>
        <w:t xml:space="preserve">(Q)SAR. </w:t>
      </w:r>
    </w:p>
    <w:p w14:paraId="4D23B7DA" w14:textId="77777777" w:rsidR="00B178A7" w:rsidRPr="00A241BD" w:rsidRDefault="00B178A7" w:rsidP="002D6BBB">
      <w:pPr>
        <w:pStyle w:val="SingleTxtG"/>
        <w:ind w:left="2268" w:hanging="1134"/>
        <w:rPr>
          <w:lang w:val="fr-FR"/>
        </w:rPr>
      </w:pPr>
      <w:r w:rsidRPr="00A241BD">
        <w:rPr>
          <w:lang w:val="fr-FR"/>
        </w:rPr>
        <w:t>3.4.2.2.6.3</w:t>
      </w:r>
      <w:r>
        <w:rPr>
          <w:lang w:val="fr-FR"/>
        </w:rPr>
        <w:tab/>
        <w:t>Le classement fondé sur</w:t>
      </w:r>
      <w:r w:rsidRPr="00A241BD">
        <w:rPr>
          <w:lang w:val="fr-FR"/>
        </w:rPr>
        <w:t xml:space="preserve"> les </w:t>
      </w:r>
      <w:r>
        <w:rPr>
          <w:lang w:val="fr-FR"/>
        </w:rPr>
        <w:t xml:space="preserve">méthodes </w:t>
      </w:r>
      <w:r w:rsidRPr="00A241BD">
        <w:rPr>
          <w:lang w:val="fr-FR"/>
        </w:rPr>
        <w:t xml:space="preserve">(Q)SAR </w:t>
      </w:r>
      <w:r>
        <w:rPr>
          <w:lang w:val="fr-FR"/>
        </w:rPr>
        <w:t xml:space="preserve">requiert des </w:t>
      </w:r>
      <w:r w:rsidRPr="00A241BD">
        <w:rPr>
          <w:lang w:val="fr-FR"/>
        </w:rPr>
        <w:t xml:space="preserve">données suffisantes et </w:t>
      </w:r>
      <w:r>
        <w:rPr>
          <w:lang w:val="fr-FR"/>
        </w:rPr>
        <w:t xml:space="preserve">la validation du </w:t>
      </w:r>
      <w:r w:rsidRPr="00A241BD">
        <w:rPr>
          <w:lang w:val="fr-FR"/>
        </w:rPr>
        <w:t>modèle. La validité des modèles informatiques et de</w:t>
      </w:r>
      <w:r>
        <w:rPr>
          <w:lang w:val="fr-FR"/>
        </w:rPr>
        <w:t>s</w:t>
      </w:r>
      <w:r w:rsidRPr="00A241BD">
        <w:rPr>
          <w:lang w:val="fr-FR"/>
        </w:rPr>
        <w:t xml:space="preserve"> </w:t>
      </w:r>
      <w:r>
        <w:rPr>
          <w:lang w:val="fr-FR"/>
        </w:rPr>
        <w:t xml:space="preserve">prévisions </w:t>
      </w:r>
      <w:r w:rsidRPr="00A241BD">
        <w:rPr>
          <w:lang w:val="fr-FR"/>
        </w:rPr>
        <w:t xml:space="preserve">doit être évaluée </w:t>
      </w:r>
      <w:r>
        <w:rPr>
          <w:lang w:val="fr-FR"/>
        </w:rPr>
        <w:t>sur la base de</w:t>
      </w:r>
      <w:r w:rsidRPr="00A241BD">
        <w:rPr>
          <w:lang w:val="fr-FR"/>
        </w:rPr>
        <w:t xml:space="preserve"> principes </w:t>
      </w:r>
      <w:r>
        <w:rPr>
          <w:lang w:val="fr-FR"/>
        </w:rPr>
        <w:t xml:space="preserve">de </w:t>
      </w:r>
      <w:r w:rsidRPr="00A241BD">
        <w:rPr>
          <w:lang w:val="fr-FR"/>
        </w:rPr>
        <w:t>validation des (Q)SAR</w:t>
      </w:r>
      <w:r>
        <w:rPr>
          <w:lang w:val="fr-FR"/>
        </w:rPr>
        <w:t xml:space="preserve"> </w:t>
      </w:r>
      <w:r w:rsidRPr="00A241BD">
        <w:rPr>
          <w:lang w:val="fr-FR"/>
        </w:rPr>
        <w:t xml:space="preserve">internationalement reconnus. </w:t>
      </w:r>
      <w:r>
        <w:rPr>
          <w:lang w:val="fr-FR"/>
        </w:rPr>
        <w:t>S’agissant de</w:t>
      </w:r>
      <w:r w:rsidRPr="00A241BD">
        <w:rPr>
          <w:lang w:val="fr-FR"/>
        </w:rPr>
        <w:t xml:space="preserve"> la fiabilité, l</w:t>
      </w:r>
      <w:r>
        <w:rPr>
          <w:lang w:val="fr-FR"/>
        </w:rPr>
        <w:t>’</w:t>
      </w:r>
      <w:r w:rsidRPr="00A241BD">
        <w:rPr>
          <w:lang w:val="fr-FR"/>
        </w:rPr>
        <w:t>absence d</w:t>
      </w:r>
      <w:r>
        <w:rPr>
          <w:lang w:val="fr-FR"/>
        </w:rPr>
        <w:t>’</w:t>
      </w:r>
      <w:r w:rsidRPr="00A241BD">
        <w:rPr>
          <w:lang w:val="fr-FR"/>
        </w:rPr>
        <w:t xml:space="preserve">alertes dans un </w:t>
      </w:r>
      <w:r>
        <w:rPr>
          <w:lang w:val="fr-FR"/>
        </w:rPr>
        <w:t xml:space="preserve">modèle </w:t>
      </w:r>
      <w:r w:rsidRPr="00A241BD">
        <w:rPr>
          <w:lang w:val="fr-FR"/>
        </w:rPr>
        <w:t xml:space="preserve">SAR ou </w:t>
      </w:r>
      <w:r>
        <w:rPr>
          <w:lang w:val="fr-FR"/>
        </w:rPr>
        <w:t xml:space="preserve">dans </w:t>
      </w:r>
      <w:r w:rsidRPr="00A241BD">
        <w:rPr>
          <w:lang w:val="fr-FR"/>
        </w:rPr>
        <w:t xml:space="preserve">un système expert </w:t>
      </w:r>
      <w:r w:rsidRPr="00836216">
        <w:rPr>
          <w:lang w:val="fr-FR"/>
        </w:rPr>
        <w:t>ne suffit pas à justifier</w:t>
      </w:r>
      <w:r>
        <w:rPr>
          <w:lang w:val="fr-FR"/>
        </w:rPr>
        <w:t xml:space="preserve"> l’absence de classement</w:t>
      </w:r>
      <w:r w:rsidRPr="00A241BD">
        <w:rPr>
          <w:lang w:val="fr-FR"/>
        </w:rPr>
        <w:t>.</w:t>
      </w:r>
    </w:p>
    <w:p w14:paraId="6E510CEB" w14:textId="77777777" w:rsidR="00B178A7" w:rsidRPr="00A241BD" w:rsidRDefault="00B178A7" w:rsidP="002D6BBB">
      <w:pPr>
        <w:pStyle w:val="SingleTxtG"/>
        <w:ind w:left="2268" w:hanging="1134"/>
        <w:rPr>
          <w:lang w:val="fr-FR"/>
        </w:rPr>
      </w:pPr>
      <w:r w:rsidRPr="00A241BD">
        <w:rPr>
          <w:lang w:val="fr-FR"/>
        </w:rPr>
        <w:t>3.4.2.2.6.4</w:t>
      </w:r>
      <w:r>
        <w:rPr>
          <w:lang w:val="fr-FR"/>
        </w:rPr>
        <w:tab/>
      </w:r>
      <w:r w:rsidRPr="00A241BD">
        <w:rPr>
          <w:lang w:val="fr-FR"/>
        </w:rPr>
        <w:t>Pour les</w:t>
      </w:r>
      <w:r>
        <w:rPr>
          <w:lang w:val="fr-FR"/>
        </w:rPr>
        <w:t xml:space="preserve"> </w:t>
      </w:r>
      <w:r w:rsidRPr="00A241BD">
        <w:rPr>
          <w:lang w:val="fr-FR"/>
        </w:rPr>
        <w:t xml:space="preserve">conclusions </w:t>
      </w:r>
      <w:r>
        <w:rPr>
          <w:lang w:val="fr-FR"/>
        </w:rPr>
        <w:t>de</w:t>
      </w:r>
      <w:r w:rsidRPr="00A241BD">
        <w:rPr>
          <w:lang w:val="fr-FR"/>
        </w:rPr>
        <w:t xml:space="preserve"> </w:t>
      </w:r>
      <w:r>
        <w:rPr>
          <w:lang w:val="fr-FR"/>
        </w:rPr>
        <w:t>non-classement</w:t>
      </w:r>
      <w:r w:rsidRPr="00A241BD">
        <w:rPr>
          <w:lang w:val="fr-FR"/>
        </w:rPr>
        <w:t xml:space="preserve"> </w:t>
      </w:r>
      <w:r>
        <w:rPr>
          <w:lang w:val="fr-FR"/>
        </w:rPr>
        <w:t>reposant sur les méthodes de lecture croisée</w:t>
      </w:r>
      <w:r w:rsidRPr="00A241BD">
        <w:rPr>
          <w:lang w:val="fr-FR"/>
        </w:rPr>
        <w:t xml:space="preserve"> </w:t>
      </w:r>
      <w:r>
        <w:rPr>
          <w:lang w:val="fr-FR"/>
        </w:rPr>
        <w:t>ou</w:t>
      </w:r>
      <w:r w:rsidRPr="00A241BD">
        <w:rPr>
          <w:lang w:val="fr-FR"/>
        </w:rPr>
        <w:t xml:space="preserve"> (Q)SAR, l</w:t>
      </w:r>
      <w:r>
        <w:rPr>
          <w:lang w:val="fr-FR"/>
        </w:rPr>
        <w:t>’</w:t>
      </w:r>
      <w:r w:rsidRPr="00A241BD">
        <w:rPr>
          <w:lang w:val="fr-FR"/>
        </w:rPr>
        <w:t xml:space="preserve">adéquation et la </w:t>
      </w:r>
      <w:r>
        <w:rPr>
          <w:lang w:val="fr-FR"/>
        </w:rPr>
        <w:t>fiabilité</w:t>
      </w:r>
      <w:r w:rsidRPr="00A241BD">
        <w:rPr>
          <w:lang w:val="fr-FR"/>
        </w:rPr>
        <w:t xml:space="preserve"> du raisonnement scientifique et des </w:t>
      </w:r>
      <w:r>
        <w:rPr>
          <w:lang w:val="fr-FR"/>
        </w:rPr>
        <w:t xml:space="preserve">éléments de </w:t>
      </w:r>
      <w:r w:rsidRPr="00A241BD">
        <w:rPr>
          <w:lang w:val="fr-FR"/>
        </w:rPr>
        <w:t>preuve</w:t>
      </w:r>
      <w:r>
        <w:rPr>
          <w:lang w:val="fr-FR"/>
        </w:rPr>
        <w:t xml:space="preserve"> </w:t>
      </w:r>
      <w:r w:rsidRPr="00A241BD">
        <w:rPr>
          <w:lang w:val="fr-FR"/>
        </w:rPr>
        <w:t>doivent être bien étayées</w:t>
      </w:r>
      <w:r>
        <w:rPr>
          <w:lang w:val="fr-FR"/>
        </w:rPr>
        <w:t xml:space="preserve">, ce qui </w:t>
      </w:r>
      <w:r w:rsidRPr="00A241BD">
        <w:rPr>
          <w:lang w:val="fr-FR"/>
        </w:rPr>
        <w:t xml:space="preserve">nécessite </w:t>
      </w:r>
      <w:r>
        <w:rPr>
          <w:lang w:val="fr-FR"/>
        </w:rPr>
        <w:t>habituel</w:t>
      </w:r>
      <w:r w:rsidRPr="00A241BD">
        <w:rPr>
          <w:lang w:val="fr-FR"/>
        </w:rPr>
        <w:t xml:space="preserve">lement </w:t>
      </w:r>
      <w:r>
        <w:rPr>
          <w:lang w:val="fr-FR"/>
        </w:rPr>
        <w:t xml:space="preserve">l’existence de </w:t>
      </w:r>
      <w:r w:rsidRPr="00A241BD">
        <w:rPr>
          <w:lang w:val="fr-FR"/>
        </w:rPr>
        <w:t xml:space="preserve">plusieurs </w:t>
      </w:r>
      <w:r>
        <w:rPr>
          <w:lang w:val="fr-FR"/>
        </w:rPr>
        <w:t>substance</w:t>
      </w:r>
      <w:r w:rsidRPr="00A241BD">
        <w:rPr>
          <w:lang w:val="fr-FR"/>
        </w:rPr>
        <w:t>s négatives présentant une bonne similarité</w:t>
      </w:r>
      <w:r>
        <w:rPr>
          <w:lang w:val="fr-FR"/>
        </w:rPr>
        <w:t xml:space="preserve"> </w:t>
      </w:r>
      <w:r w:rsidRPr="00A241BD">
        <w:rPr>
          <w:lang w:val="fr-FR"/>
        </w:rPr>
        <w:t>structurelle et physique (</w:t>
      </w:r>
      <w:r>
        <w:rPr>
          <w:lang w:val="fr-FR"/>
        </w:rPr>
        <w:t xml:space="preserve">en termes de </w:t>
      </w:r>
      <w:r w:rsidRPr="00A241BD">
        <w:rPr>
          <w:lang w:val="fr-FR"/>
        </w:rPr>
        <w:t xml:space="preserve">toxicocinétique) avec la </w:t>
      </w:r>
      <w:r>
        <w:rPr>
          <w:lang w:val="fr-FR"/>
        </w:rPr>
        <w:t>substance</w:t>
      </w:r>
      <w:r w:rsidRPr="00A241BD">
        <w:rPr>
          <w:lang w:val="fr-FR"/>
        </w:rPr>
        <w:t xml:space="preserve"> </w:t>
      </w:r>
      <w:r>
        <w:rPr>
          <w:lang w:val="fr-FR"/>
        </w:rPr>
        <w:t xml:space="preserve">à </w:t>
      </w:r>
      <w:r w:rsidRPr="00A241BD">
        <w:rPr>
          <w:lang w:val="fr-FR"/>
        </w:rPr>
        <w:t>class</w:t>
      </w:r>
      <w:r>
        <w:rPr>
          <w:lang w:val="fr-FR"/>
        </w:rPr>
        <w:t>er</w:t>
      </w:r>
      <w:r w:rsidRPr="00A241BD">
        <w:rPr>
          <w:lang w:val="fr-FR"/>
        </w:rPr>
        <w:t>, ainsi qu</w:t>
      </w:r>
      <w:r>
        <w:rPr>
          <w:lang w:val="fr-FR"/>
        </w:rPr>
        <w:t>’</w:t>
      </w:r>
      <w:r w:rsidRPr="00A241BD">
        <w:rPr>
          <w:lang w:val="fr-FR"/>
        </w:rPr>
        <w:t xml:space="preserve">une absence manifeste de </w:t>
      </w:r>
      <w:r>
        <w:rPr>
          <w:lang w:val="fr-FR"/>
        </w:rPr>
        <w:t>substance</w:t>
      </w:r>
      <w:r w:rsidRPr="00A241BD">
        <w:rPr>
          <w:lang w:val="fr-FR"/>
        </w:rPr>
        <w:t>s positives présentant une bonne similarité structurelle et physique avec la</w:t>
      </w:r>
      <w:r>
        <w:rPr>
          <w:lang w:val="fr-FR"/>
        </w:rPr>
        <w:t>dite</w:t>
      </w:r>
      <w:r w:rsidRPr="00A241BD">
        <w:rPr>
          <w:lang w:val="fr-FR"/>
        </w:rPr>
        <w:t xml:space="preserve"> </w:t>
      </w:r>
      <w:r>
        <w:rPr>
          <w:lang w:val="fr-FR"/>
        </w:rPr>
        <w:t>substance à</w:t>
      </w:r>
      <w:r w:rsidRPr="00A241BD">
        <w:rPr>
          <w:lang w:val="fr-FR"/>
        </w:rPr>
        <w:t xml:space="preserve"> class</w:t>
      </w:r>
      <w:r>
        <w:rPr>
          <w:lang w:val="fr-FR"/>
        </w:rPr>
        <w:t>er</w:t>
      </w:r>
      <w:r w:rsidRPr="00A241BD">
        <w:rPr>
          <w:lang w:val="fr-FR"/>
        </w:rPr>
        <w:t>.</w:t>
      </w:r>
    </w:p>
    <w:p w14:paraId="366994B3" w14:textId="3BBD9BBA" w:rsidR="00B178A7" w:rsidRPr="00A241BD" w:rsidRDefault="00B178A7" w:rsidP="002D6BBB">
      <w:pPr>
        <w:pStyle w:val="SingleTxtG"/>
        <w:keepLines/>
        <w:ind w:left="2268" w:hanging="1134"/>
        <w:jc w:val="left"/>
        <w:rPr>
          <w:strike/>
          <w:lang w:val="fr-FR"/>
        </w:rPr>
      </w:pPr>
      <w:r w:rsidRPr="00A241BD">
        <w:rPr>
          <w:lang w:val="fr-FR"/>
        </w:rPr>
        <w:t>3.4.2.2.7</w:t>
      </w:r>
      <w:r w:rsidRPr="00A241BD">
        <w:rPr>
          <w:lang w:val="fr-FR"/>
        </w:rPr>
        <w:tab/>
      </w:r>
      <w:r w:rsidRPr="00CC3935">
        <w:rPr>
          <w:i/>
          <w:iCs/>
          <w:lang w:val="fr-FR"/>
        </w:rPr>
        <w:t xml:space="preserve">Classification selon une méthode par étapes </w:t>
      </w:r>
      <w:r w:rsidR="00EC24B6" w:rsidRPr="00CC3935">
        <w:rPr>
          <w:i/>
          <w:iCs/>
          <w:lang w:val="fr-FR"/>
        </w:rPr>
        <w:t>(fig. </w:t>
      </w:r>
      <w:r w:rsidRPr="00CC3935">
        <w:rPr>
          <w:i/>
          <w:iCs/>
          <w:lang w:val="fr-FR"/>
        </w:rPr>
        <w:t>3.4.1)</w:t>
      </w:r>
    </w:p>
    <w:p w14:paraId="0B7A5E4A" w14:textId="0B4FA578" w:rsidR="00B178A7" w:rsidRPr="00A241BD" w:rsidRDefault="00B178A7" w:rsidP="002D6BBB">
      <w:pPr>
        <w:pStyle w:val="SingleTxtG"/>
        <w:ind w:left="2268" w:hanging="1134"/>
        <w:rPr>
          <w:lang w:val="fr-FR"/>
        </w:rPr>
      </w:pPr>
      <w:r w:rsidRPr="00A241BD">
        <w:rPr>
          <w:lang w:val="fr-FR"/>
        </w:rPr>
        <w:t>3.4.2.2.7.1</w:t>
      </w:r>
      <w:r>
        <w:rPr>
          <w:lang w:val="fr-FR"/>
        </w:rPr>
        <w:tab/>
        <w:t>L</w:t>
      </w:r>
      <w:r w:rsidRPr="00A241BD">
        <w:rPr>
          <w:lang w:val="fr-FR"/>
        </w:rPr>
        <w:t>e cas échéant</w:t>
      </w:r>
      <w:r>
        <w:rPr>
          <w:lang w:val="fr-FR"/>
        </w:rPr>
        <w:t>, u</w:t>
      </w:r>
      <w:r w:rsidRPr="00A241BD">
        <w:rPr>
          <w:lang w:val="fr-FR"/>
        </w:rPr>
        <w:t>ne</w:t>
      </w:r>
      <w:r>
        <w:rPr>
          <w:lang w:val="fr-FR"/>
        </w:rPr>
        <w:t xml:space="preserve"> méthode</w:t>
      </w:r>
      <w:r w:rsidRPr="00A241BD">
        <w:rPr>
          <w:lang w:val="fr-FR"/>
        </w:rPr>
        <w:t xml:space="preserve"> d</w:t>
      </w:r>
      <w:r>
        <w:rPr>
          <w:lang w:val="fr-FR"/>
        </w:rPr>
        <w:t>’</w:t>
      </w:r>
      <w:r w:rsidRPr="00A241BD">
        <w:rPr>
          <w:lang w:val="fr-FR"/>
        </w:rPr>
        <w:t>évaluation des informations</w:t>
      </w:r>
      <w:r w:rsidRPr="00FF2BE7">
        <w:rPr>
          <w:lang w:val="fr-FR"/>
        </w:rPr>
        <w:t xml:space="preserve"> </w:t>
      </w:r>
      <w:r w:rsidRPr="00A241BD">
        <w:rPr>
          <w:lang w:val="fr-FR"/>
        </w:rPr>
        <w:t xml:space="preserve">par </w:t>
      </w:r>
      <w:r>
        <w:rPr>
          <w:lang w:val="fr-FR"/>
        </w:rPr>
        <w:t>étapes</w:t>
      </w:r>
      <w:r w:rsidRPr="00A241BD">
        <w:rPr>
          <w:lang w:val="fr-FR"/>
        </w:rPr>
        <w:t xml:space="preserve"> doit être envisagée </w:t>
      </w:r>
      <w:r w:rsidR="00EC24B6">
        <w:rPr>
          <w:lang w:val="fr-FR"/>
        </w:rPr>
        <w:t>(fig. </w:t>
      </w:r>
      <w:r w:rsidRPr="00A241BD">
        <w:rPr>
          <w:lang w:val="fr-FR"/>
        </w:rPr>
        <w:t xml:space="preserve">3.4.1), </w:t>
      </w:r>
      <w:r>
        <w:rPr>
          <w:lang w:val="fr-FR"/>
        </w:rPr>
        <w:t>sach</w:t>
      </w:r>
      <w:r w:rsidRPr="00A241BD">
        <w:rPr>
          <w:lang w:val="fr-FR"/>
        </w:rPr>
        <w:t>ant que tou</w:t>
      </w:r>
      <w:r>
        <w:rPr>
          <w:lang w:val="fr-FR"/>
        </w:rPr>
        <w:t>te</w:t>
      </w:r>
      <w:r w:rsidRPr="00A241BD">
        <w:rPr>
          <w:lang w:val="fr-FR"/>
        </w:rPr>
        <w:t xml:space="preserve">s les </w:t>
      </w:r>
      <w:r w:rsidRPr="009A2FD8">
        <w:rPr>
          <w:lang w:val="fr-FR"/>
        </w:rPr>
        <w:t xml:space="preserve">étapes </w:t>
      </w:r>
      <w:r w:rsidRPr="00A241BD">
        <w:rPr>
          <w:lang w:val="fr-FR"/>
        </w:rPr>
        <w:t>ainsi que</w:t>
      </w:r>
      <w:r>
        <w:rPr>
          <w:lang w:val="fr-FR"/>
        </w:rPr>
        <w:t xml:space="preserve"> toutes</w:t>
      </w:r>
      <w:r w:rsidRPr="00A241BD">
        <w:rPr>
          <w:lang w:val="fr-FR"/>
        </w:rPr>
        <w:t xml:space="preserve"> les informations à un</w:t>
      </w:r>
      <w:r>
        <w:rPr>
          <w:lang w:val="fr-FR"/>
        </w:rPr>
        <w:t>e</w:t>
      </w:r>
      <w:r w:rsidRPr="00A241BD">
        <w:rPr>
          <w:lang w:val="fr-FR"/>
        </w:rPr>
        <w:t xml:space="preserve"> </w:t>
      </w:r>
      <w:r>
        <w:rPr>
          <w:lang w:val="fr-FR"/>
        </w:rPr>
        <w:t>même étape</w:t>
      </w:r>
      <w:r w:rsidRPr="00A241BD">
        <w:rPr>
          <w:lang w:val="fr-FR"/>
        </w:rPr>
        <w:t xml:space="preserve"> peuvent ne pas être pertinent</w:t>
      </w:r>
      <w:r>
        <w:rPr>
          <w:lang w:val="fr-FR"/>
        </w:rPr>
        <w:t>e</w:t>
      </w:r>
      <w:r w:rsidRPr="00A241BD">
        <w:rPr>
          <w:lang w:val="fr-FR"/>
        </w:rPr>
        <w:t xml:space="preserve">s. Cependant, </w:t>
      </w:r>
      <w:r>
        <w:rPr>
          <w:lang w:val="fr-FR"/>
        </w:rPr>
        <w:t>afin de</w:t>
      </w:r>
      <w:r w:rsidRPr="00A241BD">
        <w:rPr>
          <w:lang w:val="fr-FR"/>
        </w:rPr>
        <w:t xml:space="preserve"> </w:t>
      </w:r>
      <w:r>
        <w:rPr>
          <w:lang w:val="fr-FR"/>
        </w:rPr>
        <w:t xml:space="preserve">garantir </w:t>
      </w:r>
      <w:r w:rsidRPr="00A241BD">
        <w:rPr>
          <w:lang w:val="fr-FR"/>
        </w:rPr>
        <w:t xml:space="preserve">la cohérence </w:t>
      </w:r>
      <w:r>
        <w:rPr>
          <w:lang w:val="fr-FR"/>
        </w:rPr>
        <w:t>du classement, il est nécessaire</w:t>
      </w:r>
      <w:r w:rsidRPr="0034761F">
        <w:rPr>
          <w:lang w:val="fr-FR"/>
        </w:rPr>
        <w:t xml:space="preserve"> </w:t>
      </w:r>
      <w:r>
        <w:rPr>
          <w:lang w:val="fr-FR"/>
        </w:rPr>
        <w:t>d’</w:t>
      </w:r>
      <w:r w:rsidRPr="00A241BD">
        <w:rPr>
          <w:lang w:val="fr-FR"/>
        </w:rPr>
        <w:t>examin</w:t>
      </w:r>
      <w:r>
        <w:rPr>
          <w:lang w:val="fr-FR"/>
        </w:rPr>
        <w:t>er</w:t>
      </w:r>
      <w:r w:rsidRPr="00A241BD">
        <w:rPr>
          <w:lang w:val="fr-FR"/>
        </w:rPr>
        <w:t xml:space="preserve"> toutes les informations disponibles et pertinentes de qualité suffisante.</w:t>
      </w:r>
    </w:p>
    <w:p w14:paraId="707FE664" w14:textId="60A66575" w:rsidR="00B178A7" w:rsidRPr="00E348B7" w:rsidRDefault="00B178A7" w:rsidP="00D57EA8">
      <w:pPr>
        <w:pStyle w:val="SingleTxtG"/>
        <w:keepNext/>
        <w:ind w:left="2268" w:hanging="1134"/>
        <w:jc w:val="left"/>
        <w:rPr>
          <w:lang w:val="fr-FR"/>
        </w:rPr>
      </w:pPr>
      <w:r w:rsidRPr="00A241BD">
        <w:rPr>
          <w:lang w:val="fr-FR"/>
        </w:rPr>
        <w:t>3.4.2.2.7.2</w:t>
      </w:r>
      <w:r>
        <w:rPr>
          <w:lang w:val="fr-FR"/>
        </w:rPr>
        <w:tab/>
        <w:t xml:space="preserve">Étape </w:t>
      </w:r>
      <w:r w:rsidRPr="00A241BD">
        <w:rPr>
          <w:lang w:val="fr-FR"/>
        </w:rPr>
        <w:t>1</w:t>
      </w:r>
      <w:r>
        <w:rPr>
          <w:lang w:val="fr-FR"/>
        </w:rPr>
        <w:t xml:space="preserve"> </w:t>
      </w:r>
      <w:r w:rsidR="00CC3935">
        <w:rPr>
          <w:lang w:val="fr-FR"/>
        </w:rPr>
        <w:t>−</w:t>
      </w:r>
      <w:r>
        <w:rPr>
          <w:lang w:val="fr-FR"/>
        </w:rPr>
        <w:t xml:space="preserve"> </w:t>
      </w:r>
      <w:r w:rsidRPr="00A241BD">
        <w:rPr>
          <w:lang w:val="fr-FR"/>
        </w:rPr>
        <w:t xml:space="preserve">Classification </w:t>
      </w:r>
      <w:r>
        <w:rPr>
          <w:lang w:val="fr-FR"/>
        </w:rPr>
        <w:t>fond</w:t>
      </w:r>
      <w:r w:rsidRPr="00A241BD">
        <w:rPr>
          <w:lang w:val="fr-FR"/>
        </w:rPr>
        <w:t xml:space="preserve">ée sur des données humaines, des données animales </w:t>
      </w:r>
      <w:r>
        <w:rPr>
          <w:lang w:val="fr-FR"/>
        </w:rPr>
        <w:t>normalisées</w:t>
      </w:r>
      <w:r w:rsidRPr="00A241BD">
        <w:rPr>
          <w:lang w:val="fr-FR"/>
        </w:rPr>
        <w:t xml:space="preserve">, des </w:t>
      </w:r>
      <w:r>
        <w:rPr>
          <w:lang w:val="fr-FR"/>
        </w:rPr>
        <w:t>méthodes définies</w:t>
      </w:r>
      <w:r w:rsidRPr="00A241BD">
        <w:rPr>
          <w:lang w:val="fr-FR"/>
        </w:rPr>
        <w:t xml:space="preserve"> ou des méthodes</w:t>
      </w:r>
      <w:r>
        <w:rPr>
          <w:lang w:val="fr-FR"/>
        </w:rPr>
        <w:t xml:space="preserve"> </w:t>
      </w:r>
      <w:r w:rsidR="00D57EA8">
        <w:rPr>
          <w:lang w:val="fr-FR"/>
        </w:rPr>
        <w:br/>
      </w:r>
      <w:r>
        <w:rPr>
          <w:i/>
          <w:iCs/>
          <w:lang w:val="fr-FR"/>
        </w:rPr>
        <w:t xml:space="preserve">in </w:t>
      </w:r>
      <w:proofErr w:type="spellStart"/>
      <w:r>
        <w:rPr>
          <w:i/>
          <w:iCs/>
          <w:lang w:val="fr-FR"/>
        </w:rPr>
        <w:t>chemico</w:t>
      </w:r>
      <w:proofErr w:type="spellEnd"/>
      <w:r>
        <w:rPr>
          <w:i/>
          <w:iCs/>
          <w:lang w:val="fr-FR"/>
        </w:rPr>
        <w:t>/in vitro</w:t>
      </w:r>
      <w:r w:rsidRPr="00E348B7">
        <w:rPr>
          <w:i/>
          <w:iCs/>
          <w:lang w:val="fr-FR"/>
        </w:rPr>
        <w:t xml:space="preserve"> </w:t>
      </w:r>
      <w:r w:rsidRPr="00A241BD">
        <w:rPr>
          <w:lang w:val="fr-FR"/>
        </w:rPr>
        <w:t>autonomes</w:t>
      </w:r>
    </w:p>
    <w:p w14:paraId="75B67C4B" w14:textId="0BBE134D" w:rsidR="00B178A7" w:rsidRPr="00A241BD" w:rsidRDefault="00B178A7" w:rsidP="00CC3935">
      <w:pPr>
        <w:pStyle w:val="SingleTxtG"/>
        <w:keepNext/>
        <w:ind w:left="2268"/>
        <w:rPr>
          <w:lang w:val="fr-FR"/>
        </w:rPr>
      </w:pPr>
      <w:r w:rsidRPr="00E348B7">
        <w:rPr>
          <w:lang w:val="fr-FR"/>
        </w:rPr>
        <w:t>P</w:t>
      </w:r>
      <w:r w:rsidRPr="00A241BD">
        <w:rPr>
          <w:lang w:val="fr-FR"/>
        </w:rPr>
        <w:t xml:space="preserve">our </w:t>
      </w:r>
      <w:r>
        <w:rPr>
          <w:lang w:val="fr-FR"/>
        </w:rPr>
        <w:t>le classement</w:t>
      </w:r>
      <w:r w:rsidRPr="00A241BD">
        <w:rPr>
          <w:lang w:val="fr-FR"/>
        </w:rPr>
        <w:t xml:space="preserve"> d</w:t>
      </w:r>
      <w:r>
        <w:rPr>
          <w:lang w:val="fr-FR"/>
        </w:rPr>
        <w:t>’</w:t>
      </w:r>
      <w:r w:rsidRPr="00A241BD">
        <w:rPr>
          <w:lang w:val="fr-FR"/>
        </w:rPr>
        <w:t xml:space="preserve">une </w:t>
      </w:r>
      <w:r>
        <w:rPr>
          <w:lang w:val="fr-FR"/>
        </w:rPr>
        <w:t>substance</w:t>
      </w:r>
      <w:r w:rsidRPr="00A241BD">
        <w:rPr>
          <w:lang w:val="fr-FR"/>
        </w:rPr>
        <w:t xml:space="preserve">, les </w:t>
      </w:r>
      <w:r>
        <w:rPr>
          <w:lang w:val="fr-FR"/>
        </w:rPr>
        <w:t xml:space="preserve">éléments de </w:t>
      </w:r>
      <w:r w:rsidRPr="00A241BD">
        <w:rPr>
          <w:lang w:val="fr-FR"/>
        </w:rPr>
        <w:t xml:space="preserve">preuve </w:t>
      </w:r>
      <w:r>
        <w:rPr>
          <w:lang w:val="fr-FR"/>
        </w:rPr>
        <w:t xml:space="preserve">de </w:t>
      </w:r>
      <w:r w:rsidRPr="002D0727">
        <w:rPr>
          <w:lang w:val="fr-FR"/>
        </w:rPr>
        <w:t>l</w:t>
      </w:r>
      <w:r>
        <w:rPr>
          <w:lang w:val="fr-FR"/>
        </w:rPr>
        <w:t>’</w:t>
      </w:r>
      <w:r w:rsidRPr="002D0727">
        <w:rPr>
          <w:lang w:val="fr-FR"/>
        </w:rPr>
        <w:t>étape</w:t>
      </w:r>
      <w:r w:rsidR="00CC3935">
        <w:rPr>
          <w:lang w:val="fr-FR"/>
        </w:rPr>
        <w:t> </w:t>
      </w:r>
      <w:r w:rsidRPr="00A241BD">
        <w:rPr>
          <w:lang w:val="fr-FR"/>
        </w:rPr>
        <w:t xml:space="preserve">1 peuvent </w:t>
      </w:r>
      <w:r>
        <w:rPr>
          <w:lang w:val="fr-FR"/>
        </w:rPr>
        <w:t>comprendre</w:t>
      </w:r>
      <w:r w:rsidRPr="00A241BD">
        <w:rPr>
          <w:lang w:val="fr-FR"/>
        </w:rPr>
        <w:t xml:space="preserve"> des données provenant de l</w:t>
      </w:r>
      <w:r>
        <w:rPr>
          <w:lang w:val="fr-FR"/>
        </w:rPr>
        <w:t>’</w:t>
      </w:r>
      <w:r w:rsidRPr="00A241BD">
        <w:rPr>
          <w:lang w:val="fr-FR"/>
        </w:rPr>
        <w:t xml:space="preserve">une ou de toutes les sources de preuves suivantes. </w:t>
      </w:r>
      <w:r w:rsidRPr="00A241BD">
        <w:rPr>
          <w:bCs/>
          <w:lang w:val="fr-FR"/>
        </w:rPr>
        <w:t xml:space="preserve">Lorsque les données </w:t>
      </w:r>
      <w:r>
        <w:rPr>
          <w:bCs/>
          <w:lang w:val="fr-FR"/>
        </w:rPr>
        <w:t>de</w:t>
      </w:r>
      <w:r w:rsidRPr="002D0727">
        <w:rPr>
          <w:bCs/>
          <w:lang w:val="fr-FR"/>
        </w:rPr>
        <w:t xml:space="preserve"> l</w:t>
      </w:r>
      <w:r>
        <w:rPr>
          <w:bCs/>
          <w:lang w:val="fr-FR"/>
        </w:rPr>
        <w:t>’</w:t>
      </w:r>
      <w:r w:rsidRPr="002D0727">
        <w:rPr>
          <w:bCs/>
          <w:lang w:val="fr-FR"/>
        </w:rPr>
        <w:t xml:space="preserve">étape </w:t>
      </w:r>
      <w:r w:rsidRPr="00A241BD">
        <w:rPr>
          <w:bCs/>
          <w:lang w:val="fr-FR"/>
        </w:rPr>
        <w:t xml:space="preserve">1 sont incohérentes ou contradictoires, la conclusion est déterminée </w:t>
      </w:r>
      <w:r w:rsidRPr="00A241BD">
        <w:rPr>
          <w:lang w:val="fr-FR"/>
        </w:rPr>
        <w:t>par une évaluation d</w:t>
      </w:r>
      <w:r>
        <w:rPr>
          <w:lang w:val="fr-FR"/>
        </w:rPr>
        <w:t>e</w:t>
      </w:r>
      <w:r w:rsidRPr="0063183B">
        <w:rPr>
          <w:lang w:val="fr-FR"/>
        </w:rPr>
        <w:t xml:space="preserve"> la force probante des données</w:t>
      </w:r>
      <w:r>
        <w:rPr>
          <w:lang w:val="fr-FR"/>
        </w:rPr>
        <w:t> :</w:t>
      </w:r>
      <w:r w:rsidRPr="00A241BD">
        <w:rPr>
          <w:lang w:val="fr-FR"/>
        </w:rPr>
        <w:t xml:space="preserve"> </w:t>
      </w:r>
    </w:p>
    <w:p w14:paraId="74CB2DB9" w14:textId="6F57CC41" w:rsidR="00B178A7" w:rsidRPr="00A241BD" w:rsidRDefault="00B178A7" w:rsidP="002D6BBB">
      <w:pPr>
        <w:pStyle w:val="SingleTxtG"/>
        <w:ind w:left="2835" w:hanging="567"/>
        <w:rPr>
          <w:snapToGrid w:val="0"/>
          <w:lang w:val="fr-FR"/>
        </w:rPr>
      </w:pPr>
      <w:r w:rsidRPr="00A241BD">
        <w:rPr>
          <w:snapToGrid w:val="0"/>
          <w:lang w:val="fr-FR"/>
        </w:rPr>
        <w:t>a)</w:t>
      </w:r>
      <w:r w:rsidRPr="00A241BD">
        <w:rPr>
          <w:snapToGrid w:val="0"/>
          <w:lang w:val="fr-FR"/>
        </w:rPr>
        <w:tab/>
        <w:t>Études expérimentales chez l</w:t>
      </w:r>
      <w:r>
        <w:rPr>
          <w:snapToGrid w:val="0"/>
          <w:lang w:val="fr-FR"/>
        </w:rPr>
        <w:t>’</w:t>
      </w:r>
      <w:r w:rsidRPr="00A241BD">
        <w:rPr>
          <w:snapToGrid w:val="0"/>
          <w:lang w:val="fr-FR"/>
        </w:rPr>
        <w:t xml:space="preserve">homme (par exemple, test épicutané prédictif, </w:t>
      </w:r>
      <w:r w:rsidRPr="00A241BD">
        <w:rPr>
          <w:lang w:val="fr-FR"/>
        </w:rPr>
        <w:t>test épicutané chez l</w:t>
      </w:r>
      <w:r>
        <w:rPr>
          <w:lang w:val="fr-FR"/>
        </w:rPr>
        <w:t>’</w:t>
      </w:r>
      <w:r w:rsidRPr="00A241BD">
        <w:rPr>
          <w:lang w:val="fr-FR"/>
        </w:rPr>
        <w:t xml:space="preserve">homme </w:t>
      </w:r>
      <w:r>
        <w:rPr>
          <w:lang w:val="fr-FR"/>
        </w:rPr>
        <w:t>par applications</w:t>
      </w:r>
      <w:r w:rsidRPr="00FF2BE7">
        <w:rPr>
          <w:lang w:val="fr-FR"/>
        </w:rPr>
        <w:t xml:space="preserve"> </w:t>
      </w:r>
      <w:r w:rsidRPr="00A241BD">
        <w:rPr>
          <w:lang w:val="fr-FR"/>
        </w:rPr>
        <w:t>répété</w:t>
      </w:r>
      <w:r>
        <w:rPr>
          <w:lang w:val="fr-FR"/>
        </w:rPr>
        <w:t>es</w:t>
      </w:r>
      <w:r w:rsidRPr="00A241BD">
        <w:rPr>
          <w:lang w:val="fr-FR"/>
        </w:rPr>
        <w:t xml:space="preserve"> (</w:t>
      </w:r>
      <w:r w:rsidRPr="00A241BD">
        <w:rPr>
          <w:snapToGrid w:val="0"/>
          <w:lang w:val="fr-FR"/>
        </w:rPr>
        <w:t xml:space="preserve">HRIPT), </w:t>
      </w:r>
      <w:r w:rsidRPr="00A241BD">
        <w:rPr>
          <w:lang w:val="fr-FR"/>
        </w:rPr>
        <w:t>test de maxim</w:t>
      </w:r>
      <w:r>
        <w:rPr>
          <w:lang w:val="fr-FR"/>
        </w:rPr>
        <w:t>al</w:t>
      </w:r>
      <w:r w:rsidRPr="00A241BD">
        <w:rPr>
          <w:lang w:val="fr-FR"/>
        </w:rPr>
        <w:t>isation chez l</w:t>
      </w:r>
      <w:r>
        <w:rPr>
          <w:lang w:val="fr-FR"/>
        </w:rPr>
        <w:t>’</w:t>
      </w:r>
      <w:r w:rsidRPr="00A241BD">
        <w:rPr>
          <w:lang w:val="fr-FR"/>
        </w:rPr>
        <w:t>homme (</w:t>
      </w:r>
      <w:r w:rsidRPr="00A241BD">
        <w:rPr>
          <w:snapToGrid w:val="0"/>
          <w:lang w:val="fr-FR"/>
        </w:rPr>
        <w:t xml:space="preserve">HMT) (voir </w:t>
      </w:r>
      <w:r>
        <w:rPr>
          <w:snapToGrid w:val="0"/>
          <w:lang w:val="fr-FR"/>
        </w:rPr>
        <w:t>le paragraphe</w:t>
      </w:r>
      <w:r w:rsidRPr="00A241BD">
        <w:rPr>
          <w:snapToGrid w:val="0"/>
          <w:lang w:val="fr-FR"/>
        </w:rPr>
        <w:t xml:space="preserve"> 1.3.2.4.7, </w:t>
      </w:r>
      <w:r>
        <w:rPr>
          <w:snapToGrid w:val="0"/>
          <w:lang w:val="fr-FR"/>
        </w:rPr>
        <w:t xml:space="preserve">les </w:t>
      </w:r>
      <w:r w:rsidRPr="00A241BD">
        <w:rPr>
          <w:snapToGrid w:val="0"/>
          <w:lang w:val="fr-FR"/>
        </w:rPr>
        <w:t xml:space="preserve">critères </w:t>
      </w:r>
      <w:r>
        <w:rPr>
          <w:snapToGrid w:val="0"/>
          <w:lang w:val="fr-FR"/>
        </w:rPr>
        <w:t>aux</w:t>
      </w:r>
      <w:r w:rsidRPr="00A241BD">
        <w:rPr>
          <w:snapToGrid w:val="0"/>
          <w:lang w:val="fr-FR"/>
        </w:rPr>
        <w:t xml:space="preserve"> 3.4.2.2.2.2 a) et 3.4.2.2.</w:t>
      </w:r>
      <w:r w:rsidR="00F877E8">
        <w:rPr>
          <w:snapToGrid w:val="0"/>
          <w:lang w:val="fr-FR"/>
        </w:rPr>
        <w:t>2.</w:t>
      </w:r>
      <w:r w:rsidRPr="00A241BD">
        <w:rPr>
          <w:snapToGrid w:val="0"/>
          <w:lang w:val="fr-FR"/>
        </w:rPr>
        <w:t>3</w:t>
      </w:r>
      <w:r w:rsidR="00F877E8">
        <w:rPr>
          <w:snapToGrid w:val="0"/>
          <w:lang w:val="fr-FR"/>
        </w:rPr>
        <w:t> </w:t>
      </w:r>
      <w:r w:rsidRPr="00A241BD">
        <w:rPr>
          <w:snapToGrid w:val="0"/>
          <w:lang w:val="fr-FR"/>
        </w:rPr>
        <w:t xml:space="preserve">a) et </w:t>
      </w:r>
      <w:r>
        <w:rPr>
          <w:snapToGrid w:val="0"/>
          <w:lang w:val="fr-FR"/>
        </w:rPr>
        <w:t>les orientations</w:t>
      </w:r>
      <w:r w:rsidRPr="00A241BD">
        <w:rPr>
          <w:snapToGrid w:val="0"/>
          <w:lang w:val="fr-FR"/>
        </w:rPr>
        <w:t xml:space="preserve"> </w:t>
      </w:r>
      <w:r>
        <w:rPr>
          <w:snapToGrid w:val="0"/>
          <w:lang w:val="fr-FR"/>
        </w:rPr>
        <w:t xml:space="preserve">au </w:t>
      </w:r>
      <w:r w:rsidRPr="00A241BD">
        <w:rPr>
          <w:snapToGrid w:val="0"/>
          <w:lang w:val="fr-FR"/>
        </w:rPr>
        <w:t>3.4.5.3.2)</w:t>
      </w:r>
      <w:r>
        <w:rPr>
          <w:snapToGrid w:val="0"/>
          <w:lang w:val="fr-FR"/>
        </w:rPr>
        <w:t> ;</w:t>
      </w:r>
    </w:p>
    <w:p w14:paraId="31A60260" w14:textId="2CDC68E6" w:rsidR="00B178A7" w:rsidRPr="00A241BD" w:rsidRDefault="00B178A7" w:rsidP="002D6BBB">
      <w:pPr>
        <w:pStyle w:val="SingleTxtG"/>
        <w:ind w:left="2835" w:hanging="567"/>
        <w:rPr>
          <w:snapToGrid w:val="0"/>
          <w:lang w:val="fr-FR"/>
        </w:rPr>
      </w:pPr>
      <w:r w:rsidRPr="00A241BD">
        <w:rPr>
          <w:snapToGrid w:val="0"/>
          <w:lang w:val="fr-FR"/>
        </w:rPr>
        <w:t>b)</w:t>
      </w:r>
      <w:r w:rsidRPr="00A241BD">
        <w:rPr>
          <w:snapToGrid w:val="0"/>
          <w:lang w:val="fr-FR"/>
        </w:rPr>
        <w:tab/>
        <w:t xml:space="preserve">Études épidémiologiques (par exemple, études </w:t>
      </w:r>
      <w:r>
        <w:rPr>
          <w:snapToGrid w:val="0"/>
          <w:lang w:val="fr-FR"/>
        </w:rPr>
        <w:t xml:space="preserve">de </w:t>
      </w:r>
      <w:r w:rsidRPr="00A241BD">
        <w:rPr>
          <w:snapToGrid w:val="0"/>
          <w:lang w:val="fr-FR"/>
        </w:rPr>
        <w:t xml:space="preserve">cas-témoins, études prospectives) évaluant </w:t>
      </w:r>
      <w:r>
        <w:rPr>
          <w:snapToGrid w:val="0"/>
          <w:lang w:val="fr-FR"/>
        </w:rPr>
        <w:t xml:space="preserve">la </w:t>
      </w:r>
      <w:r w:rsidRPr="00AD2170">
        <w:rPr>
          <w:snapToGrid w:val="0"/>
          <w:lang w:val="fr-FR"/>
        </w:rPr>
        <w:t xml:space="preserve">dermatite allergique de contact </w:t>
      </w:r>
      <w:r w:rsidRPr="00A241BD">
        <w:rPr>
          <w:snapToGrid w:val="0"/>
          <w:lang w:val="fr-FR"/>
        </w:rPr>
        <w:t xml:space="preserve">(voir </w:t>
      </w:r>
      <w:r>
        <w:rPr>
          <w:snapToGrid w:val="0"/>
          <w:lang w:val="fr-FR"/>
        </w:rPr>
        <w:t xml:space="preserve">le paragraphe </w:t>
      </w:r>
      <w:r w:rsidRPr="00A241BD">
        <w:rPr>
          <w:snapToGrid w:val="0"/>
          <w:lang w:val="fr-FR"/>
        </w:rPr>
        <w:t xml:space="preserve">1.3.2.4.7, </w:t>
      </w:r>
      <w:r>
        <w:rPr>
          <w:snapToGrid w:val="0"/>
          <w:lang w:val="fr-FR"/>
        </w:rPr>
        <w:t xml:space="preserve">les </w:t>
      </w:r>
      <w:r w:rsidRPr="00A241BD">
        <w:rPr>
          <w:snapToGrid w:val="0"/>
          <w:lang w:val="fr-FR"/>
        </w:rPr>
        <w:t xml:space="preserve">critères </w:t>
      </w:r>
      <w:r>
        <w:rPr>
          <w:snapToGrid w:val="0"/>
          <w:lang w:val="fr-FR"/>
        </w:rPr>
        <w:t>a</w:t>
      </w:r>
      <w:r w:rsidRPr="00A241BD">
        <w:rPr>
          <w:snapToGrid w:val="0"/>
          <w:lang w:val="fr-FR"/>
        </w:rPr>
        <w:t>u 3.4.2.2.2.2</w:t>
      </w:r>
      <w:r w:rsidR="00F877E8">
        <w:rPr>
          <w:snapToGrid w:val="0"/>
          <w:lang w:val="fr-FR"/>
        </w:rPr>
        <w:t> </w:t>
      </w:r>
      <w:r w:rsidRPr="00A241BD">
        <w:rPr>
          <w:snapToGrid w:val="0"/>
          <w:lang w:val="fr-FR"/>
        </w:rPr>
        <w:t>b</w:t>
      </w:r>
      <w:r>
        <w:rPr>
          <w:snapToGrid w:val="0"/>
          <w:lang w:val="fr-FR"/>
        </w:rPr>
        <w:t>)</w:t>
      </w:r>
      <w:r w:rsidRPr="00A241BD">
        <w:rPr>
          <w:snapToGrid w:val="0"/>
          <w:lang w:val="fr-FR"/>
        </w:rPr>
        <w:t xml:space="preserve"> et c) et 3.4.2.2.2.3</w:t>
      </w:r>
      <w:r w:rsidR="00F877E8">
        <w:rPr>
          <w:snapToGrid w:val="0"/>
          <w:lang w:val="fr-FR"/>
        </w:rPr>
        <w:t> </w:t>
      </w:r>
      <w:r w:rsidRPr="00A241BD">
        <w:rPr>
          <w:snapToGrid w:val="0"/>
          <w:lang w:val="fr-FR"/>
        </w:rPr>
        <w:t>b</w:t>
      </w:r>
      <w:r>
        <w:rPr>
          <w:snapToGrid w:val="0"/>
          <w:lang w:val="fr-FR"/>
        </w:rPr>
        <w:t>)</w:t>
      </w:r>
      <w:r w:rsidRPr="00A241BD">
        <w:rPr>
          <w:snapToGrid w:val="0"/>
          <w:lang w:val="fr-FR"/>
        </w:rPr>
        <w:t xml:space="preserve"> et c) et</w:t>
      </w:r>
      <w:r w:rsidRPr="00AD2170">
        <w:rPr>
          <w:snapToGrid w:val="0"/>
          <w:lang w:val="fr-FR"/>
        </w:rPr>
        <w:t xml:space="preserve"> </w:t>
      </w:r>
      <w:r>
        <w:rPr>
          <w:snapToGrid w:val="0"/>
          <w:lang w:val="fr-FR"/>
        </w:rPr>
        <w:t>les</w:t>
      </w:r>
      <w:r w:rsidRPr="00A241BD">
        <w:rPr>
          <w:snapToGrid w:val="0"/>
          <w:lang w:val="fr-FR"/>
        </w:rPr>
        <w:t xml:space="preserve"> </w:t>
      </w:r>
      <w:r>
        <w:rPr>
          <w:snapToGrid w:val="0"/>
          <w:lang w:val="fr-FR"/>
        </w:rPr>
        <w:t>orientations</w:t>
      </w:r>
      <w:r w:rsidRPr="00A241BD">
        <w:rPr>
          <w:snapToGrid w:val="0"/>
          <w:lang w:val="fr-FR"/>
        </w:rPr>
        <w:t xml:space="preserve"> </w:t>
      </w:r>
      <w:r>
        <w:rPr>
          <w:snapToGrid w:val="0"/>
          <w:lang w:val="fr-FR"/>
        </w:rPr>
        <w:t xml:space="preserve">au </w:t>
      </w:r>
      <w:r w:rsidRPr="00A241BD">
        <w:rPr>
          <w:snapToGrid w:val="0"/>
          <w:lang w:val="fr-FR"/>
        </w:rPr>
        <w:t>3.4.5.3.2)</w:t>
      </w:r>
      <w:r>
        <w:rPr>
          <w:snapToGrid w:val="0"/>
          <w:lang w:val="fr-FR"/>
        </w:rPr>
        <w:t> ;</w:t>
      </w:r>
    </w:p>
    <w:p w14:paraId="48B5F391" w14:textId="47E2B110" w:rsidR="00B178A7" w:rsidRPr="00A241BD" w:rsidRDefault="00B178A7" w:rsidP="002D6BBB">
      <w:pPr>
        <w:pStyle w:val="SingleTxtG"/>
        <w:ind w:left="2835" w:hanging="567"/>
        <w:rPr>
          <w:snapToGrid w:val="0"/>
          <w:lang w:val="fr-FR"/>
        </w:rPr>
      </w:pPr>
      <w:r w:rsidRPr="00A241BD">
        <w:rPr>
          <w:snapToGrid w:val="0"/>
          <w:lang w:val="fr-FR"/>
        </w:rPr>
        <w:t>c)</w:t>
      </w:r>
      <w:r w:rsidRPr="00A241BD">
        <w:rPr>
          <w:snapToGrid w:val="0"/>
          <w:lang w:val="fr-FR"/>
        </w:rPr>
        <w:tab/>
      </w:r>
      <w:r>
        <w:rPr>
          <w:snapToGrid w:val="0"/>
          <w:lang w:val="fr-FR"/>
        </w:rPr>
        <w:t>C</w:t>
      </w:r>
      <w:r w:rsidRPr="00A241BD">
        <w:rPr>
          <w:snapToGrid w:val="0"/>
          <w:lang w:val="fr-FR"/>
        </w:rPr>
        <w:t xml:space="preserve">as bien documentés de dermatite allergique de contact (voir les critères </w:t>
      </w:r>
      <w:r>
        <w:rPr>
          <w:snapToGrid w:val="0"/>
          <w:lang w:val="fr-FR"/>
        </w:rPr>
        <w:t>aux</w:t>
      </w:r>
      <w:r w:rsidRPr="00A241BD">
        <w:rPr>
          <w:snapToGrid w:val="0"/>
          <w:lang w:val="fr-FR"/>
        </w:rPr>
        <w:t xml:space="preserve"> 3.4.2.2.2.2</w:t>
      </w:r>
      <w:r w:rsidR="00F877E8">
        <w:rPr>
          <w:snapToGrid w:val="0"/>
          <w:lang w:val="fr-FR"/>
        </w:rPr>
        <w:t> </w:t>
      </w:r>
      <w:r w:rsidRPr="00A241BD">
        <w:rPr>
          <w:snapToGrid w:val="0"/>
          <w:lang w:val="fr-FR"/>
        </w:rPr>
        <w:t>b) et 3.4.2.2.2.3</w:t>
      </w:r>
      <w:r w:rsidR="00F877E8">
        <w:rPr>
          <w:snapToGrid w:val="0"/>
          <w:lang w:val="fr-FR"/>
        </w:rPr>
        <w:t> </w:t>
      </w:r>
      <w:r w:rsidRPr="00A241BD">
        <w:rPr>
          <w:snapToGrid w:val="0"/>
          <w:lang w:val="fr-FR"/>
        </w:rPr>
        <w:t xml:space="preserve">b) et </w:t>
      </w:r>
      <w:r>
        <w:rPr>
          <w:snapToGrid w:val="0"/>
          <w:lang w:val="fr-FR"/>
        </w:rPr>
        <w:t>les</w:t>
      </w:r>
      <w:r w:rsidRPr="00A241BD">
        <w:rPr>
          <w:snapToGrid w:val="0"/>
          <w:lang w:val="fr-FR"/>
        </w:rPr>
        <w:t xml:space="preserve"> </w:t>
      </w:r>
      <w:r>
        <w:rPr>
          <w:snapToGrid w:val="0"/>
          <w:lang w:val="fr-FR"/>
        </w:rPr>
        <w:t>orientations</w:t>
      </w:r>
      <w:r w:rsidRPr="00A241BD">
        <w:rPr>
          <w:snapToGrid w:val="0"/>
          <w:lang w:val="fr-FR"/>
        </w:rPr>
        <w:t xml:space="preserve"> </w:t>
      </w:r>
      <w:r>
        <w:rPr>
          <w:snapToGrid w:val="0"/>
          <w:lang w:val="fr-FR"/>
        </w:rPr>
        <w:t xml:space="preserve">au </w:t>
      </w:r>
      <w:r w:rsidRPr="00A241BD">
        <w:rPr>
          <w:snapToGrid w:val="0"/>
          <w:lang w:val="fr-FR"/>
        </w:rPr>
        <w:t>3.4.5.3.2)</w:t>
      </w:r>
      <w:r>
        <w:rPr>
          <w:snapToGrid w:val="0"/>
          <w:lang w:val="fr-FR"/>
        </w:rPr>
        <w:t> ;</w:t>
      </w:r>
    </w:p>
    <w:p w14:paraId="074DE196" w14:textId="77777777" w:rsidR="00B178A7" w:rsidRPr="00A241BD" w:rsidRDefault="00B178A7" w:rsidP="002D6BBB">
      <w:pPr>
        <w:pStyle w:val="SingleTxtG"/>
        <w:ind w:left="2835" w:hanging="567"/>
        <w:rPr>
          <w:snapToGrid w:val="0"/>
          <w:lang w:val="fr-FR"/>
        </w:rPr>
      </w:pPr>
      <w:r w:rsidRPr="00A241BD">
        <w:rPr>
          <w:snapToGrid w:val="0"/>
          <w:lang w:val="fr-FR"/>
        </w:rPr>
        <w:t>d)</w:t>
      </w:r>
      <w:r w:rsidRPr="00A241BD">
        <w:rPr>
          <w:snapToGrid w:val="0"/>
          <w:lang w:val="fr-FR"/>
        </w:rPr>
        <w:tab/>
        <w:t xml:space="preserve">Études animales appropriées (voir les critères </w:t>
      </w:r>
      <w:r>
        <w:rPr>
          <w:snapToGrid w:val="0"/>
          <w:lang w:val="fr-FR"/>
        </w:rPr>
        <w:t xml:space="preserve">au </w:t>
      </w:r>
      <w:r w:rsidRPr="00A241BD">
        <w:rPr>
          <w:snapToGrid w:val="0"/>
          <w:lang w:val="fr-FR"/>
        </w:rPr>
        <w:t xml:space="preserve">3.4.2.2.3 et les </w:t>
      </w:r>
      <w:r>
        <w:rPr>
          <w:snapToGrid w:val="0"/>
          <w:lang w:val="fr-FR"/>
        </w:rPr>
        <w:t>orientations</w:t>
      </w:r>
      <w:r w:rsidRPr="00A241BD">
        <w:rPr>
          <w:snapToGrid w:val="0"/>
          <w:lang w:val="fr-FR"/>
        </w:rPr>
        <w:t xml:space="preserve"> </w:t>
      </w:r>
      <w:r>
        <w:rPr>
          <w:snapToGrid w:val="0"/>
          <w:lang w:val="fr-FR"/>
        </w:rPr>
        <w:t xml:space="preserve">au </w:t>
      </w:r>
      <w:r w:rsidRPr="00A241BD">
        <w:rPr>
          <w:snapToGrid w:val="0"/>
          <w:lang w:val="fr-FR"/>
        </w:rPr>
        <w:t>3.4.5.3.3)</w:t>
      </w:r>
      <w:r>
        <w:rPr>
          <w:snapToGrid w:val="0"/>
          <w:lang w:val="fr-FR"/>
        </w:rPr>
        <w:t> ;</w:t>
      </w:r>
    </w:p>
    <w:p w14:paraId="51D3FE26" w14:textId="07AFFDB6" w:rsidR="00B178A7" w:rsidRPr="00A241BD" w:rsidRDefault="00B178A7" w:rsidP="002D6BBB">
      <w:pPr>
        <w:pStyle w:val="SingleTxtG"/>
        <w:ind w:left="2835" w:hanging="567"/>
        <w:rPr>
          <w:snapToGrid w:val="0"/>
          <w:lang w:val="fr-FR"/>
        </w:rPr>
      </w:pPr>
      <w:r w:rsidRPr="00A241BD">
        <w:rPr>
          <w:snapToGrid w:val="0"/>
          <w:lang w:val="fr-FR"/>
        </w:rPr>
        <w:t>e)</w:t>
      </w:r>
      <w:r w:rsidRPr="00A241BD">
        <w:rPr>
          <w:snapToGrid w:val="0"/>
          <w:lang w:val="fr-FR"/>
        </w:rPr>
        <w:tab/>
      </w:r>
      <w:r>
        <w:rPr>
          <w:snapToGrid w:val="0"/>
          <w:lang w:val="fr-FR"/>
        </w:rPr>
        <w:t>Méthodes</w:t>
      </w:r>
      <w:r w:rsidRPr="00A241BD">
        <w:rPr>
          <w:snapToGrid w:val="0"/>
          <w:lang w:val="fr-FR"/>
        </w:rPr>
        <w:t xml:space="preserve"> définies validées selon les procédures internationales (voir </w:t>
      </w:r>
      <w:r>
        <w:rPr>
          <w:snapToGrid w:val="0"/>
          <w:lang w:val="fr-FR"/>
        </w:rPr>
        <w:t xml:space="preserve">le paragraphe </w:t>
      </w:r>
      <w:r w:rsidRPr="00A241BD">
        <w:rPr>
          <w:snapToGrid w:val="0"/>
          <w:lang w:val="fr-FR"/>
        </w:rPr>
        <w:t xml:space="preserve">3.4.2.2.4, </w:t>
      </w:r>
      <w:r>
        <w:rPr>
          <w:snapToGrid w:val="0"/>
          <w:lang w:val="fr-FR"/>
        </w:rPr>
        <w:t>les</w:t>
      </w:r>
      <w:r w:rsidRPr="00A241BD">
        <w:rPr>
          <w:snapToGrid w:val="0"/>
          <w:lang w:val="fr-FR"/>
        </w:rPr>
        <w:t xml:space="preserve"> </w:t>
      </w:r>
      <w:r>
        <w:rPr>
          <w:snapToGrid w:val="0"/>
          <w:lang w:val="fr-FR"/>
        </w:rPr>
        <w:t>orientations</w:t>
      </w:r>
      <w:r w:rsidRPr="00A241BD">
        <w:rPr>
          <w:snapToGrid w:val="0"/>
          <w:lang w:val="fr-FR"/>
        </w:rPr>
        <w:t xml:space="preserve"> </w:t>
      </w:r>
      <w:r>
        <w:rPr>
          <w:snapToGrid w:val="0"/>
          <w:lang w:val="fr-FR"/>
        </w:rPr>
        <w:t xml:space="preserve">au </w:t>
      </w:r>
      <w:r w:rsidRPr="00A241BD">
        <w:rPr>
          <w:snapToGrid w:val="0"/>
          <w:lang w:val="fr-FR"/>
        </w:rPr>
        <w:t>3.4.5.3.4</w:t>
      </w:r>
      <w:r w:rsidR="00446583">
        <w:rPr>
          <w:snapToGrid w:val="0"/>
          <w:lang w:val="fr-FR"/>
        </w:rPr>
        <w:t xml:space="preserve"> </w:t>
      </w:r>
      <w:r w:rsidRPr="00A241BD">
        <w:rPr>
          <w:snapToGrid w:val="0"/>
          <w:lang w:val="fr-FR"/>
        </w:rPr>
        <w:t xml:space="preserve">et </w:t>
      </w:r>
      <w:r>
        <w:rPr>
          <w:snapToGrid w:val="0"/>
          <w:lang w:val="fr-FR"/>
        </w:rPr>
        <w:t xml:space="preserve">le </w:t>
      </w:r>
      <w:r w:rsidRPr="00A241BD">
        <w:rPr>
          <w:snapToGrid w:val="0"/>
          <w:lang w:val="fr-FR"/>
        </w:rPr>
        <w:t>tableau 3.4.6)</w:t>
      </w:r>
      <w:r>
        <w:rPr>
          <w:snapToGrid w:val="0"/>
          <w:lang w:val="fr-FR"/>
        </w:rPr>
        <w:t> ;</w:t>
      </w:r>
    </w:p>
    <w:p w14:paraId="4CC9DCA8" w14:textId="66EACA1E" w:rsidR="00B178A7" w:rsidRPr="00A241BD" w:rsidRDefault="00B178A7" w:rsidP="002D6BBB">
      <w:pPr>
        <w:pStyle w:val="SingleTxtG"/>
        <w:ind w:left="2835" w:hanging="567"/>
        <w:rPr>
          <w:snapToGrid w:val="0"/>
          <w:lang w:val="fr-FR"/>
        </w:rPr>
      </w:pPr>
      <w:r w:rsidRPr="00A241BD">
        <w:rPr>
          <w:snapToGrid w:val="0"/>
          <w:lang w:val="fr-FR"/>
        </w:rPr>
        <w:t>f)</w:t>
      </w:r>
      <w:r w:rsidRPr="00A241BD">
        <w:rPr>
          <w:snapToGrid w:val="0"/>
          <w:lang w:val="fr-FR"/>
        </w:rPr>
        <w:tab/>
        <w:t xml:space="preserve">Méthodes autonomes </w:t>
      </w:r>
      <w:r>
        <w:rPr>
          <w:i/>
          <w:snapToGrid w:val="0"/>
          <w:lang w:val="fr-FR"/>
        </w:rPr>
        <w:t xml:space="preserve">in </w:t>
      </w:r>
      <w:proofErr w:type="spellStart"/>
      <w:r>
        <w:rPr>
          <w:i/>
          <w:snapToGrid w:val="0"/>
          <w:lang w:val="fr-FR"/>
        </w:rPr>
        <w:t>chemico</w:t>
      </w:r>
      <w:proofErr w:type="spellEnd"/>
      <w:r>
        <w:rPr>
          <w:i/>
          <w:snapToGrid w:val="0"/>
          <w:lang w:val="fr-FR"/>
        </w:rPr>
        <w:t>/in vitro</w:t>
      </w:r>
      <w:r w:rsidRPr="00E348B7">
        <w:rPr>
          <w:i/>
          <w:snapToGrid w:val="0"/>
          <w:lang w:val="fr-FR"/>
        </w:rPr>
        <w:t xml:space="preserve"> </w:t>
      </w:r>
      <w:r w:rsidRPr="00E348B7">
        <w:rPr>
          <w:snapToGrid w:val="0"/>
          <w:lang w:val="fr-FR"/>
        </w:rPr>
        <w:t>val</w:t>
      </w:r>
      <w:r w:rsidRPr="00A241BD">
        <w:rPr>
          <w:snapToGrid w:val="0"/>
          <w:lang w:val="fr-FR"/>
        </w:rPr>
        <w:t xml:space="preserve">idées selon les procédures internationales (voir </w:t>
      </w:r>
      <w:r>
        <w:rPr>
          <w:snapToGrid w:val="0"/>
          <w:lang w:val="fr-FR"/>
        </w:rPr>
        <w:t xml:space="preserve">le paragraphe </w:t>
      </w:r>
      <w:r w:rsidRPr="00A241BD">
        <w:rPr>
          <w:snapToGrid w:val="0"/>
          <w:lang w:val="fr-FR"/>
        </w:rPr>
        <w:t xml:space="preserve">3.4.2.2.5, </w:t>
      </w:r>
      <w:r>
        <w:rPr>
          <w:snapToGrid w:val="0"/>
          <w:lang w:val="fr-FR"/>
        </w:rPr>
        <w:t>les</w:t>
      </w:r>
      <w:r w:rsidRPr="00A241BD">
        <w:rPr>
          <w:snapToGrid w:val="0"/>
          <w:lang w:val="fr-FR"/>
        </w:rPr>
        <w:t xml:space="preserve"> </w:t>
      </w:r>
      <w:r>
        <w:rPr>
          <w:snapToGrid w:val="0"/>
          <w:lang w:val="fr-FR"/>
        </w:rPr>
        <w:t>orientations</w:t>
      </w:r>
      <w:r w:rsidRPr="00A241BD">
        <w:rPr>
          <w:snapToGrid w:val="0"/>
          <w:lang w:val="fr-FR"/>
        </w:rPr>
        <w:t xml:space="preserve"> </w:t>
      </w:r>
      <w:r>
        <w:rPr>
          <w:snapToGrid w:val="0"/>
          <w:lang w:val="fr-FR"/>
        </w:rPr>
        <w:t>au</w:t>
      </w:r>
      <w:r w:rsidR="00446583">
        <w:rPr>
          <w:snapToGrid w:val="0"/>
          <w:lang w:val="fr-FR"/>
        </w:rPr>
        <w:t> </w:t>
      </w:r>
      <w:r w:rsidRPr="00A241BD">
        <w:rPr>
          <w:snapToGrid w:val="0"/>
          <w:lang w:val="fr-FR"/>
        </w:rPr>
        <w:t>3.4.5.3.5</w:t>
      </w:r>
      <w:r w:rsidR="00446583">
        <w:rPr>
          <w:snapToGrid w:val="0"/>
          <w:lang w:val="fr-FR"/>
        </w:rPr>
        <w:t xml:space="preserve"> </w:t>
      </w:r>
      <w:r w:rsidRPr="00A241BD">
        <w:rPr>
          <w:snapToGrid w:val="0"/>
          <w:lang w:val="fr-FR"/>
        </w:rPr>
        <w:t xml:space="preserve">et </w:t>
      </w:r>
      <w:r>
        <w:rPr>
          <w:snapToGrid w:val="0"/>
          <w:lang w:val="fr-FR"/>
        </w:rPr>
        <w:t xml:space="preserve">le </w:t>
      </w:r>
      <w:r w:rsidRPr="00A241BD">
        <w:rPr>
          <w:snapToGrid w:val="0"/>
          <w:lang w:val="fr-FR"/>
        </w:rPr>
        <w:t>tableau 3.4.7).</w:t>
      </w:r>
    </w:p>
    <w:p w14:paraId="77230599" w14:textId="0E0CE882" w:rsidR="00B178A7" w:rsidRPr="00A241BD" w:rsidRDefault="00B178A7" w:rsidP="00D57EA8">
      <w:pPr>
        <w:pStyle w:val="SingleTxtG"/>
        <w:keepNext/>
        <w:ind w:left="2268" w:hanging="1134"/>
        <w:jc w:val="left"/>
        <w:rPr>
          <w:lang w:val="fr-FR"/>
        </w:rPr>
      </w:pPr>
      <w:r w:rsidRPr="00A241BD">
        <w:rPr>
          <w:lang w:val="fr-FR"/>
        </w:rPr>
        <w:lastRenderedPageBreak/>
        <w:t>3.4.2.2.7.3</w:t>
      </w:r>
      <w:r>
        <w:rPr>
          <w:lang w:val="fr-FR"/>
        </w:rPr>
        <w:tab/>
        <w:t>Étape</w:t>
      </w:r>
      <w:r w:rsidRPr="00A241BD">
        <w:rPr>
          <w:lang w:val="fr-FR"/>
        </w:rPr>
        <w:t xml:space="preserve"> 2</w:t>
      </w:r>
      <w:r>
        <w:rPr>
          <w:lang w:val="fr-FR"/>
        </w:rPr>
        <w:t xml:space="preserve"> </w:t>
      </w:r>
      <w:r w:rsidR="005E452C">
        <w:rPr>
          <w:lang w:val="fr-FR"/>
        </w:rPr>
        <w:t>−</w:t>
      </w:r>
      <w:r>
        <w:rPr>
          <w:lang w:val="fr-FR"/>
        </w:rPr>
        <w:t xml:space="preserve"> </w:t>
      </w:r>
      <w:r w:rsidRPr="00A241BD">
        <w:rPr>
          <w:bCs/>
          <w:lang w:val="fr-FR"/>
        </w:rPr>
        <w:t xml:space="preserve">Classification </w:t>
      </w:r>
      <w:r>
        <w:rPr>
          <w:bCs/>
          <w:lang w:val="fr-FR"/>
        </w:rPr>
        <w:t>fond</w:t>
      </w:r>
      <w:r w:rsidRPr="00A241BD">
        <w:rPr>
          <w:bCs/>
          <w:lang w:val="fr-FR"/>
        </w:rPr>
        <w:t xml:space="preserve">ée sur des données non concluantes </w:t>
      </w:r>
      <w:r>
        <w:rPr>
          <w:bCs/>
          <w:lang w:val="fr-FR"/>
        </w:rPr>
        <w:t>de</w:t>
      </w:r>
      <w:r w:rsidRPr="001A7C55">
        <w:rPr>
          <w:bCs/>
          <w:lang w:val="fr-FR"/>
        </w:rPr>
        <w:t xml:space="preserve"> l</w:t>
      </w:r>
      <w:r>
        <w:rPr>
          <w:bCs/>
          <w:lang w:val="fr-FR"/>
        </w:rPr>
        <w:t>’</w:t>
      </w:r>
      <w:r w:rsidRPr="001A7C55">
        <w:rPr>
          <w:bCs/>
          <w:lang w:val="fr-FR"/>
        </w:rPr>
        <w:t>étape</w:t>
      </w:r>
      <w:r>
        <w:rPr>
          <w:bCs/>
          <w:lang w:val="fr-FR"/>
        </w:rPr>
        <w:t> </w:t>
      </w:r>
      <w:r w:rsidRPr="00A241BD">
        <w:rPr>
          <w:bCs/>
          <w:lang w:val="fr-FR"/>
        </w:rPr>
        <w:t xml:space="preserve">1, </w:t>
      </w:r>
      <w:r w:rsidR="00D57EA8">
        <w:rPr>
          <w:bCs/>
          <w:lang w:val="fr-FR"/>
        </w:rPr>
        <w:br/>
      </w:r>
      <w:r w:rsidRPr="00A241BD">
        <w:rPr>
          <w:bCs/>
          <w:lang w:val="fr-FR"/>
        </w:rPr>
        <w:t xml:space="preserve">des méthodes </w:t>
      </w:r>
      <w:r>
        <w:rPr>
          <w:bCs/>
          <w:i/>
          <w:iCs/>
          <w:lang w:val="fr-FR"/>
        </w:rPr>
        <w:t xml:space="preserve">in </w:t>
      </w:r>
      <w:proofErr w:type="spellStart"/>
      <w:r>
        <w:rPr>
          <w:bCs/>
          <w:i/>
          <w:iCs/>
          <w:lang w:val="fr-FR"/>
        </w:rPr>
        <w:t>chemico</w:t>
      </w:r>
      <w:proofErr w:type="spellEnd"/>
      <w:r>
        <w:rPr>
          <w:bCs/>
          <w:i/>
          <w:iCs/>
          <w:lang w:val="fr-FR"/>
        </w:rPr>
        <w:t>/in vitro</w:t>
      </w:r>
      <w:r w:rsidRPr="00E348B7">
        <w:rPr>
          <w:bCs/>
          <w:i/>
          <w:iCs/>
          <w:lang w:val="fr-FR"/>
        </w:rPr>
        <w:t xml:space="preserve"> </w:t>
      </w:r>
      <w:r w:rsidRPr="00E348B7">
        <w:rPr>
          <w:bCs/>
          <w:lang w:val="fr-FR"/>
        </w:rPr>
        <w:t>non</w:t>
      </w:r>
      <w:r w:rsidRPr="00A241BD">
        <w:rPr>
          <w:bCs/>
          <w:lang w:val="fr-FR"/>
        </w:rPr>
        <w:t xml:space="preserve"> autonomes, des </w:t>
      </w:r>
      <w:r w:rsidRPr="000A24D6">
        <w:rPr>
          <w:bCs/>
          <w:lang w:val="fr-FR"/>
        </w:rPr>
        <w:t xml:space="preserve">méthodes non fondées sur des essais </w:t>
      </w:r>
      <w:r w:rsidRPr="00A241BD">
        <w:rPr>
          <w:bCs/>
          <w:lang w:val="fr-FR"/>
        </w:rPr>
        <w:t>ou des résultats peu fiables</w:t>
      </w:r>
      <w:r>
        <w:rPr>
          <w:bCs/>
          <w:lang w:val="fr-FR"/>
        </w:rPr>
        <w:t xml:space="preserve"> ou </w:t>
      </w:r>
      <w:r w:rsidRPr="00A241BD">
        <w:rPr>
          <w:bCs/>
          <w:lang w:val="fr-FR"/>
        </w:rPr>
        <w:t xml:space="preserve">non concluants </w:t>
      </w:r>
      <w:r>
        <w:rPr>
          <w:bCs/>
          <w:lang w:val="fr-FR"/>
        </w:rPr>
        <w:t xml:space="preserve">de méthodes </w:t>
      </w:r>
      <w:r w:rsidR="00D57EA8">
        <w:rPr>
          <w:bCs/>
          <w:lang w:val="fr-FR"/>
        </w:rPr>
        <w:br/>
      </w:r>
      <w:r>
        <w:rPr>
          <w:bCs/>
          <w:lang w:val="fr-FR"/>
        </w:rPr>
        <w:t>définies</w:t>
      </w:r>
    </w:p>
    <w:p w14:paraId="159AC65B" w14:textId="77777777" w:rsidR="00B178A7" w:rsidRPr="0034688F" w:rsidRDefault="00B178A7" w:rsidP="00084398">
      <w:pPr>
        <w:pStyle w:val="SingleTxtG"/>
        <w:ind w:left="2268"/>
        <w:rPr>
          <w:lang w:val="fr-FR"/>
        </w:rPr>
      </w:pPr>
      <w:r w:rsidRPr="00A241BD">
        <w:rPr>
          <w:lang w:val="fr-FR"/>
        </w:rPr>
        <w:t xml:space="preserve">Dans le cas où une conclusion définitive </w:t>
      </w:r>
      <w:r>
        <w:rPr>
          <w:lang w:val="fr-FR"/>
        </w:rPr>
        <w:t>concernant le classement</w:t>
      </w:r>
      <w:r w:rsidRPr="00A241BD">
        <w:rPr>
          <w:lang w:val="fr-FR"/>
        </w:rPr>
        <w:t>, y compris la sous-catégorisation lorsqu</w:t>
      </w:r>
      <w:r>
        <w:rPr>
          <w:lang w:val="fr-FR"/>
        </w:rPr>
        <w:t>’</w:t>
      </w:r>
      <w:r w:rsidRPr="00A241BD">
        <w:rPr>
          <w:lang w:val="fr-FR"/>
        </w:rPr>
        <w:t xml:space="preserve">elle est </w:t>
      </w:r>
      <w:r>
        <w:rPr>
          <w:lang w:val="fr-FR"/>
        </w:rPr>
        <w:t>exigée</w:t>
      </w:r>
      <w:r w:rsidRPr="00A241BD">
        <w:rPr>
          <w:lang w:val="fr-FR"/>
        </w:rPr>
        <w:t xml:space="preserve"> par une autorité compétente, ne peut être tirée </w:t>
      </w:r>
      <w:r>
        <w:rPr>
          <w:bCs/>
          <w:lang w:val="fr-FR"/>
        </w:rPr>
        <w:t>de</w:t>
      </w:r>
      <w:r w:rsidRPr="001A7C55">
        <w:rPr>
          <w:bCs/>
          <w:lang w:val="fr-FR"/>
        </w:rPr>
        <w:t xml:space="preserve"> l</w:t>
      </w:r>
      <w:r>
        <w:rPr>
          <w:bCs/>
          <w:lang w:val="fr-FR"/>
        </w:rPr>
        <w:t>’</w:t>
      </w:r>
      <w:r w:rsidRPr="001A7C55">
        <w:rPr>
          <w:bCs/>
          <w:lang w:val="fr-FR"/>
        </w:rPr>
        <w:t>étape</w:t>
      </w:r>
      <w:r>
        <w:rPr>
          <w:bCs/>
          <w:lang w:val="fr-FR"/>
        </w:rPr>
        <w:t> </w:t>
      </w:r>
      <w:r w:rsidRPr="00A241BD">
        <w:rPr>
          <w:lang w:val="fr-FR"/>
        </w:rPr>
        <w:t xml:space="preserve">1, des éléments de preuve supplémentaires doivent être pris en compte dans </w:t>
      </w:r>
      <w:r>
        <w:rPr>
          <w:lang w:val="fr-FR"/>
        </w:rPr>
        <w:t xml:space="preserve">l’évaluation de </w:t>
      </w:r>
      <w:r w:rsidRPr="0063183B">
        <w:rPr>
          <w:lang w:val="fr-FR"/>
        </w:rPr>
        <w:t xml:space="preserve">la force probante des données </w:t>
      </w:r>
      <w:r>
        <w:rPr>
          <w:bCs/>
          <w:lang w:val="fr-FR"/>
        </w:rPr>
        <w:t>de</w:t>
      </w:r>
      <w:r w:rsidRPr="001A7C55">
        <w:rPr>
          <w:bCs/>
          <w:lang w:val="fr-FR"/>
        </w:rPr>
        <w:t xml:space="preserve"> l</w:t>
      </w:r>
      <w:r>
        <w:rPr>
          <w:bCs/>
          <w:lang w:val="fr-FR"/>
        </w:rPr>
        <w:t>’</w:t>
      </w:r>
      <w:r w:rsidRPr="001A7C55">
        <w:rPr>
          <w:bCs/>
          <w:lang w:val="fr-FR"/>
        </w:rPr>
        <w:t>étape</w:t>
      </w:r>
      <w:r>
        <w:rPr>
          <w:bCs/>
          <w:lang w:val="fr-FR"/>
        </w:rPr>
        <w:t> </w:t>
      </w:r>
      <w:r w:rsidRPr="00A241BD">
        <w:rPr>
          <w:lang w:val="fr-FR"/>
        </w:rPr>
        <w:t xml:space="preserve">2. </w:t>
      </w:r>
      <w:r w:rsidRPr="0034688F">
        <w:rPr>
          <w:lang w:val="fr-FR"/>
        </w:rPr>
        <w:t>Ce</w:t>
      </w:r>
      <w:r>
        <w:rPr>
          <w:lang w:val="fr-FR"/>
        </w:rPr>
        <w:t>s éléments</w:t>
      </w:r>
      <w:r w:rsidRPr="0034688F">
        <w:rPr>
          <w:lang w:val="fr-FR"/>
        </w:rPr>
        <w:t xml:space="preserve"> peuvent </w:t>
      </w:r>
      <w:r>
        <w:rPr>
          <w:lang w:val="fr-FR"/>
        </w:rPr>
        <w:t>comprendre</w:t>
      </w:r>
      <w:r w:rsidRPr="0034688F">
        <w:rPr>
          <w:lang w:val="fr-FR"/>
        </w:rPr>
        <w:t> :</w:t>
      </w:r>
    </w:p>
    <w:p w14:paraId="6DB849A1" w14:textId="77777777" w:rsidR="00B178A7" w:rsidRPr="00A241BD" w:rsidRDefault="00B178A7" w:rsidP="00084398">
      <w:pPr>
        <w:pStyle w:val="SingleTxtG"/>
        <w:ind w:left="2835" w:hanging="567"/>
        <w:rPr>
          <w:bCs/>
          <w:lang w:val="fr-FR"/>
        </w:rPr>
      </w:pPr>
      <w:r w:rsidRPr="00A241BD">
        <w:rPr>
          <w:bCs/>
          <w:lang w:val="fr-FR"/>
        </w:rPr>
        <w:t>a)</w:t>
      </w:r>
      <w:r w:rsidRPr="00A241BD">
        <w:rPr>
          <w:bCs/>
          <w:lang w:val="fr-FR"/>
        </w:rPr>
        <w:tab/>
        <w:t>D</w:t>
      </w:r>
      <w:r>
        <w:rPr>
          <w:bCs/>
          <w:lang w:val="fr-FR"/>
        </w:rPr>
        <w:t>es d</w:t>
      </w:r>
      <w:r w:rsidRPr="00A241BD">
        <w:rPr>
          <w:bCs/>
          <w:lang w:val="fr-FR"/>
        </w:rPr>
        <w:t xml:space="preserve">onnées </w:t>
      </w:r>
      <w:r>
        <w:rPr>
          <w:bCs/>
          <w:lang w:val="fr-FR"/>
        </w:rPr>
        <w:t xml:space="preserve">obtenues au moyen de </w:t>
      </w:r>
      <w:r w:rsidRPr="00A241BD">
        <w:rPr>
          <w:bCs/>
          <w:lang w:val="fr-FR"/>
        </w:rPr>
        <w:t xml:space="preserve">méthodes </w:t>
      </w:r>
      <w:r>
        <w:rPr>
          <w:bCs/>
          <w:i/>
          <w:lang w:val="fr-FR"/>
        </w:rPr>
        <w:t xml:space="preserve">in </w:t>
      </w:r>
      <w:proofErr w:type="spellStart"/>
      <w:r>
        <w:rPr>
          <w:bCs/>
          <w:i/>
          <w:lang w:val="fr-FR"/>
        </w:rPr>
        <w:t>chemico</w:t>
      </w:r>
      <w:proofErr w:type="spellEnd"/>
      <w:r>
        <w:rPr>
          <w:bCs/>
          <w:i/>
          <w:lang w:val="fr-FR"/>
        </w:rPr>
        <w:t>/in vitro</w:t>
      </w:r>
      <w:r w:rsidRPr="00E348B7">
        <w:rPr>
          <w:bCs/>
          <w:i/>
          <w:iCs/>
          <w:lang w:val="fr-FR"/>
        </w:rPr>
        <w:t xml:space="preserve"> </w:t>
      </w:r>
      <w:r w:rsidRPr="00E348B7">
        <w:rPr>
          <w:bCs/>
          <w:lang w:val="fr-FR"/>
        </w:rPr>
        <w:t>non</w:t>
      </w:r>
      <w:r w:rsidRPr="00A241BD">
        <w:rPr>
          <w:bCs/>
          <w:lang w:val="fr-FR"/>
        </w:rPr>
        <w:t xml:space="preserve"> </w:t>
      </w:r>
      <w:r>
        <w:rPr>
          <w:bCs/>
          <w:lang w:val="fr-FR"/>
        </w:rPr>
        <w:t>normalisées</w:t>
      </w:r>
      <w:r w:rsidRPr="00A241BD">
        <w:rPr>
          <w:bCs/>
          <w:lang w:val="fr-FR"/>
        </w:rPr>
        <w:t xml:space="preserve"> (voir 3.4.2.2.5 et 3.4.5.3.5)</w:t>
      </w:r>
      <w:r>
        <w:rPr>
          <w:bCs/>
          <w:lang w:val="fr-FR"/>
        </w:rPr>
        <w:t> ;</w:t>
      </w:r>
    </w:p>
    <w:p w14:paraId="51ED84A5" w14:textId="77777777" w:rsidR="00B178A7" w:rsidRPr="00A241BD" w:rsidRDefault="00B178A7" w:rsidP="00084398">
      <w:pPr>
        <w:pStyle w:val="SingleTxtG"/>
        <w:ind w:left="2835" w:hanging="567"/>
        <w:rPr>
          <w:bCs/>
          <w:lang w:val="fr-FR"/>
        </w:rPr>
      </w:pPr>
      <w:r w:rsidRPr="00A241BD">
        <w:rPr>
          <w:bCs/>
          <w:lang w:val="fr-FR"/>
        </w:rPr>
        <w:t>b)</w:t>
      </w:r>
      <w:r w:rsidRPr="00A241BD">
        <w:rPr>
          <w:bCs/>
          <w:lang w:val="fr-FR"/>
        </w:rPr>
        <w:tab/>
        <w:t>D</w:t>
      </w:r>
      <w:r>
        <w:rPr>
          <w:bCs/>
          <w:lang w:val="fr-FR"/>
        </w:rPr>
        <w:t>es d</w:t>
      </w:r>
      <w:r w:rsidRPr="00A241BD">
        <w:rPr>
          <w:bCs/>
          <w:lang w:val="fr-FR"/>
        </w:rPr>
        <w:t xml:space="preserve">onnées </w:t>
      </w:r>
      <w:r>
        <w:rPr>
          <w:bCs/>
          <w:lang w:val="fr-FR"/>
        </w:rPr>
        <w:t xml:space="preserve">obtenues au moyen de </w:t>
      </w:r>
      <w:r w:rsidRPr="000A24D6">
        <w:rPr>
          <w:bCs/>
          <w:lang w:val="fr-FR"/>
        </w:rPr>
        <w:t xml:space="preserve">méthodes non fondées sur des essais </w:t>
      </w:r>
      <w:r w:rsidRPr="00A241BD">
        <w:rPr>
          <w:bCs/>
          <w:lang w:val="fr-FR"/>
        </w:rPr>
        <w:t>(voir 3.2.2.2.6)</w:t>
      </w:r>
      <w:r>
        <w:rPr>
          <w:bCs/>
          <w:lang w:val="fr-FR"/>
        </w:rPr>
        <w:t> ;</w:t>
      </w:r>
    </w:p>
    <w:p w14:paraId="2006A228" w14:textId="77777777" w:rsidR="00B178A7" w:rsidRPr="00A241BD" w:rsidRDefault="00B178A7" w:rsidP="00084398">
      <w:pPr>
        <w:pStyle w:val="SingleTxtG"/>
        <w:ind w:left="2835" w:hanging="567"/>
        <w:rPr>
          <w:bCs/>
          <w:lang w:val="fr-FR"/>
        </w:rPr>
      </w:pPr>
      <w:r w:rsidRPr="00A241BD">
        <w:rPr>
          <w:bCs/>
          <w:lang w:val="fr-FR"/>
        </w:rPr>
        <w:t>c)</w:t>
      </w:r>
      <w:r w:rsidRPr="00A241BD">
        <w:rPr>
          <w:bCs/>
          <w:lang w:val="fr-FR"/>
        </w:rPr>
        <w:tab/>
      </w:r>
      <w:r>
        <w:rPr>
          <w:bCs/>
          <w:lang w:val="fr-FR"/>
        </w:rPr>
        <w:t>Des r</w:t>
      </w:r>
      <w:r w:rsidRPr="00A241BD">
        <w:rPr>
          <w:bCs/>
          <w:lang w:val="fr-FR"/>
        </w:rPr>
        <w:t>ésultats peu fiables</w:t>
      </w:r>
      <w:r>
        <w:rPr>
          <w:bCs/>
          <w:lang w:val="fr-FR"/>
        </w:rPr>
        <w:t xml:space="preserve"> ou non </w:t>
      </w:r>
      <w:r w:rsidRPr="00A241BD">
        <w:rPr>
          <w:bCs/>
          <w:lang w:val="fr-FR"/>
        </w:rPr>
        <w:t>conclu</w:t>
      </w:r>
      <w:r>
        <w:rPr>
          <w:bCs/>
          <w:lang w:val="fr-FR"/>
        </w:rPr>
        <w:t>ants</w:t>
      </w:r>
      <w:r w:rsidRPr="00A241BD">
        <w:rPr>
          <w:bCs/>
          <w:lang w:val="fr-FR"/>
        </w:rPr>
        <w:t xml:space="preserve"> </w:t>
      </w:r>
      <w:r>
        <w:rPr>
          <w:bCs/>
          <w:lang w:val="fr-FR"/>
        </w:rPr>
        <w:t>obtenus au moyen de méthodes définies</w:t>
      </w:r>
      <w:r w:rsidRPr="00A241BD">
        <w:rPr>
          <w:bCs/>
          <w:lang w:val="fr-FR"/>
        </w:rPr>
        <w:t xml:space="preserve"> (voir </w:t>
      </w:r>
      <w:r w:rsidRPr="00A241BD">
        <w:rPr>
          <w:lang w:val="fr-FR"/>
        </w:rPr>
        <w:t>3.4.2.2.4.2</w:t>
      </w:r>
      <w:r w:rsidRPr="00A241BD">
        <w:rPr>
          <w:bCs/>
          <w:lang w:val="fr-FR"/>
        </w:rPr>
        <w:t>).</w:t>
      </w:r>
    </w:p>
    <w:p w14:paraId="3987A7CE" w14:textId="77777777" w:rsidR="00B178A7" w:rsidRPr="00A241BD" w:rsidRDefault="00B178A7" w:rsidP="00F27080">
      <w:pPr>
        <w:pStyle w:val="SingleTxtG"/>
        <w:ind w:left="2268" w:hanging="1134"/>
        <w:rPr>
          <w:lang w:val="fr-FR"/>
        </w:rPr>
      </w:pPr>
      <w:r w:rsidRPr="00A241BD">
        <w:rPr>
          <w:lang w:val="fr-FR"/>
        </w:rPr>
        <w:t>3.4.2.2.7.4</w:t>
      </w:r>
      <w:r>
        <w:rPr>
          <w:lang w:val="fr-FR"/>
        </w:rPr>
        <w:tab/>
      </w:r>
      <w:r w:rsidRPr="00A241BD">
        <w:rPr>
          <w:lang w:val="fr-FR"/>
        </w:rPr>
        <w:t xml:space="preserve">Les éléments de preuve </w:t>
      </w:r>
      <w:r>
        <w:rPr>
          <w:bCs/>
          <w:lang w:val="fr-FR"/>
        </w:rPr>
        <w:t xml:space="preserve">obtenus au moyen de </w:t>
      </w:r>
      <w:r w:rsidRPr="00A241BD">
        <w:rPr>
          <w:lang w:val="fr-FR"/>
        </w:rPr>
        <w:t xml:space="preserve">méthodes </w:t>
      </w:r>
      <w:r>
        <w:rPr>
          <w:i/>
          <w:iCs/>
          <w:lang w:val="fr-FR"/>
        </w:rPr>
        <w:t xml:space="preserve">in </w:t>
      </w:r>
      <w:proofErr w:type="spellStart"/>
      <w:r>
        <w:rPr>
          <w:i/>
          <w:iCs/>
          <w:lang w:val="fr-FR"/>
        </w:rPr>
        <w:t>chemico</w:t>
      </w:r>
      <w:proofErr w:type="spellEnd"/>
      <w:r>
        <w:rPr>
          <w:i/>
          <w:iCs/>
          <w:lang w:val="fr-FR"/>
        </w:rPr>
        <w:t>/in vitro</w:t>
      </w:r>
      <w:r w:rsidRPr="00E348B7">
        <w:rPr>
          <w:i/>
          <w:iCs/>
          <w:lang w:val="fr-FR"/>
        </w:rPr>
        <w:t xml:space="preserve"> </w:t>
      </w:r>
      <w:r w:rsidRPr="00E348B7">
        <w:rPr>
          <w:lang w:val="fr-FR"/>
        </w:rPr>
        <w:t>non</w:t>
      </w:r>
      <w:r w:rsidRPr="00A241BD">
        <w:rPr>
          <w:lang w:val="fr-FR"/>
        </w:rPr>
        <w:t xml:space="preserve"> autonomes et de</w:t>
      </w:r>
      <w:r>
        <w:rPr>
          <w:lang w:val="fr-FR"/>
        </w:rPr>
        <w:t xml:space="preserve"> </w:t>
      </w:r>
      <w:r w:rsidRPr="000A24D6">
        <w:rPr>
          <w:lang w:val="fr-FR"/>
        </w:rPr>
        <w:t xml:space="preserve">méthodes non fondées sur des essais </w:t>
      </w:r>
      <w:r w:rsidRPr="00A241BD">
        <w:rPr>
          <w:lang w:val="fr-FR"/>
        </w:rPr>
        <w:t xml:space="preserve">ne doivent pas être pris en compte à ce stade si ces données sont déjà utilisées dans une </w:t>
      </w:r>
      <w:r>
        <w:rPr>
          <w:lang w:val="fr-FR"/>
        </w:rPr>
        <w:t>méthode</w:t>
      </w:r>
      <w:r w:rsidRPr="00A241BD">
        <w:rPr>
          <w:lang w:val="fr-FR"/>
        </w:rPr>
        <w:t xml:space="preserve"> définie au </w:t>
      </w:r>
      <w:r>
        <w:rPr>
          <w:lang w:val="fr-FR"/>
        </w:rPr>
        <w:t xml:space="preserve">titre du </w:t>
      </w:r>
      <w:r w:rsidRPr="00A241BD">
        <w:rPr>
          <w:lang w:val="fr-FR"/>
        </w:rPr>
        <w:t xml:space="preserve">3.4.2.2.7.2. </w:t>
      </w:r>
    </w:p>
    <w:p w14:paraId="243D6A6C" w14:textId="77777777" w:rsidR="00B178A7" w:rsidRPr="00A241BD" w:rsidRDefault="00B178A7" w:rsidP="00F27080">
      <w:pPr>
        <w:pStyle w:val="SingleTxtG"/>
        <w:ind w:left="2268" w:hanging="1134"/>
        <w:rPr>
          <w:iCs/>
          <w:lang w:val="fr-FR"/>
        </w:rPr>
      </w:pPr>
      <w:r w:rsidRPr="00A241BD">
        <w:rPr>
          <w:iCs/>
          <w:lang w:val="fr-FR"/>
        </w:rPr>
        <w:t>3.4.2.2.7.5</w:t>
      </w:r>
      <w:r>
        <w:rPr>
          <w:iCs/>
          <w:lang w:val="fr-FR"/>
        </w:rPr>
        <w:tab/>
      </w:r>
      <w:r w:rsidRPr="00A241BD">
        <w:rPr>
          <w:iCs/>
          <w:lang w:val="fr-FR"/>
        </w:rPr>
        <w:t xml:space="preserve">Les méthodes </w:t>
      </w:r>
      <w:r>
        <w:rPr>
          <w:i/>
          <w:iCs/>
          <w:lang w:val="fr-FR"/>
        </w:rPr>
        <w:t xml:space="preserve">in </w:t>
      </w:r>
      <w:proofErr w:type="spellStart"/>
      <w:r>
        <w:rPr>
          <w:i/>
          <w:iCs/>
          <w:lang w:val="fr-FR"/>
        </w:rPr>
        <w:t>chemico</w:t>
      </w:r>
      <w:proofErr w:type="spellEnd"/>
      <w:r>
        <w:rPr>
          <w:i/>
          <w:iCs/>
          <w:lang w:val="fr-FR"/>
        </w:rPr>
        <w:t>/in vitro</w:t>
      </w:r>
      <w:r>
        <w:rPr>
          <w:lang w:val="fr-FR"/>
        </w:rPr>
        <w:t xml:space="preserve"> non normalisées </w:t>
      </w:r>
      <w:r w:rsidRPr="00E348B7">
        <w:rPr>
          <w:iCs/>
          <w:lang w:val="fr-FR"/>
        </w:rPr>
        <w:t>val</w:t>
      </w:r>
      <w:r w:rsidRPr="00A241BD">
        <w:rPr>
          <w:iCs/>
          <w:lang w:val="fr-FR"/>
        </w:rPr>
        <w:t xml:space="preserve">idées selon des procédures internationales, les </w:t>
      </w:r>
      <w:r w:rsidRPr="000A24D6">
        <w:rPr>
          <w:iCs/>
          <w:lang w:val="fr-FR"/>
        </w:rPr>
        <w:t xml:space="preserve">méthodes non fondées sur des essais </w:t>
      </w:r>
      <w:r w:rsidRPr="00A241BD">
        <w:rPr>
          <w:iCs/>
          <w:lang w:val="fr-FR"/>
        </w:rPr>
        <w:t>(y compris les méthodes de lecture croisée) et les données peu fiables</w:t>
      </w:r>
      <w:r>
        <w:rPr>
          <w:iCs/>
          <w:lang w:val="fr-FR"/>
        </w:rPr>
        <w:t xml:space="preserve"> ou non concluantes</w:t>
      </w:r>
      <w:r w:rsidRPr="00A241BD">
        <w:rPr>
          <w:iCs/>
          <w:lang w:val="fr-FR"/>
        </w:rPr>
        <w:t xml:space="preserve"> </w:t>
      </w:r>
      <w:r>
        <w:rPr>
          <w:bCs/>
          <w:lang w:val="fr-FR"/>
        </w:rPr>
        <w:t xml:space="preserve">obtenues au moyen de </w:t>
      </w:r>
      <w:r>
        <w:rPr>
          <w:iCs/>
          <w:lang w:val="fr-FR"/>
        </w:rPr>
        <w:t>méthodes définies</w:t>
      </w:r>
      <w:r w:rsidRPr="00A241BD">
        <w:rPr>
          <w:iCs/>
          <w:lang w:val="fr-FR"/>
        </w:rPr>
        <w:t xml:space="preserve"> peuvent être </w:t>
      </w:r>
      <w:r>
        <w:rPr>
          <w:iCs/>
          <w:lang w:val="fr-FR"/>
        </w:rPr>
        <w:t>utilis</w:t>
      </w:r>
      <w:r w:rsidRPr="00A241BD">
        <w:rPr>
          <w:iCs/>
          <w:lang w:val="fr-FR"/>
        </w:rPr>
        <w:t>ées</w:t>
      </w:r>
      <w:r w:rsidRPr="00287DBD">
        <w:rPr>
          <w:iCs/>
          <w:lang w:val="fr-FR"/>
        </w:rPr>
        <w:t xml:space="preserve"> </w:t>
      </w:r>
      <w:r w:rsidRPr="00A241BD">
        <w:rPr>
          <w:iCs/>
          <w:lang w:val="fr-FR"/>
        </w:rPr>
        <w:t xml:space="preserve">avec les données non concluantes </w:t>
      </w:r>
      <w:r>
        <w:rPr>
          <w:bCs/>
          <w:lang w:val="fr-FR"/>
        </w:rPr>
        <w:t>de</w:t>
      </w:r>
      <w:r w:rsidRPr="001A7C55">
        <w:rPr>
          <w:bCs/>
          <w:lang w:val="fr-FR"/>
        </w:rPr>
        <w:t xml:space="preserve"> l</w:t>
      </w:r>
      <w:r>
        <w:rPr>
          <w:bCs/>
          <w:lang w:val="fr-FR"/>
        </w:rPr>
        <w:t>’</w:t>
      </w:r>
      <w:r w:rsidRPr="001A7C55">
        <w:rPr>
          <w:bCs/>
          <w:lang w:val="fr-FR"/>
        </w:rPr>
        <w:t>étape</w:t>
      </w:r>
      <w:r>
        <w:rPr>
          <w:bCs/>
          <w:lang w:val="fr-FR"/>
        </w:rPr>
        <w:t> </w:t>
      </w:r>
      <w:r w:rsidRPr="00A241BD">
        <w:rPr>
          <w:iCs/>
          <w:lang w:val="fr-FR"/>
        </w:rPr>
        <w:t xml:space="preserve">1 </w:t>
      </w:r>
      <w:r>
        <w:rPr>
          <w:iCs/>
          <w:lang w:val="fr-FR"/>
        </w:rPr>
        <w:t>lors d’</w:t>
      </w:r>
      <w:r w:rsidRPr="00A241BD">
        <w:rPr>
          <w:iCs/>
          <w:lang w:val="fr-FR"/>
        </w:rPr>
        <w:t>une évaluation de</w:t>
      </w:r>
      <w:r w:rsidRPr="000A748D">
        <w:rPr>
          <w:bCs/>
          <w:lang w:val="fr-FR"/>
        </w:rPr>
        <w:t xml:space="preserve"> </w:t>
      </w:r>
      <w:r w:rsidRPr="00A241BD">
        <w:rPr>
          <w:bCs/>
          <w:lang w:val="fr-FR"/>
        </w:rPr>
        <w:t>l</w:t>
      </w:r>
      <w:r>
        <w:rPr>
          <w:bCs/>
          <w:lang w:val="fr-FR"/>
        </w:rPr>
        <w:t>a</w:t>
      </w:r>
      <w:r w:rsidRPr="00A241BD">
        <w:rPr>
          <w:bCs/>
          <w:lang w:val="fr-FR"/>
        </w:rPr>
        <w:t xml:space="preserve"> </w:t>
      </w:r>
      <w:r w:rsidRPr="0063183B">
        <w:rPr>
          <w:bCs/>
          <w:lang w:val="fr-FR"/>
        </w:rPr>
        <w:t>force probante des données</w:t>
      </w:r>
      <w:r w:rsidRPr="00A241BD">
        <w:rPr>
          <w:iCs/>
          <w:lang w:val="fr-FR"/>
        </w:rPr>
        <w:t xml:space="preserve"> et doivent être utilisées dans ce</w:t>
      </w:r>
      <w:r>
        <w:rPr>
          <w:iCs/>
          <w:lang w:val="fr-FR"/>
        </w:rPr>
        <w:t>tte</w:t>
      </w:r>
      <w:r w:rsidRPr="00A241BD">
        <w:rPr>
          <w:iCs/>
          <w:lang w:val="fr-FR"/>
        </w:rPr>
        <w:t xml:space="preserve"> deuxième </w:t>
      </w:r>
      <w:r>
        <w:rPr>
          <w:iCs/>
          <w:lang w:val="fr-FR"/>
        </w:rPr>
        <w:t>étape</w:t>
      </w:r>
      <w:r w:rsidRPr="00A241BD">
        <w:rPr>
          <w:iCs/>
          <w:lang w:val="fr-FR"/>
        </w:rPr>
        <w:t xml:space="preserve"> car elles ne peuvent généralement pas être utilisées seules (à l</w:t>
      </w:r>
      <w:r>
        <w:rPr>
          <w:iCs/>
          <w:lang w:val="fr-FR"/>
        </w:rPr>
        <w:t>’</w:t>
      </w:r>
      <w:r w:rsidRPr="00A241BD">
        <w:rPr>
          <w:iCs/>
          <w:lang w:val="fr-FR"/>
        </w:rPr>
        <w:t>exception des méthodes de lecture croisée de bonne qualité). Toutefois, une autorité compétente peut décider qu</w:t>
      </w:r>
      <w:r>
        <w:rPr>
          <w:iCs/>
          <w:lang w:val="fr-FR"/>
        </w:rPr>
        <w:t>’</w:t>
      </w:r>
      <w:r w:rsidRPr="00A241BD">
        <w:rPr>
          <w:iCs/>
          <w:lang w:val="fr-FR"/>
        </w:rPr>
        <w:t xml:space="preserve">un résultat positif obtenu </w:t>
      </w:r>
      <w:r>
        <w:rPr>
          <w:bCs/>
          <w:lang w:val="fr-FR"/>
        </w:rPr>
        <w:t xml:space="preserve">au moyen de </w:t>
      </w:r>
      <w:r w:rsidRPr="00A241BD">
        <w:rPr>
          <w:iCs/>
          <w:lang w:val="fr-FR"/>
        </w:rPr>
        <w:t>l</w:t>
      </w:r>
      <w:r>
        <w:rPr>
          <w:iCs/>
          <w:lang w:val="fr-FR"/>
        </w:rPr>
        <w:t>’</w:t>
      </w:r>
      <w:r w:rsidRPr="00A241BD">
        <w:rPr>
          <w:iCs/>
          <w:lang w:val="fr-FR"/>
        </w:rPr>
        <w:t xml:space="preserve">une de ces méthodes </w:t>
      </w:r>
      <w:r>
        <w:rPr>
          <w:i/>
          <w:lang w:val="fr-FR"/>
        </w:rPr>
        <w:t xml:space="preserve">in </w:t>
      </w:r>
      <w:proofErr w:type="spellStart"/>
      <w:r>
        <w:rPr>
          <w:i/>
          <w:lang w:val="fr-FR"/>
        </w:rPr>
        <w:t>chemico</w:t>
      </w:r>
      <w:proofErr w:type="spellEnd"/>
      <w:r>
        <w:rPr>
          <w:i/>
          <w:lang w:val="fr-FR"/>
        </w:rPr>
        <w:t>/in vitro</w:t>
      </w:r>
      <w:r w:rsidRPr="00E348B7">
        <w:rPr>
          <w:i/>
          <w:lang w:val="fr-FR"/>
        </w:rPr>
        <w:t xml:space="preserve"> </w:t>
      </w:r>
      <w:r w:rsidRPr="00E348B7">
        <w:rPr>
          <w:iCs/>
          <w:lang w:val="fr-FR"/>
        </w:rPr>
        <w:t>non</w:t>
      </w:r>
      <w:r w:rsidRPr="00A241BD">
        <w:rPr>
          <w:iCs/>
          <w:lang w:val="fr-FR"/>
        </w:rPr>
        <w:t xml:space="preserve"> autonomes peut être utilisé seul pour classer la </w:t>
      </w:r>
      <w:r>
        <w:rPr>
          <w:iCs/>
          <w:lang w:val="fr-FR"/>
        </w:rPr>
        <w:t>substance</w:t>
      </w:r>
      <w:r w:rsidRPr="00A241BD">
        <w:rPr>
          <w:iCs/>
          <w:lang w:val="fr-FR"/>
        </w:rPr>
        <w:t xml:space="preserve"> dans la catégorie 1 (voir tableau 3.4.7).</w:t>
      </w:r>
    </w:p>
    <w:p w14:paraId="632869E1" w14:textId="29F96BB9" w:rsidR="00B178A7" w:rsidRPr="00A241BD" w:rsidRDefault="00B178A7" w:rsidP="00D57EA8">
      <w:pPr>
        <w:pStyle w:val="SingleTxtG"/>
        <w:keepNext/>
        <w:ind w:left="2268" w:hanging="1134"/>
        <w:jc w:val="left"/>
        <w:rPr>
          <w:lang w:val="fr-FR"/>
        </w:rPr>
      </w:pPr>
      <w:r w:rsidRPr="00A241BD">
        <w:rPr>
          <w:lang w:val="fr-FR"/>
        </w:rPr>
        <w:t>3.4.2.2.7.6</w:t>
      </w:r>
      <w:r>
        <w:rPr>
          <w:lang w:val="fr-FR"/>
        </w:rPr>
        <w:tab/>
        <w:t xml:space="preserve">Étape </w:t>
      </w:r>
      <w:r w:rsidRPr="00A241BD">
        <w:rPr>
          <w:lang w:val="fr-FR"/>
        </w:rPr>
        <w:t>3</w:t>
      </w:r>
      <w:r>
        <w:rPr>
          <w:lang w:val="fr-FR"/>
        </w:rPr>
        <w:t xml:space="preserve"> </w:t>
      </w:r>
      <w:r w:rsidR="00D57EA8">
        <w:rPr>
          <w:lang w:val="fr-FR"/>
        </w:rPr>
        <w:t>−</w:t>
      </w:r>
      <w:r>
        <w:rPr>
          <w:lang w:val="fr-FR"/>
        </w:rPr>
        <w:t xml:space="preserve"> </w:t>
      </w:r>
      <w:r w:rsidRPr="00A241BD">
        <w:rPr>
          <w:bCs/>
          <w:lang w:val="fr-FR"/>
        </w:rPr>
        <w:t xml:space="preserve">Classification </w:t>
      </w:r>
      <w:r>
        <w:rPr>
          <w:bCs/>
          <w:lang w:val="fr-FR"/>
        </w:rPr>
        <w:t>fond</w:t>
      </w:r>
      <w:r w:rsidRPr="00A241BD">
        <w:rPr>
          <w:bCs/>
          <w:lang w:val="fr-FR"/>
        </w:rPr>
        <w:t>ée sur l</w:t>
      </w:r>
      <w:r>
        <w:rPr>
          <w:bCs/>
          <w:lang w:val="fr-FR"/>
        </w:rPr>
        <w:t>a</w:t>
      </w:r>
      <w:r w:rsidRPr="00A241BD">
        <w:rPr>
          <w:bCs/>
          <w:lang w:val="fr-FR"/>
        </w:rPr>
        <w:t xml:space="preserve"> </w:t>
      </w:r>
      <w:r w:rsidRPr="0063183B">
        <w:rPr>
          <w:bCs/>
          <w:lang w:val="fr-FR"/>
        </w:rPr>
        <w:t>force probante</w:t>
      </w:r>
      <w:r w:rsidRPr="000A748D">
        <w:rPr>
          <w:bCs/>
          <w:lang w:val="fr-FR"/>
        </w:rPr>
        <w:t xml:space="preserve"> </w:t>
      </w:r>
      <w:r w:rsidRPr="00A241BD">
        <w:rPr>
          <w:bCs/>
          <w:lang w:val="fr-FR"/>
        </w:rPr>
        <w:t>global</w:t>
      </w:r>
      <w:r>
        <w:rPr>
          <w:bCs/>
          <w:lang w:val="fr-FR"/>
        </w:rPr>
        <w:t>e</w:t>
      </w:r>
      <w:r w:rsidRPr="0063183B">
        <w:rPr>
          <w:bCs/>
          <w:lang w:val="fr-FR"/>
        </w:rPr>
        <w:t xml:space="preserve"> des données</w:t>
      </w:r>
      <w:r w:rsidRPr="00A241BD">
        <w:rPr>
          <w:bCs/>
          <w:lang w:val="fr-FR"/>
        </w:rPr>
        <w:t xml:space="preserve">, </w:t>
      </w:r>
      <w:r w:rsidR="00D57EA8">
        <w:rPr>
          <w:bCs/>
          <w:lang w:val="fr-FR"/>
        </w:rPr>
        <w:br/>
      </w:r>
      <w:r w:rsidRPr="00A241BD">
        <w:rPr>
          <w:bCs/>
          <w:lang w:val="fr-FR"/>
        </w:rPr>
        <w:t xml:space="preserve">y compris les indicateurs supplémentaires </w:t>
      </w:r>
    </w:p>
    <w:p w14:paraId="2072C2DE" w14:textId="77777777" w:rsidR="00B178A7" w:rsidRDefault="00B178A7" w:rsidP="00732320">
      <w:pPr>
        <w:pStyle w:val="SingleTxtG"/>
        <w:ind w:left="2268"/>
        <w:rPr>
          <w:strike/>
          <w:lang w:val="fr-FR"/>
        </w:rPr>
      </w:pPr>
      <w:r w:rsidRPr="00A241BD">
        <w:rPr>
          <w:lang w:val="fr-FR"/>
        </w:rPr>
        <w:t xml:space="preserve">Si les </w:t>
      </w:r>
      <w:r>
        <w:rPr>
          <w:lang w:val="fr-FR"/>
        </w:rPr>
        <w:t>étapes</w:t>
      </w:r>
      <w:r w:rsidRPr="00A241BD">
        <w:rPr>
          <w:lang w:val="fr-FR"/>
        </w:rPr>
        <w:t xml:space="preserve"> précédent</w:t>
      </w:r>
      <w:r>
        <w:rPr>
          <w:lang w:val="fr-FR"/>
        </w:rPr>
        <w:t>e</w:t>
      </w:r>
      <w:r w:rsidRPr="00A241BD">
        <w:rPr>
          <w:lang w:val="fr-FR"/>
        </w:rPr>
        <w:t xml:space="preserve">s ne permettent pas de tirer une conclusion définitive </w:t>
      </w:r>
      <w:r>
        <w:rPr>
          <w:lang w:val="fr-FR"/>
        </w:rPr>
        <w:t>en ce qui concerne</w:t>
      </w:r>
      <w:r w:rsidRPr="00A241BD">
        <w:rPr>
          <w:lang w:val="fr-FR"/>
        </w:rPr>
        <w:t xml:space="preserve"> </w:t>
      </w:r>
      <w:r>
        <w:rPr>
          <w:lang w:val="fr-FR"/>
        </w:rPr>
        <w:t>le classement</w:t>
      </w:r>
      <w:r w:rsidRPr="00A241BD">
        <w:rPr>
          <w:lang w:val="fr-FR"/>
        </w:rPr>
        <w:t>, y compris la sous-catégorisation lorsque l</w:t>
      </w:r>
      <w:r>
        <w:rPr>
          <w:lang w:val="fr-FR"/>
        </w:rPr>
        <w:t>’</w:t>
      </w:r>
      <w:r w:rsidRPr="00A241BD">
        <w:rPr>
          <w:lang w:val="fr-FR"/>
        </w:rPr>
        <w:t>autorité compétente l</w:t>
      </w:r>
      <w:r>
        <w:rPr>
          <w:lang w:val="fr-FR"/>
        </w:rPr>
        <w:t>’</w:t>
      </w:r>
      <w:r w:rsidRPr="00A241BD">
        <w:rPr>
          <w:lang w:val="fr-FR"/>
        </w:rPr>
        <w:t>exige, il convient de procéder à une évaluation globale de</w:t>
      </w:r>
      <w:r w:rsidRPr="000A748D">
        <w:rPr>
          <w:bCs/>
          <w:lang w:val="fr-FR"/>
        </w:rPr>
        <w:t xml:space="preserve"> </w:t>
      </w:r>
      <w:r w:rsidRPr="00A241BD">
        <w:rPr>
          <w:bCs/>
          <w:lang w:val="fr-FR"/>
        </w:rPr>
        <w:t>l</w:t>
      </w:r>
      <w:r>
        <w:rPr>
          <w:bCs/>
          <w:lang w:val="fr-FR"/>
        </w:rPr>
        <w:t>a</w:t>
      </w:r>
      <w:r w:rsidRPr="00A241BD">
        <w:rPr>
          <w:bCs/>
          <w:lang w:val="fr-FR"/>
        </w:rPr>
        <w:t xml:space="preserve"> </w:t>
      </w:r>
      <w:r w:rsidRPr="0063183B">
        <w:rPr>
          <w:bCs/>
          <w:lang w:val="fr-FR"/>
        </w:rPr>
        <w:t>force probante des données</w:t>
      </w:r>
      <w:r w:rsidRPr="00A241BD">
        <w:rPr>
          <w:lang w:val="fr-FR"/>
        </w:rPr>
        <w:t xml:space="preserve"> en faisant appel à </w:t>
      </w:r>
      <w:r>
        <w:rPr>
          <w:lang w:val="fr-FR"/>
        </w:rPr>
        <w:t xml:space="preserve">l’avis </w:t>
      </w:r>
      <w:r w:rsidRPr="00A241BD">
        <w:rPr>
          <w:lang w:val="fr-FR"/>
        </w:rPr>
        <w:t>d</w:t>
      </w:r>
      <w:r>
        <w:rPr>
          <w:lang w:val="fr-FR"/>
        </w:rPr>
        <w:t>’</w:t>
      </w:r>
      <w:r w:rsidRPr="00A241BD">
        <w:rPr>
          <w:lang w:val="fr-FR"/>
        </w:rPr>
        <w:t>expert</w:t>
      </w:r>
      <w:r>
        <w:rPr>
          <w:lang w:val="fr-FR"/>
        </w:rPr>
        <w:t>s</w:t>
      </w:r>
      <w:r w:rsidRPr="00A241BD">
        <w:rPr>
          <w:lang w:val="fr-FR"/>
        </w:rPr>
        <w:t xml:space="preserve">, qui peut </w:t>
      </w:r>
      <w:r>
        <w:rPr>
          <w:lang w:val="fr-FR"/>
        </w:rPr>
        <w:t>porter sur</w:t>
      </w:r>
      <w:r w:rsidRPr="00A241BD">
        <w:rPr>
          <w:lang w:val="fr-FR"/>
        </w:rPr>
        <w:t xml:space="preserve"> une combinaison de deux ou plusieurs indicateurs de sensibilisation cutanée, comme indiqué ci-</w:t>
      </w:r>
      <w:r>
        <w:rPr>
          <w:lang w:val="fr-FR"/>
        </w:rPr>
        <w:t>après :</w:t>
      </w:r>
      <w:r w:rsidRPr="00A241BD">
        <w:rPr>
          <w:lang w:val="fr-FR"/>
        </w:rPr>
        <w:t xml:space="preserve"> </w:t>
      </w:r>
    </w:p>
    <w:p w14:paraId="6DAA883A" w14:textId="77777777" w:rsidR="00B178A7" w:rsidRDefault="00B178A7" w:rsidP="00732320">
      <w:pPr>
        <w:pStyle w:val="SingleTxtG"/>
        <w:ind w:left="2835" w:hanging="567"/>
        <w:rPr>
          <w:lang w:val="fr-FR"/>
        </w:rPr>
      </w:pPr>
      <w:r w:rsidRPr="00A241BD">
        <w:rPr>
          <w:lang w:val="fr-FR"/>
        </w:rPr>
        <w:t>a)</w:t>
      </w:r>
      <w:r w:rsidRPr="00A241BD">
        <w:rPr>
          <w:lang w:val="fr-FR"/>
        </w:rPr>
        <w:tab/>
        <w:t>Épisodes isolés de dermatite</w:t>
      </w:r>
      <w:r>
        <w:rPr>
          <w:lang w:val="fr-FR"/>
        </w:rPr>
        <w:t xml:space="preserve"> </w:t>
      </w:r>
      <w:r w:rsidRPr="00A241BD">
        <w:rPr>
          <w:lang w:val="fr-FR"/>
        </w:rPr>
        <w:t>allergique de contact</w:t>
      </w:r>
      <w:r>
        <w:rPr>
          <w:lang w:val="fr-FR"/>
        </w:rPr>
        <w:t> ;</w:t>
      </w:r>
    </w:p>
    <w:p w14:paraId="42390125" w14:textId="77777777" w:rsidR="00B178A7" w:rsidRDefault="00B178A7" w:rsidP="00732320">
      <w:pPr>
        <w:pStyle w:val="SingleTxtG"/>
        <w:ind w:left="2835" w:hanging="567"/>
        <w:rPr>
          <w:lang w:val="fr-FR"/>
        </w:rPr>
      </w:pPr>
      <w:r w:rsidRPr="00A241BD">
        <w:rPr>
          <w:lang w:val="fr-FR"/>
        </w:rPr>
        <w:t>b)</w:t>
      </w:r>
      <w:r w:rsidRPr="00A241BD">
        <w:rPr>
          <w:lang w:val="fr-FR"/>
        </w:rPr>
        <w:tab/>
        <w:t xml:space="preserve">Études épidémiologiques </w:t>
      </w:r>
      <w:r>
        <w:rPr>
          <w:lang w:val="fr-FR"/>
        </w:rPr>
        <w:t>insuffisamment fiables</w:t>
      </w:r>
      <w:r w:rsidRPr="00A241BD">
        <w:rPr>
          <w:lang w:val="fr-FR"/>
        </w:rPr>
        <w:t xml:space="preserve">, par exemple lorsque le hasard, </w:t>
      </w:r>
      <w:r w:rsidRPr="00EF1387">
        <w:rPr>
          <w:lang w:val="fr-FR"/>
        </w:rPr>
        <w:t>les distorsions ou des facteurs de confusion n</w:t>
      </w:r>
      <w:r>
        <w:rPr>
          <w:lang w:val="fr-FR"/>
        </w:rPr>
        <w:t>’</w:t>
      </w:r>
      <w:r w:rsidRPr="00EF1387">
        <w:rPr>
          <w:lang w:val="fr-FR"/>
        </w:rPr>
        <w:t>ont pas été écartés avec un degré de confiance raisonnable</w:t>
      </w:r>
      <w:r>
        <w:rPr>
          <w:lang w:val="fr-FR"/>
        </w:rPr>
        <w:t> ;</w:t>
      </w:r>
    </w:p>
    <w:p w14:paraId="1FEDCDD2" w14:textId="0CBCE252" w:rsidR="00B178A7" w:rsidRDefault="00B178A7" w:rsidP="00732320">
      <w:pPr>
        <w:pStyle w:val="SingleTxtG"/>
        <w:ind w:left="2835" w:hanging="567"/>
        <w:rPr>
          <w:lang w:val="fr-FR"/>
        </w:rPr>
      </w:pPr>
      <w:r w:rsidRPr="00A241BD">
        <w:rPr>
          <w:lang w:val="fr-FR"/>
        </w:rPr>
        <w:t>c)</w:t>
      </w:r>
      <w:r w:rsidRPr="00A241BD">
        <w:rPr>
          <w:lang w:val="fr-FR"/>
        </w:rPr>
        <w:tab/>
        <w:t>Données provenant d</w:t>
      </w:r>
      <w:r>
        <w:rPr>
          <w:lang w:val="fr-FR"/>
        </w:rPr>
        <w:t>’</w:t>
      </w:r>
      <w:r w:rsidRPr="00A241BD">
        <w:rPr>
          <w:lang w:val="fr-FR"/>
        </w:rPr>
        <w:t>essais sur animaux réalisés conformément aux lignes directrices existantes</w:t>
      </w:r>
      <w:r>
        <w:rPr>
          <w:lang w:val="fr-FR"/>
        </w:rPr>
        <w:t xml:space="preserve">, </w:t>
      </w:r>
      <w:r w:rsidRPr="00791709">
        <w:rPr>
          <w:lang w:val="fr-FR"/>
        </w:rPr>
        <w:t>qui ne satisfont pas aux critères décrits au paragraphe</w:t>
      </w:r>
      <w:r w:rsidR="00B96137">
        <w:rPr>
          <w:lang w:val="fr-FR"/>
        </w:rPr>
        <w:t> </w:t>
      </w:r>
      <w:r w:rsidRPr="00791709">
        <w:rPr>
          <w:lang w:val="fr-FR"/>
        </w:rPr>
        <w:t>3.4.2.2.3</w:t>
      </w:r>
      <w:r>
        <w:rPr>
          <w:lang w:val="fr-FR"/>
        </w:rPr>
        <w:t xml:space="preserve"> </w:t>
      </w:r>
      <w:r w:rsidRPr="00791709">
        <w:rPr>
          <w:lang w:val="fr-FR"/>
        </w:rPr>
        <w:t xml:space="preserve">établissant un résultat positif </w:t>
      </w:r>
      <w:r>
        <w:rPr>
          <w:lang w:val="fr-FR"/>
        </w:rPr>
        <w:t>mais</w:t>
      </w:r>
      <w:r w:rsidRPr="00791709">
        <w:rPr>
          <w:lang w:val="fr-FR"/>
        </w:rPr>
        <w:t xml:space="preserve"> </w:t>
      </w:r>
      <w:r>
        <w:rPr>
          <w:lang w:val="fr-FR"/>
        </w:rPr>
        <w:t xml:space="preserve">qui </w:t>
      </w:r>
      <w:r w:rsidRPr="00791709">
        <w:rPr>
          <w:lang w:val="fr-FR"/>
        </w:rPr>
        <w:t>sont suffisamment proches de la limite pour être considéré</w:t>
      </w:r>
      <w:r>
        <w:rPr>
          <w:lang w:val="fr-FR"/>
        </w:rPr>
        <w:t>e</w:t>
      </w:r>
      <w:r w:rsidRPr="00791709">
        <w:rPr>
          <w:lang w:val="fr-FR"/>
        </w:rPr>
        <w:t xml:space="preserve">s comme </w:t>
      </w:r>
      <w:r w:rsidRPr="00A241BD">
        <w:rPr>
          <w:lang w:val="fr-FR"/>
        </w:rPr>
        <w:t>significatives</w:t>
      </w:r>
      <w:r>
        <w:rPr>
          <w:lang w:val="fr-FR"/>
        </w:rPr>
        <w:t> ;</w:t>
      </w:r>
    </w:p>
    <w:p w14:paraId="00FDC1EB" w14:textId="77777777" w:rsidR="00B178A7" w:rsidRPr="00A241BD" w:rsidRDefault="00B178A7" w:rsidP="00732320">
      <w:pPr>
        <w:pStyle w:val="SingleTxtG"/>
        <w:ind w:left="2835" w:hanging="567"/>
        <w:rPr>
          <w:lang w:val="fr-FR"/>
        </w:rPr>
      </w:pPr>
      <w:r w:rsidRPr="00A241BD">
        <w:rPr>
          <w:lang w:val="fr-FR"/>
        </w:rPr>
        <w:t>d)</w:t>
      </w:r>
      <w:r w:rsidRPr="00A241BD">
        <w:rPr>
          <w:lang w:val="fr-FR"/>
        </w:rPr>
        <w:tab/>
        <w:t xml:space="preserve">Données </w:t>
      </w:r>
      <w:r w:rsidRPr="00791709">
        <w:rPr>
          <w:lang w:val="fr-FR"/>
        </w:rPr>
        <w:t>obtenu</w:t>
      </w:r>
      <w:r>
        <w:rPr>
          <w:lang w:val="fr-FR"/>
        </w:rPr>
        <w:t>e</w:t>
      </w:r>
      <w:r w:rsidRPr="00791709">
        <w:rPr>
          <w:lang w:val="fr-FR"/>
        </w:rPr>
        <w:t>s par des méthodes non normalisées</w:t>
      </w:r>
      <w:r>
        <w:rPr>
          <w:lang w:val="fr-FR"/>
        </w:rPr>
        <w:t>.</w:t>
      </w:r>
    </w:p>
    <w:p w14:paraId="2204F292" w14:textId="3CD17B7E" w:rsidR="00B178A7" w:rsidRPr="00A241BD" w:rsidRDefault="00B178A7" w:rsidP="00752B14">
      <w:pPr>
        <w:pStyle w:val="SingleTxtG"/>
        <w:ind w:left="2268" w:hanging="1134"/>
        <w:rPr>
          <w:b/>
          <w:bCs/>
          <w:lang w:val="fr-FR"/>
        </w:rPr>
      </w:pPr>
      <w:r w:rsidRPr="00A241BD">
        <w:rPr>
          <w:lang w:val="fr-FR"/>
        </w:rPr>
        <w:t>3.4.2.2.7.7</w:t>
      </w:r>
      <w:r>
        <w:rPr>
          <w:lang w:val="fr-FR"/>
        </w:rPr>
        <w:tab/>
      </w:r>
      <w:r w:rsidRPr="00A241BD">
        <w:rPr>
          <w:lang w:val="fr-FR"/>
        </w:rPr>
        <w:t xml:space="preserve">Lorsque les informations </w:t>
      </w:r>
      <w:r>
        <w:rPr>
          <w:lang w:val="fr-FR"/>
        </w:rPr>
        <w:t>provenant de plusieurs</w:t>
      </w:r>
      <w:r w:rsidRPr="00A241BD">
        <w:rPr>
          <w:lang w:val="fr-FR"/>
        </w:rPr>
        <w:t xml:space="preserve"> </w:t>
      </w:r>
      <w:r>
        <w:rPr>
          <w:lang w:val="fr-FR"/>
        </w:rPr>
        <w:t>étapes</w:t>
      </w:r>
      <w:r w:rsidRPr="00A241BD">
        <w:rPr>
          <w:lang w:val="fr-FR"/>
        </w:rPr>
        <w:t xml:space="preserve"> sont incohérentes ou contradictoires </w:t>
      </w:r>
      <w:r>
        <w:rPr>
          <w:lang w:val="fr-FR"/>
        </w:rPr>
        <w:t>au regard du classement établi</w:t>
      </w:r>
      <w:r w:rsidRPr="00A241BD">
        <w:rPr>
          <w:lang w:val="fr-FR"/>
        </w:rPr>
        <w:t>, les informations de qualité suffisante provenant d</w:t>
      </w:r>
      <w:r>
        <w:rPr>
          <w:lang w:val="fr-FR"/>
        </w:rPr>
        <w:t>’</w:t>
      </w:r>
      <w:r w:rsidRPr="00A241BD">
        <w:rPr>
          <w:lang w:val="fr-FR"/>
        </w:rPr>
        <w:t>un</w:t>
      </w:r>
      <w:r>
        <w:rPr>
          <w:lang w:val="fr-FR"/>
        </w:rPr>
        <w:t>e</w:t>
      </w:r>
      <w:r w:rsidRPr="00A241BD">
        <w:rPr>
          <w:lang w:val="fr-FR"/>
        </w:rPr>
        <w:t xml:space="preserve"> </w:t>
      </w:r>
      <w:r>
        <w:rPr>
          <w:lang w:val="fr-FR"/>
        </w:rPr>
        <w:t>étape</w:t>
      </w:r>
      <w:r w:rsidRPr="00A241BD">
        <w:rPr>
          <w:lang w:val="fr-FR"/>
        </w:rPr>
        <w:t xml:space="preserve"> supérieur</w:t>
      </w:r>
      <w:r>
        <w:rPr>
          <w:lang w:val="fr-FR"/>
        </w:rPr>
        <w:t>e</w:t>
      </w:r>
      <w:r w:rsidRPr="00A241BD">
        <w:rPr>
          <w:lang w:val="fr-FR"/>
        </w:rPr>
        <w:t xml:space="preserve"> </w:t>
      </w:r>
      <w:r>
        <w:rPr>
          <w:lang w:val="fr-FR"/>
        </w:rPr>
        <w:t>ont</w:t>
      </w:r>
      <w:r w:rsidRPr="00A241BD">
        <w:rPr>
          <w:lang w:val="fr-FR"/>
        </w:rPr>
        <w:t xml:space="preserve"> généralement un poids </w:t>
      </w:r>
      <w:r>
        <w:rPr>
          <w:lang w:val="fr-FR"/>
        </w:rPr>
        <w:t xml:space="preserve">supérieur par rapport aux </w:t>
      </w:r>
      <w:r w:rsidRPr="00A241BD">
        <w:rPr>
          <w:lang w:val="fr-FR"/>
        </w:rPr>
        <w:t>informations provenant d</w:t>
      </w:r>
      <w:r>
        <w:rPr>
          <w:lang w:val="fr-FR"/>
        </w:rPr>
        <w:t>’</w:t>
      </w:r>
      <w:r w:rsidRPr="00A241BD">
        <w:rPr>
          <w:lang w:val="fr-FR"/>
        </w:rPr>
        <w:t>un</w:t>
      </w:r>
      <w:r>
        <w:rPr>
          <w:lang w:val="fr-FR"/>
        </w:rPr>
        <w:t>e</w:t>
      </w:r>
      <w:r w:rsidRPr="00A241BD">
        <w:rPr>
          <w:lang w:val="fr-FR"/>
        </w:rPr>
        <w:t xml:space="preserve"> </w:t>
      </w:r>
      <w:r>
        <w:rPr>
          <w:lang w:val="fr-FR"/>
        </w:rPr>
        <w:t>étape</w:t>
      </w:r>
      <w:r w:rsidRPr="00A241BD">
        <w:rPr>
          <w:lang w:val="fr-FR"/>
        </w:rPr>
        <w:t xml:space="preserve"> inférieur</w:t>
      </w:r>
      <w:r>
        <w:rPr>
          <w:lang w:val="fr-FR"/>
        </w:rPr>
        <w:t>e</w:t>
      </w:r>
      <w:r w:rsidRPr="00A241BD">
        <w:rPr>
          <w:lang w:val="fr-FR"/>
        </w:rPr>
        <w:t>. Cependant, lorsque les informations d</w:t>
      </w:r>
      <w:r>
        <w:rPr>
          <w:lang w:val="fr-FR"/>
        </w:rPr>
        <w:t>’</w:t>
      </w:r>
      <w:r w:rsidRPr="00A241BD">
        <w:rPr>
          <w:lang w:val="fr-FR"/>
        </w:rPr>
        <w:t>un</w:t>
      </w:r>
      <w:r>
        <w:rPr>
          <w:lang w:val="fr-FR"/>
        </w:rPr>
        <w:t>e</w:t>
      </w:r>
      <w:r w:rsidRPr="00A241BD">
        <w:rPr>
          <w:lang w:val="fr-FR"/>
        </w:rPr>
        <w:t xml:space="preserve"> </w:t>
      </w:r>
      <w:r>
        <w:rPr>
          <w:lang w:val="fr-FR"/>
        </w:rPr>
        <w:t>étape</w:t>
      </w:r>
      <w:r w:rsidRPr="00A241BD">
        <w:rPr>
          <w:lang w:val="fr-FR"/>
        </w:rPr>
        <w:t xml:space="preserve"> inférieur</w:t>
      </w:r>
      <w:r>
        <w:rPr>
          <w:lang w:val="fr-FR"/>
        </w:rPr>
        <w:t>e</w:t>
      </w:r>
      <w:r w:rsidRPr="00A241BD">
        <w:rPr>
          <w:lang w:val="fr-FR"/>
        </w:rPr>
        <w:t xml:space="preserve"> </w:t>
      </w:r>
      <w:r>
        <w:rPr>
          <w:lang w:val="fr-FR"/>
        </w:rPr>
        <w:t>aboutiraient à</w:t>
      </w:r>
      <w:r w:rsidRPr="00A241BD">
        <w:rPr>
          <w:lang w:val="fr-FR"/>
        </w:rPr>
        <w:t xml:space="preserve"> un </w:t>
      </w:r>
      <w:r>
        <w:rPr>
          <w:lang w:val="fr-FR"/>
        </w:rPr>
        <w:lastRenderedPageBreak/>
        <w:t xml:space="preserve">classement </w:t>
      </w:r>
      <w:r w:rsidRPr="00A241BD">
        <w:rPr>
          <w:lang w:val="fr-FR"/>
        </w:rPr>
        <w:t>plus strict que les informations d</w:t>
      </w:r>
      <w:r>
        <w:rPr>
          <w:lang w:val="fr-FR"/>
        </w:rPr>
        <w:t>’</w:t>
      </w:r>
      <w:r w:rsidRPr="00A241BD">
        <w:rPr>
          <w:lang w:val="fr-FR"/>
        </w:rPr>
        <w:t>un</w:t>
      </w:r>
      <w:r>
        <w:rPr>
          <w:lang w:val="fr-FR"/>
        </w:rPr>
        <w:t>e</w:t>
      </w:r>
      <w:r w:rsidRPr="00A241BD">
        <w:rPr>
          <w:lang w:val="fr-FR"/>
        </w:rPr>
        <w:t xml:space="preserve"> </w:t>
      </w:r>
      <w:r>
        <w:rPr>
          <w:lang w:val="fr-FR"/>
        </w:rPr>
        <w:t>étape</w:t>
      </w:r>
      <w:r w:rsidRPr="00A241BD">
        <w:rPr>
          <w:lang w:val="fr-FR"/>
        </w:rPr>
        <w:t xml:space="preserve"> supérieur</w:t>
      </w:r>
      <w:r>
        <w:rPr>
          <w:lang w:val="fr-FR"/>
        </w:rPr>
        <w:t>e</w:t>
      </w:r>
      <w:r w:rsidRPr="00A241BD">
        <w:rPr>
          <w:lang w:val="fr-FR"/>
        </w:rPr>
        <w:t xml:space="preserve"> et qu</w:t>
      </w:r>
      <w:r>
        <w:rPr>
          <w:lang w:val="fr-FR"/>
        </w:rPr>
        <w:t>’</w:t>
      </w:r>
      <w:r w:rsidRPr="00A241BD">
        <w:rPr>
          <w:lang w:val="fr-FR"/>
        </w:rPr>
        <w:t xml:space="preserve">il </w:t>
      </w:r>
      <w:r>
        <w:rPr>
          <w:lang w:val="fr-FR"/>
        </w:rPr>
        <w:t>y a</w:t>
      </w:r>
      <w:r w:rsidRPr="00A241BD">
        <w:rPr>
          <w:lang w:val="fr-FR"/>
        </w:rPr>
        <w:t xml:space="preserve"> un risque d</w:t>
      </w:r>
      <w:r>
        <w:rPr>
          <w:lang w:val="fr-FR"/>
        </w:rPr>
        <w:t>’</w:t>
      </w:r>
      <w:r w:rsidRPr="00A241BD">
        <w:rPr>
          <w:lang w:val="fr-FR"/>
        </w:rPr>
        <w:t xml:space="preserve">erreur de </w:t>
      </w:r>
      <w:r>
        <w:rPr>
          <w:lang w:val="fr-FR"/>
        </w:rPr>
        <w:t>classement</w:t>
      </w:r>
      <w:r w:rsidRPr="00A241BD">
        <w:rPr>
          <w:lang w:val="fr-FR"/>
        </w:rPr>
        <w:t xml:space="preserve">, </w:t>
      </w:r>
      <w:r>
        <w:rPr>
          <w:lang w:val="fr-FR"/>
        </w:rPr>
        <w:t xml:space="preserve">le classement </w:t>
      </w:r>
      <w:r w:rsidRPr="00A241BD">
        <w:rPr>
          <w:lang w:val="fr-FR"/>
        </w:rPr>
        <w:t xml:space="preserve">est </w:t>
      </w:r>
      <w:r>
        <w:rPr>
          <w:lang w:val="fr-FR"/>
        </w:rPr>
        <w:t xml:space="preserve">alors </w:t>
      </w:r>
      <w:r w:rsidRPr="00A241BD">
        <w:rPr>
          <w:lang w:val="fr-FR"/>
        </w:rPr>
        <w:t xml:space="preserve">déterminé par une évaluation globale </w:t>
      </w:r>
      <w:r>
        <w:rPr>
          <w:lang w:val="fr-FR"/>
        </w:rPr>
        <w:t>fondée sur</w:t>
      </w:r>
      <w:r w:rsidRPr="000A748D">
        <w:rPr>
          <w:bCs/>
          <w:lang w:val="fr-FR"/>
        </w:rPr>
        <w:t xml:space="preserve"> </w:t>
      </w:r>
      <w:r w:rsidRPr="00A241BD">
        <w:rPr>
          <w:bCs/>
          <w:lang w:val="fr-FR"/>
        </w:rPr>
        <w:t>l</w:t>
      </w:r>
      <w:r>
        <w:rPr>
          <w:bCs/>
          <w:lang w:val="fr-FR"/>
        </w:rPr>
        <w:t>a</w:t>
      </w:r>
      <w:r w:rsidRPr="00A241BD">
        <w:rPr>
          <w:bCs/>
          <w:lang w:val="fr-FR"/>
        </w:rPr>
        <w:t xml:space="preserve"> </w:t>
      </w:r>
      <w:r w:rsidRPr="0063183B">
        <w:rPr>
          <w:bCs/>
          <w:lang w:val="fr-FR"/>
        </w:rPr>
        <w:t>force probante des données</w:t>
      </w:r>
      <w:r w:rsidRPr="00A241BD">
        <w:rPr>
          <w:lang w:val="fr-FR"/>
        </w:rPr>
        <w:t xml:space="preserve"> (c</w:t>
      </w:r>
      <w:r>
        <w:rPr>
          <w:lang w:val="fr-FR"/>
        </w:rPr>
        <w:t>’</w:t>
      </w:r>
      <w:r w:rsidRPr="00A241BD">
        <w:rPr>
          <w:lang w:val="fr-FR"/>
        </w:rPr>
        <w:t xml:space="preserve">est-à-dire </w:t>
      </w:r>
      <w:r>
        <w:rPr>
          <w:lang w:val="fr-FR"/>
        </w:rPr>
        <w:t>à l’étape </w:t>
      </w:r>
      <w:r w:rsidRPr="00A241BD">
        <w:rPr>
          <w:lang w:val="fr-FR"/>
        </w:rPr>
        <w:t xml:space="preserve">3). Par exemple, après avoir consulté les orientations </w:t>
      </w:r>
      <w:r>
        <w:rPr>
          <w:lang w:val="fr-FR"/>
        </w:rPr>
        <w:t>énoncées a</w:t>
      </w:r>
      <w:r w:rsidRPr="00A241BD">
        <w:rPr>
          <w:lang w:val="fr-FR"/>
        </w:rPr>
        <w:t>u</w:t>
      </w:r>
      <w:r w:rsidR="00B96137">
        <w:rPr>
          <w:lang w:val="fr-FR"/>
        </w:rPr>
        <w:t> </w:t>
      </w:r>
      <w:r w:rsidRPr="00A241BD">
        <w:rPr>
          <w:lang w:val="fr-FR"/>
        </w:rPr>
        <w:t>3.4.5.3</w:t>
      </w:r>
      <w:r>
        <w:rPr>
          <w:lang w:val="fr-FR"/>
        </w:rPr>
        <w:t xml:space="preserve"> comme il convient</w:t>
      </w:r>
      <w:r w:rsidRPr="00A241BD">
        <w:rPr>
          <w:lang w:val="fr-FR"/>
        </w:rPr>
        <w:t xml:space="preserve">, les </w:t>
      </w:r>
      <w:r>
        <w:rPr>
          <w:rFonts w:eastAsiaTheme="minorEastAsia"/>
          <w:lang w:val="fr-FR"/>
        </w:rPr>
        <w:t xml:space="preserve">responsables du classement, préoccupés </w:t>
      </w:r>
      <w:r w:rsidRPr="00A241BD">
        <w:rPr>
          <w:rFonts w:eastAsiaTheme="minorEastAsia"/>
          <w:lang w:val="fr-FR"/>
        </w:rPr>
        <w:t xml:space="preserve">par </w:t>
      </w:r>
      <w:r>
        <w:rPr>
          <w:rFonts w:eastAsiaTheme="minorEastAsia"/>
          <w:lang w:val="fr-FR"/>
        </w:rPr>
        <w:t xml:space="preserve">le </w:t>
      </w:r>
      <w:r w:rsidRPr="00A241BD">
        <w:rPr>
          <w:rFonts w:eastAsiaTheme="minorEastAsia"/>
          <w:lang w:val="fr-FR"/>
        </w:rPr>
        <w:t xml:space="preserve">résultat négatif </w:t>
      </w:r>
      <w:r>
        <w:rPr>
          <w:rFonts w:eastAsiaTheme="minorEastAsia"/>
          <w:lang w:val="fr-FR"/>
        </w:rPr>
        <w:t xml:space="preserve">obtenu pour </w:t>
      </w:r>
      <w:r w:rsidRPr="00A241BD">
        <w:rPr>
          <w:rFonts w:eastAsiaTheme="minorEastAsia"/>
          <w:lang w:val="fr-FR"/>
        </w:rPr>
        <w:t xml:space="preserve">la sensibilisation cutanée dans une étude de </w:t>
      </w:r>
      <w:proofErr w:type="spellStart"/>
      <w:r w:rsidRPr="00A241BD">
        <w:rPr>
          <w:rFonts w:eastAsiaTheme="minorEastAsia"/>
          <w:lang w:val="fr-FR"/>
        </w:rPr>
        <w:t>Buehler</w:t>
      </w:r>
      <w:proofErr w:type="spellEnd"/>
      <w:r w:rsidRPr="00A241BD">
        <w:rPr>
          <w:rFonts w:eastAsiaTheme="minorEastAsia"/>
          <w:lang w:val="fr-FR"/>
        </w:rPr>
        <w:t xml:space="preserve"> alors qu</w:t>
      </w:r>
      <w:r>
        <w:rPr>
          <w:rFonts w:eastAsiaTheme="minorEastAsia"/>
          <w:lang w:val="fr-FR"/>
        </w:rPr>
        <w:t>’</w:t>
      </w:r>
      <w:r w:rsidRPr="00A241BD">
        <w:rPr>
          <w:rFonts w:eastAsiaTheme="minorEastAsia"/>
          <w:lang w:val="fr-FR"/>
        </w:rPr>
        <w:t>il existe un résultat positif clair chez l</w:t>
      </w:r>
      <w:r>
        <w:rPr>
          <w:rFonts w:eastAsiaTheme="minorEastAsia"/>
          <w:lang w:val="fr-FR"/>
        </w:rPr>
        <w:t>’</w:t>
      </w:r>
      <w:r w:rsidRPr="00A241BD">
        <w:rPr>
          <w:rFonts w:eastAsiaTheme="minorEastAsia"/>
          <w:lang w:val="fr-FR"/>
        </w:rPr>
        <w:t xml:space="preserve">homme pour des </w:t>
      </w:r>
      <w:r>
        <w:rPr>
          <w:rFonts w:eastAsiaTheme="minorEastAsia"/>
          <w:lang w:val="fr-FR"/>
        </w:rPr>
        <w:t>substance</w:t>
      </w:r>
      <w:r w:rsidRPr="00A241BD">
        <w:rPr>
          <w:rFonts w:eastAsiaTheme="minorEastAsia"/>
          <w:lang w:val="fr-FR"/>
        </w:rPr>
        <w:t xml:space="preserve">s très similaires (par lecture croisée), utiliseront une </w:t>
      </w:r>
      <w:r>
        <w:rPr>
          <w:rFonts w:eastAsiaTheme="minorEastAsia"/>
          <w:lang w:val="fr-FR"/>
        </w:rPr>
        <w:t>évaluation globale</w:t>
      </w:r>
      <w:r w:rsidRPr="00A241BD">
        <w:rPr>
          <w:rFonts w:eastAsiaTheme="minorEastAsia"/>
          <w:lang w:val="fr-FR"/>
        </w:rPr>
        <w:t xml:space="preserve"> fondée sur </w:t>
      </w:r>
      <w:r w:rsidRPr="00A241BD">
        <w:rPr>
          <w:bCs/>
          <w:lang w:val="fr-FR"/>
        </w:rPr>
        <w:t>l</w:t>
      </w:r>
      <w:r>
        <w:rPr>
          <w:bCs/>
          <w:lang w:val="fr-FR"/>
        </w:rPr>
        <w:t>a</w:t>
      </w:r>
      <w:r w:rsidRPr="00A241BD">
        <w:rPr>
          <w:bCs/>
          <w:lang w:val="fr-FR"/>
        </w:rPr>
        <w:t xml:space="preserve"> </w:t>
      </w:r>
      <w:r w:rsidRPr="0063183B">
        <w:rPr>
          <w:bCs/>
          <w:lang w:val="fr-FR"/>
        </w:rPr>
        <w:t>force probante des données</w:t>
      </w:r>
      <w:r w:rsidRPr="00A241BD">
        <w:rPr>
          <w:rFonts w:eastAsiaTheme="minorEastAsia"/>
          <w:lang w:val="fr-FR"/>
        </w:rPr>
        <w:t>.</w:t>
      </w:r>
      <w:r>
        <w:rPr>
          <w:rFonts w:eastAsiaTheme="minorEastAsia"/>
          <w:lang w:val="fr-FR"/>
        </w:rPr>
        <w:t> ».</w:t>
      </w:r>
    </w:p>
    <w:p w14:paraId="32DA863C" w14:textId="51FD8E0A" w:rsidR="00B178A7" w:rsidRPr="00A241BD" w:rsidRDefault="00B178A7" w:rsidP="00752B14">
      <w:pPr>
        <w:pStyle w:val="SingleTxtG"/>
        <w:rPr>
          <w:lang w:val="fr-FR"/>
        </w:rPr>
      </w:pPr>
      <w:r w:rsidRPr="00E751A3">
        <w:rPr>
          <w:i/>
          <w:iCs/>
          <w:lang w:val="fr-FR"/>
        </w:rPr>
        <w:t>3.4.2.2.4.4</w:t>
      </w:r>
      <w:r w:rsidR="00752B14">
        <w:rPr>
          <w:i/>
          <w:iCs/>
          <w:lang w:val="fr-FR"/>
        </w:rPr>
        <w:t>,</w:t>
      </w:r>
      <w:r w:rsidRPr="00E751A3">
        <w:rPr>
          <w:i/>
          <w:iCs/>
          <w:lang w:val="fr-FR"/>
        </w:rPr>
        <w:t xml:space="preserve"> « Urticaire immunologique de contact »</w:t>
      </w:r>
      <w:r w:rsidR="00752B14">
        <w:rPr>
          <w:lang w:val="fr-FR"/>
        </w:rPr>
        <w:t>, r</w:t>
      </w:r>
      <w:r>
        <w:rPr>
          <w:lang w:val="fr-FR"/>
        </w:rPr>
        <w:t xml:space="preserve">enuméroter en </w:t>
      </w:r>
      <w:r w:rsidRPr="00A241BD">
        <w:rPr>
          <w:lang w:val="fr-FR"/>
        </w:rPr>
        <w:t xml:space="preserve">3.4.2.2.8 et </w:t>
      </w:r>
      <w:r>
        <w:rPr>
          <w:lang w:val="fr-FR"/>
        </w:rPr>
        <w:t>numéroter</w:t>
      </w:r>
      <w:r w:rsidRPr="00A241BD">
        <w:rPr>
          <w:lang w:val="fr-FR"/>
        </w:rPr>
        <w:t xml:space="preserve"> les deux </w:t>
      </w:r>
      <w:r>
        <w:rPr>
          <w:lang w:val="fr-FR"/>
        </w:rPr>
        <w:t xml:space="preserve">alinéas, </w:t>
      </w:r>
      <w:r w:rsidRPr="00A241BD">
        <w:rPr>
          <w:lang w:val="fr-FR"/>
        </w:rPr>
        <w:t>comme suit</w:t>
      </w:r>
      <w:r>
        <w:rPr>
          <w:lang w:val="fr-FR"/>
        </w:rPr>
        <w:t> :</w:t>
      </w:r>
    </w:p>
    <w:p w14:paraId="045C7DCF" w14:textId="51BC16DD" w:rsidR="00B178A7" w:rsidRPr="00A241BD" w:rsidRDefault="00B178A7" w:rsidP="00EE578F">
      <w:pPr>
        <w:pStyle w:val="SingleTxtG"/>
        <w:ind w:left="2268" w:hanging="1134"/>
        <w:rPr>
          <w:lang w:val="fr-FR"/>
        </w:rPr>
      </w:pPr>
      <w:r>
        <w:rPr>
          <w:lang w:val="fr-FR"/>
        </w:rPr>
        <w:t>« </w:t>
      </w:r>
      <w:r w:rsidRPr="00A241BD">
        <w:rPr>
          <w:lang w:val="fr-FR"/>
        </w:rPr>
        <w:t>3.4.2.2.8.1</w:t>
      </w:r>
      <w:r>
        <w:rPr>
          <w:lang w:val="fr-FR"/>
        </w:rPr>
        <w:tab/>
      </w:r>
      <w:r w:rsidRPr="00A241BD">
        <w:rPr>
          <w:lang w:val="fr-FR"/>
        </w:rPr>
        <w:t>Substances</w:t>
      </w:r>
      <w:r>
        <w:rPr>
          <w:lang w:val="fr-FR"/>
        </w:rPr>
        <w:t xml:space="preserve"> </w:t>
      </w:r>
      <w:r w:rsidRPr="00A241BD">
        <w:rPr>
          <w:lang w:val="fr-FR"/>
        </w:rPr>
        <w:t>répondant aux critères de...</w:t>
      </w:r>
      <w:r>
        <w:rPr>
          <w:lang w:val="fr-FR"/>
        </w:rPr>
        <w:t> »</w:t>
      </w:r>
    </w:p>
    <w:p w14:paraId="6B532D66" w14:textId="37C60F73" w:rsidR="00B178A7" w:rsidRPr="00A241BD" w:rsidRDefault="00B178A7" w:rsidP="00EE578F">
      <w:pPr>
        <w:pStyle w:val="SingleTxtG"/>
        <w:ind w:left="2268" w:hanging="1134"/>
        <w:rPr>
          <w:lang w:val="fr-FR"/>
        </w:rPr>
      </w:pPr>
      <w:r>
        <w:rPr>
          <w:lang w:val="fr-FR"/>
        </w:rPr>
        <w:t>« </w:t>
      </w:r>
      <w:r w:rsidRPr="00A241BD">
        <w:rPr>
          <w:lang w:val="fr-FR"/>
        </w:rPr>
        <w:t>3.4.2.2.8.2</w:t>
      </w:r>
      <w:r>
        <w:rPr>
          <w:lang w:val="fr-FR"/>
        </w:rPr>
        <w:tab/>
      </w:r>
      <w:r w:rsidRPr="00A241BD">
        <w:rPr>
          <w:lang w:val="fr-FR"/>
        </w:rPr>
        <w:t>Il</w:t>
      </w:r>
      <w:r>
        <w:rPr>
          <w:lang w:val="fr-FR"/>
        </w:rPr>
        <w:t xml:space="preserve"> </w:t>
      </w:r>
      <w:r w:rsidRPr="00A241BD">
        <w:rPr>
          <w:lang w:val="fr-FR"/>
        </w:rPr>
        <w:t>n</w:t>
      </w:r>
      <w:r>
        <w:rPr>
          <w:lang w:val="fr-FR"/>
        </w:rPr>
        <w:t>’</w:t>
      </w:r>
      <w:r w:rsidRPr="00A241BD">
        <w:rPr>
          <w:lang w:val="fr-FR"/>
        </w:rPr>
        <w:t>existe pas de modèle animal reconnu...</w:t>
      </w:r>
      <w:r>
        <w:rPr>
          <w:lang w:val="fr-FR"/>
        </w:rPr>
        <w:t> »</w:t>
      </w:r>
    </w:p>
    <w:p w14:paraId="651572B5" w14:textId="77777777" w:rsidR="00B178A7" w:rsidRPr="00A241BD" w:rsidRDefault="00B178A7" w:rsidP="00B178A7">
      <w:pPr>
        <w:pStyle w:val="SingleTxtG"/>
        <w:rPr>
          <w:lang w:val="fr-FR"/>
        </w:rPr>
      </w:pPr>
      <w:bookmarkStart w:id="27" w:name="_Hlk116549276"/>
      <w:r>
        <w:rPr>
          <w:lang w:val="fr-FR"/>
        </w:rPr>
        <w:t>A</w:t>
      </w:r>
      <w:r w:rsidRPr="00120507">
        <w:rPr>
          <w:lang w:val="fr-FR"/>
        </w:rPr>
        <w:t>jouter l</w:t>
      </w:r>
      <w:r>
        <w:rPr>
          <w:lang w:val="fr-FR"/>
        </w:rPr>
        <w:t>es</w:t>
      </w:r>
      <w:r w:rsidRPr="00120507">
        <w:rPr>
          <w:lang w:val="fr-FR"/>
        </w:rPr>
        <w:t xml:space="preserve"> nouvelle</w:t>
      </w:r>
      <w:r>
        <w:rPr>
          <w:lang w:val="fr-FR"/>
        </w:rPr>
        <w:t>s</w:t>
      </w:r>
      <w:r w:rsidRPr="00120507">
        <w:rPr>
          <w:lang w:val="fr-FR"/>
        </w:rPr>
        <w:t xml:space="preserve"> note</w:t>
      </w:r>
      <w:r>
        <w:rPr>
          <w:lang w:val="fr-FR"/>
        </w:rPr>
        <w:t>s</w:t>
      </w:r>
      <w:r w:rsidRPr="00120507">
        <w:rPr>
          <w:lang w:val="fr-FR"/>
        </w:rPr>
        <w:t xml:space="preserve"> de bas de page 3</w:t>
      </w:r>
      <w:r>
        <w:rPr>
          <w:lang w:val="fr-FR"/>
        </w:rPr>
        <w:t xml:space="preserve"> et 4, en lien avec les paragraphes 3.4.2.2.4.1 et 3.4.2.2.5.3, respectivement, libellée comme suit :</w:t>
      </w:r>
      <w:r w:rsidRPr="00120507">
        <w:rPr>
          <w:lang w:val="fr-FR"/>
        </w:rPr>
        <w:t xml:space="preserve"> </w:t>
      </w:r>
    </w:p>
    <w:bookmarkEnd w:id="27"/>
    <w:p w14:paraId="02DE6399" w14:textId="77777777" w:rsidR="00B178A7" w:rsidRPr="00EE578F" w:rsidRDefault="00B178A7" w:rsidP="0072190B">
      <w:pPr>
        <w:pStyle w:val="SingleTxtG"/>
        <w:spacing w:line="220" w:lineRule="atLeast"/>
        <w:rPr>
          <w:lang w:val="fr-FR"/>
        </w:rPr>
      </w:pPr>
      <w:r w:rsidRPr="00EE578F">
        <w:rPr>
          <w:lang w:val="fr-FR"/>
        </w:rPr>
        <w:t>« </w:t>
      </w:r>
      <w:r w:rsidRPr="00046812">
        <w:rPr>
          <w:i/>
          <w:iCs/>
          <w:sz w:val="18"/>
          <w:szCs w:val="18"/>
          <w:vertAlign w:val="superscript"/>
          <w:lang w:val="fr-FR"/>
        </w:rPr>
        <w:t>3</w:t>
      </w:r>
      <w:r w:rsidRPr="00046812">
        <w:rPr>
          <w:i/>
          <w:iCs/>
          <w:sz w:val="18"/>
          <w:szCs w:val="18"/>
          <w:lang w:val="fr-FR"/>
        </w:rPr>
        <w:tab/>
        <w:t>Des méthodes définies supplémentaires ont été proposées pour la sensibilisation de la peau (OCDE 2016b), mais aucun critère de classification n’a encore été convenu au niveau international.</w:t>
      </w:r>
      <w:r w:rsidRPr="00EE578F">
        <w:rPr>
          <w:lang w:val="fr-FR"/>
        </w:rPr>
        <w:t> ».</w:t>
      </w:r>
    </w:p>
    <w:p w14:paraId="289F8FE4" w14:textId="54CE19EB" w:rsidR="00B178A7" w:rsidRPr="00EE578F" w:rsidRDefault="00B178A7" w:rsidP="0072190B">
      <w:pPr>
        <w:pStyle w:val="SingleTxtG"/>
        <w:spacing w:line="220" w:lineRule="atLeast"/>
        <w:rPr>
          <w:lang w:val="fr-FR"/>
        </w:rPr>
      </w:pPr>
      <w:r w:rsidRPr="00EE578F">
        <w:rPr>
          <w:lang w:val="fr-FR"/>
        </w:rPr>
        <w:t>« </w:t>
      </w:r>
      <w:r w:rsidRPr="00046812">
        <w:rPr>
          <w:i/>
          <w:iCs/>
          <w:sz w:val="18"/>
          <w:szCs w:val="18"/>
          <w:vertAlign w:val="superscript"/>
          <w:lang w:val="fr-FR"/>
        </w:rPr>
        <w:t>4</w:t>
      </w:r>
      <w:r w:rsidRPr="00046812">
        <w:rPr>
          <w:i/>
          <w:iCs/>
          <w:sz w:val="18"/>
          <w:szCs w:val="18"/>
          <w:lang w:val="fr-FR"/>
        </w:rPr>
        <w:tab/>
        <w:t xml:space="preserve">D’autres méthodes in </w:t>
      </w:r>
      <w:proofErr w:type="spellStart"/>
      <w:r w:rsidRPr="00046812">
        <w:rPr>
          <w:i/>
          <w:iCs/>
          <w:sz w:val="18"/>
          <w:szCs w:val="18"/>
          <w:lang w:val="fr-FR"/>
        </w:rPr>
        <w:t>chemico</w:t>
      </w:r>
      <w:proofErr w:type="spellEnd"/>
      <w:r w:rsidRPr="00046812">
        <w:rPr>
          <w:i/>
          <w:iCs/>
          <w:sz w:val="18"/>
          <w:szCs w:val="18"/>
          <w:lang w:val="fr-FR"/>
        </w:rPr>
        <w:t>/in vitro ont été proposées pour la sensibilisation de la peau (voir</w:t>
      </w:r>
      <w:r w:rsidR="00825CDD">
        <w:rPr>
          <w:i/>
          <w:iCs/>
          <w:sz w:val="18"/>
          <w:szCs w:val="18"/>
          <w:lang w:val="fr-FR"/>
        </w:rPr>
        <w:t> </w:t>
      </w:r>
      <w:r w:rsidRPr="00046812">
        <w:rPr>
          <w:i/>
          <w:iCs/>
          <w:sz w:val="18"/>
          <w:szCs w:val="18"/>
          <w:lang w:val="fr-FR"/>
        </w:rPr>
        <w:t>3.4.5.3.6.1), mais aucun critère de classification n’a encore été convenu au niveau international.</w:t>
      </w:r>
      <w:r w:rsidRPr="00EE578F">
        <w:rPr>
          <w:lang w:val="fr-FR"/>
        </w:rPr>
        <w:t> ».</w:t>
      </w:r>
    </w:p>
    <w:p w14:paraId="0C5FF739" w14:textId="79BFEE19" w:rsidR="00B178A7" w:rsidRPr="00A241BD" w:rsidRDefault="00B178A7" w:rsidP="00046812">
      <w:pPr>
        <w:pStyle w:val="SingleTxtG"/>
        <w:rPr>
          <w:lang w:val="fr-FR"/>
        </w:rPr>
      </w:pPr>
      <w:r w:rsidRPr="00E751A3">
        <w:rPr>
          <w:i/>
          <w:lang w:val="fr-FR"/>
        </w:rPr>
        <w:t>Après le nouveau paragraphe 3.4.2.2.8</w:t>
      </w:r>
      <w:r w:rsidR="00046812">
        <w:rPr>
          <w:lang w:val="fr-FR"/>
        </w:rPr>
        <w:t>, a</w:t>
      </w:r>
      <w:r w:rsidRPr="0088482F">
        <w:rPr>
          <w:lang w:val="fr-FR"/>
        </w:rPr>
        <w:t>jouter la nouvelle figure 3.4.1</w:t>
      </w:r>
      <w:r>
        <w:rPr>
          <w:lang w:val="fr-FR"/>
        </w:rPr>
        <w:t>, intitulée « </w:t>
      </w:r>
      <w:r w:rsidRPr="00A613B3">
        <w:rPr>
          <w:lang w:val="fr-FR"/>
        </w:rPr>
        <w:t>Application de la méthode par étapes pour la sensibilisation de la peau</w:t>
      </w:r>
      <w:r>
        <w:rPr>
          <w:lang w:val="fr-FR"/>
        </w:rPr>
        <w:t> », ainsi conçue :</w:t>
      </w:r>
      <w:r w:rsidRPr="00A241BD">
        <w:rPr>
          <w:lang w:val="fr-FR"/>
        </w:rPr>
        <w:t xml:space="preserve"> </w:t>
      </w:r>
    </w:p>
    <w:p w14:paraId="589C0492" w14:textId="77777777" w:rsidR="00B178A7" w:rsidRPr="00A241BD" w:rsidRDefault="00B178A7" w:rsidP="00B178A7">
      <w:pPr>
        <w:suppressAutoHyphens w:val="0"/>
        <w:kinsoku/>
        <w:overflowPunct/>
        <w:autoSpaceDE/>
        <w:autoSpaceDN/>
        <w:adjustRightInd/>
        <w:snapToGrid/>
        <w:spacing w:after="200" w:line="276" w:lineRule="auto"/>
        <w:rPr>
          <w:b/>
          <w:bCs/>
          <w:lang w:val="fr-FR"/>
        </w:rPr>
      </w:pPr>
      <w:r w:rsidRPr="00A241BD">
        <w:rPr>
          <w:b/>
          <w:bCs/>
          <w:lang w:val="fr-FR"/>
        </w:rPr>
        <w:br w:type="page"/>
      </w:r>
    </w:p>
    <w:p w14:paraId="74683E16" w14:textId="73CA4D04" w:rsidR="00B178A7" w:rsidRDefault="00B178A7" w:rsidP="00B2292C">
      <w:pPr>
        <w:pStyle w:val="Heading1"/>
        <w:spacing w:after="120"/>
        <w:rPr>
          <w:b/>
          <w:bCs/>
          <w:i/>
          <w:iCs/>
          <w:vertAlign w:val="superscript"/>
          <w:lang w:val="fr-FR"/>
        </w:rPr>
      </w:pPr>
      <w:r w:rsidRPr="00E940C7">
        <w:rPr>
          <w:b/>
          <w:bCs/>
          <w:lang w:val="fr-FR"/>
        </w:rPr>
        <w:lastRenderedPageBreak/>
        <w:t>Figure 3.4.1</w:t>
      </w:r>
      <w:r w:rsidR="00E940C7" w:rsidRPr="00E940C7">
        <w:rPr>
          <w:b/>
          <w:bCs/>
          <w:lang w:val="fr-FR"/>
        </w:rPr>
        <w:br/>
      </w:r>
      <w:r w:rsidRPr="00E940C7">
        <w:rPr>
          <w:b/>
          <w:bCs/>
          <w:lang w:val="fr-FR"/>
        </w:rPr>
        <w:t xml:space="preserve">Application de la méthode par étapes pour la sensibilisation de la </w:t>
      </w:r>
      <w:proofErr w:type="spellStart"/>
      <w:r w:rsidRPr="00E940C7">
        <w:rPr>
          <w:b/>
          <w:bCs/>
          <w:lang w:val="fr-FR"/>
        </w:rPr>
        <w:t>peau</w:t>
      </w:r>
      <w:r w:rsidRPr="00E940C7">
        <w:rPr>
          <w:b/>
          <w:bCs/>
          <w:i/>
          <w:iCs/>
          <w:vertAlign w:val="superscript"/>
          <w:lang w:val="fr-FR"/>
        </w:rPr>
        <w:t>a</w:t>
      </w:r>
      <w:proofErr w:type="spellEnd"/>
    </w:p>
    <w:p w14:paraId="32F97BE1" w14:textId="79873DB9" w:rsidR="00B9642B" w:rsidRDefault="00B9642B" w:rsidP="000B636C">
      <w:pPr>
        <w:pStyle w:val="SingleTxtG"/>
        <w:spacing w:after="240"/>
        <w:rPr>
          <w:lang w:val="fr-FR"/>
        </w:rPr>
      </w:pPr>
      <w:r>
        <w:object w:dxaOrig="8761" w:dyaOrig="7633" w14:anchorId="7A99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05pt;height:381.75pt" o:ole="">
            <v:imagedata r:id="rId8" o:title=""/>
          </v:shape>
          <o:OLEObject Type="Embed" ProgID="Visio.Drawing.15" ShapeID="_x0000_i1025" DrawAspect="Content" ObjectID="_1728136416" r:id="rId9"/>
        </w:object>
      </w:r>
    </w:p>
    <w:p w14:paraId="4DCF6707" w14:textId="58AC6E46" w:rsidR="00B178A7" w:rsidRPr="00A241BD" w:rsidRDefault="00B178A7" w:rsidP="00B178A7">
      <w:pPr>
        <w:tabs>
          <w:tab w:val="left" w:pos="2835"/>
        </w:tabs>
        <w:spacing w:after="200" w:line="276" w:lineRule="auto"/>
        <w:ind w:left="1134"/>
        <w:rPr>
          <w:lang w:val="fr-FR"/>
        </w:rPr>
      </w:pPr>
      <w:r w:rsidRPr="00E751A3">
        <w:rPr>
          <w:rFonts w:eastAsia="Times New Roman"/>
          <w:i/>
          <w:lang w:val="fr-FR"/>
        </w:rPr>
        <w:t>Figure 3.4.1</w:t>
      </w:r>
      <w:r w:rsidR="00013855">
        <w:rPr>
          <w:iCs/>
          <w:lang w:val="fr-FR"/>
        </w:rPr>
        <w:t>, a</w:t>
      </w:r>
      <w:r>
        <w:rPr>
          <w:rFonts w:eastAsia="Times New Roman"/>
          <w:iCs/>
          <w:lang w:val="fr-FR"/>
        </w:rPr>
        <w:t>jouter</w:t>
      </w:r>
      <w:r w:rsidRPr="00A241BD">
        <w:rPr>
          <w:rFonts w:eastAsia="Times New Roman"/>
          <w:iCs/>
          <w:lang w:val="fr-FR"/>
        </w:rPr>
        <w:t xml:space="preserve"> </w:t>
      </w:r>
      <w:r w:rsidRPr="00A241BD">
        <w:rPr>
          <w:lang w:val="fr-FR"/>
        </w:rPr>
        <w:t>les notes</w:t>
      </w:r>
      <w:r>
        <w:rPr>
          <w:lang w:val="fr-FR"/>
        </w:rPr>
        <w:t xml:space="preserve"> « </w:t>
      </w:r>
      <w:r w:rsidRPr="00A62F6C">
        <w:rPr>
          <w:vertAlign w:val="superscript"/>
          <w:lang w:val="fr-FR"/>
        </w:rPr>
        <w:t>a</w:t>
      </w:r>
      <w:r>
        <w:rPr>
          <w:lang w:val="fr-FR"/>
        </w:rPr>
        <w:t> » et « </w:t>
      </w:r>
      <w:r w:rsidRPr="00A62F6C">
        <w:rPr>
          <w:vertAlign w:val="superscript"/>
          <w:lang w:val="fr-FR"/>
        </w:rPr>
        <w:t>b</w:t>
      </w:r>
      <w:r>
        <w:rPr>
          <w:lang w:val="fr-FR"/>
        </w:rPr>
        <w:t xml:space="preserve"> », libellées </w:t>
      </w:r>
      <w:r w:rsidRPr="00A241BD">
        <w:rPr>
          <w:lang w:val="fr-FR"/>
        </w:rPr>
        <w:t>comme suit</w:t>
      </w:r>
      <w:r>
        <w:rPr>
          <w:lang w:val="fr-FR"/>
        </w:rPr>
        <w:t> :</w:t>
      </w:r>
    </w:p>
    <w:p w14:paraId="28B04D30" w14:textId="77777777" w:rsidR="00B178A7" w:rsidRPr="004A234B" w:rsidRDefault="00B178A7" w:rsidP="00013855">
      <w:pPr>
        <w:pStyle w:val="SingleTxtG"/>
        <w:spacing w:line="220" w:lineRule="atLeast"/>
        <w:rPr>
          <w:i/>
          <w:iCs/>
          <w:sz w:val="18"/>
          <w:szCs w:val="18"/>
          <w:lang w:val="fr-FR"/>
        </w:rPr>
      </w:pPr>
      <w:r w:rsidRPr="00013855">
        <w:rPr>
          <w:iCs/>
          <w:lang w:val="fr-FR"/>
        </w:rPr>
        <w:t>«</w:t>
      </w:r>
      <w:r w:rsidRPr="00013855">
        <w:rPr>
          <w:iCs/>
          <w:sz w:val="18"/>
          <w:szCs w:val="18"/>
          <w:lang w:val="fr-FR"/>
        </w:rPr>
        <w:t> </w:t>
      </w:r>
      <w:proofErr w:type="gramStart"/>
      <w:r w:rsidRPr="004A234B">
        <w:rPr>
          <w:bCs/>
          <w:sz w:val="18"/>
          <w:szCs w:val="18"/>
          <w:vertAlign w:val="superscript"/>
          <w:lang w:val="fr-FR"/>
        </w:rPr>
        <w:t>a</w:t>
      </w:r>
      <w:proofErr w:type="gramEnd"/>
      <w:r w:rsidRPr="004A234B">
        <w:rPr>
          <w:i/>
          <w:iCs/>
          <w:sz w:val="18"/>
          <w:szCs w:val="18"/>
          <w:lang w:val="fr-FR"/>
        </w:rPr>
        <w:tab/>
        <w:t>Avant d’appliquer cette méthode, il convient de consulter le texte explicatif du 3.4.2.2.7 ainsi que les orientations du 3.4.5.3. Seules des données adéquates et fiables, de qualité suffisante, doivent être utilisées lors de l’application de la méthode par étapes.</w:t>
      </w:r>
    </w:p>
    <w:p w14:paraId="0E8DF585" w14:textId="77777777" w:rsidR="00B178A7" w:rsidRPr="004A234B" w:rsidRDefault="00B178A7" w:rsidP="00013855">
      <w:pPr>
        <w:pStyle w:val="SingleTxtG"/>
        <w:spacing w:line="220" w:lineRule="atLeast"/>
        <w:rPr>
          <w:i/>
          <w:iCs/>
          <w:sz w:val="18"/>
          <w:szCs w:val="18"/>
          <w:lang w:val="fr-FR"/>
        </w:rPr>
      </w:pPr>
      <w:proofErr w:type="gramStart"/>
      <w:r w:rsidRPr="004A234B">
        <w:rPr>
          <w:bCs/>
          <w:sz w:val="18"/>
          <w:szCs w:val="18"/>
          <w:vertAlign w:val="superscript"/>
          <w:lang w:val="fr-FR"/>
        </w:rPr>
        <w:t>b</w:t>
      </w:r>
      <w:proofErr w:type="gramEnd"/>
      <w:r w:rsidRPr="004A234B">
        <w:rPr>
          <w:i/>
          <w:iCs/>
          <w:sz w:val="18"/>
          <w:szCs w:val="18"/>
          <w:lang w:val="fr-FR"/>
        </w:rPr>
        <w:tab/>
        <w:t>Les informations peuvent être peu concluantes pour diverses raisons, par exemple :</w:t>
      </w:r>
    </w:p>
    <w:p w14:paraId="7710A2F0" w14:textId="668FD9CA" w:rsidR="00B178A7" w:rsidRPr="004A234B" w:rsidRDefault="00B178A7" w:rsidP="00013855">
      <w:pPr>
        <w:pStyle w:val="SingleTxtG"/>
        <w:spacing w:line="220" w:lineRule="atLeast"/>
        <w:ind w:left="2041" w:hanging="340"/>
        <w:rPr>
          <w:i/>
          <w:iCs/>
          <w:sz w:val="18"/>
          <w:szCs w:val="18"/>
          <w:lang w:val="fr-FR"/>
        </w:rPr>
      </w:pPr>
      <w:r w:rsidRPr="004A234B">
        <w:rPr>
          <w:rFonts w:ascii="Symbol" w:hAnsi="Symbol"/>
          <w:i/>
          <w:iCs/>
          <w:sz w:val="18"/>
          <w:szCs w:val="18"/>
          <w:lang w:val="fr-FR"/>
        </w:rPr>
        <w:t></w:t>
      </w:r>
      <w:r w:rsidRPr="004A234B">
        <w:rPr>
          <w:rFonts w:ascii="Symbol" w:hAnsi="Symbol"/>
          <w:i/>
          <w:iCs/>
          <w:sz w:val="18"/>
          <w:szCs w:val="18"/>
          <w:lang w:val="fr-FR"/>
        </w:rPr>
        <w:tab/>
      </w:r>
      <w:r w:rsidRPr="004A234B">
        <w:rPr>
          <w:i/>
          <w:iCs/>
          <w:sz w:val="18"/>
          <w:szCs w:val="18"/>
          <w:lang w:val="fr-FR"/>
        </w:rPr>
        <w:t>Les données disponibles peuvent être de qualité insuffisante ou être elles</w:t>
      </w:r>
      <w:r w:rsidR="004A234B">
        <w:rPr>
          <w:i/>
          <w:iCs/>
          <w:sz w:val="18"/>
          <w:szCs w:val="18"/>
          <w:lang w:val="fr-FR"/>
        </w:rPr>
        <w:noBreakHyphen/>
      </w:r>
      <w:r w:rsidRPr="004A234B">
        <w:rPr>
          <w:i/>
          <w:iCs/>
          <w:sz w:val="18"/>
          <w:szCs w:val="18"/>
          <w:lang w:val="fr-FR"/>
        </w:rPr>
        <w:t>mêmes insuffisantes ou inadéquates aux fins du classement, par exemple en raison de problèmes de qualité liés à la conception de l’expérience ou à la présentation des résultats ;</w:t>
      </w:r>
    </w:p>
    <w:p w14:paraId="5447D729" w14:textId="6B7A0326" w:rsidR="00B178A7" w:rsidRPr="00013855" w:rsidRDefault="00B178A7" w:rsidP="00013855">
      <w:pPr>
        <w:pStyle w:val="SingleTxtG"/>
        <w:spacing w:line="220" w:lineRule="atLeast"/>
        <w:ind w:left="2041" w:hanging="340"/>
        <w:rPr>
          <w:sz w:val="18"/>
          <w:szCs w:val="18"/>
          <w:lang w:val="fr-FR"/>
        </w:rPr>
      </w:pPr>
      <w:r w:rsidRPr="004A234B">
        <w:rPr>
          <w:rFonts w:ascii="Symbol" w:hAnsi="Symbol"/>
          <w:i/>
          <w:iCs/>
          <w:sz w:val="18"/>
          <w:szCs w:val="18"/>
          <w:lang w:val="fr-FR"/>
        </w:rPr>
        <w:t></w:t>
      </w:r>
      <w:r w:rsidRPr="004A234B">
        <w:rPr>
          <w:rFonts w:ascii="Symbol" w:hAnsi="Symbol"/>
          <w:i/>
          <w:iCs/>
          <w:sz w:val="18"/>
          <w:szCs w:val="18"/>
          <w:lang w:val="fr-FR"/>
        </w:rPr>
        <w:tab/>
      </w:r>
      <w:r w:rsidRPr="004A234B">
        <w:rPr>
          <w:i/>
          <w:iCs/>
          <w:sz w:val="18"/>
          <w:szCs w:val="18"/>
          <w:lang w:val="fr-FR"/>
        </w:rPr>
        <w:t>Lorsque les autorités compétentes font usage des sous-catégories de sensibilisation cutanée 1A et 1B, les données disponibles peuvent ne pas permettre de distinguer la sous</w:t>
      </w:r>
      <w:r w:rsidR="004A234B">
        <w:rPr>
          <w:i/>
          <w:iCs/>
          <w:sz w:val="18"/>
          <w:szCs w:val="18"/>
          <w:lang w:val="fr-FR"/>
        </w:rPr>
        <w:noBreakHyphen/>
      </w:r>
      <w:r w:rsidRPr="004A234B">
        <w:rPr>
          <w:i/>
          <w:iCs/>
          <w:sz w:val="18"/>
          <w:szCs w:val="18"/>
          <w:lang w:val="fr-FR"/>
        </w:rPr>
        <w:t>catégorie 1A de la sous-catégorie 1B</w:t>
      </w:r>
      <w:r w:rsidRPr="00013855">
        <w:rPr>
          <w:sz w:val="18"/>
          <w:szCs w:val="18"/>
          <w:lang w:val="fr-FR"/>
        </w:rPr>
        <w:t>.</w:t>
      </w:r>
      <w:r w:rsidRPr="00013855">
        <w:rPr>
          <w:iCs/>
          <w:sz w:val="18"/>
          <w:szCs w:val="18"/>
          <w:lang w:val="fr-FR"/>
        </w:rPr>
        <w:t> </w:t>
      </w:r>
      <w:r w:rsidRPr="00013855">
        <w:rPr>
          <w:iCs/>
          <w:lang w:val="fr-FR"/>
        </w:rPr>
        <w:t>»</w:t>
      </w:r>
      <w:r w:rsidRPr="00013855">
        <w:rPr>
          <w:iCs/>
          <w:sz w:val="18"/>
          <w:szCs w:val="18"/>
          <w:lang w:val="fr-FR"/>
        </w:rPr>
        <w:t>.</w:t>
      </w:r>
    </w:p>
    <w:p w14:paraId="6316110A" w14:textId="139C5450" w:rsidR="00B178A7" w:rsidRPr="00537097" w:rsidRDefault="00B178A7" w:rsidP="00B178A7">
      <w:pPr>
        <w:pStyle w:val="SingleTxtG"/>
        <w:rPr>
          <w:i/>
          <w:lang w:val="fr-FR"/>
        </w:rPr>
      </w:pPr>
      <w:r w:rsidRPr="00E751A3">
        <w:rPr>
          <w:i/>
          <w:iCs/>
          <w:lang w:val="fr-FR"/>
        </w:rPr>
        <w:t>3.4.3.1, dans les crochets</w:t>
      </w:r>
      <w:r w:rsidR="00BE0EDD">
        <w:rPr>
          <w:lang w:val="fr-FR"/>
        </w:rPr>
        <w:t>, r</w:t>
      </w:r>
      <w:r>
        <w:rPr>
          <w:lang w:val="fr-FR"/>
        </w:rPr>
        <w:t>emplacer</w:t>
      </w:r>
      <w:r w:rsidRPr="00A241BD">
        <w:rPr>
          <w:lang w:val="fr-FR"/>
        </w:rPr>
        <w:t xml:space="preserve"> </w:t>
      </w:r>
      <w:r>
        <w:rPr>
          <w:lang w:val="fr-FR"/>
        </w:rPr>
        <w:t>« </w:t>
      </w:r>
      <w:r w:rsidRPr="00A241BD">
        <w:rPr>
          <w:lang w:val="fr-FR"/>
        </w:rPr>
        <w:t>tableau 3.4.5</w:t>
      </w:r>
      <w:r>
        <w:rPr>
          <w:lang w:val="fr-FR"/>
        </w:rPr>
        <w:t> »</w:t>
      </w:r>
      <w:r w:rsidRPr="00A241BD">
        <w:rPr>
          <w:lang w:val="fr-FR"/>
        </w:rPr>
        <w:t xml:space="preserve"> </w:t>
      </w:r>
      <w:r>
        <w:rPr>
          <w:lang w:val="fr-FR"/>
        </w:rPr>
        <w:t>par</w:t>
      </w:r>
      <w:r w:rsidRPr="00A241BD">
        <w:rPr>
          <w:lang w:val="fr-FR"/>
        </w:rPr>
        <w:t xml:space="preserve"> </w:t>
      </w:r>
      <w:r>
        <w:rPr>
          <w:lang w:val="fr-FR"/>
        </w:rPr>
        <w:t>« t</w:t>
      </w:r>
      <w:r w:rsidRPr="00A241BD">
        <w:rPr>
          <w:lang w:val="fr-FR"/>
        </w:rPr>
        <w:t>ableau 3.4.4</w:t>
      </w:r>
      <w:r>
        <w:rPr>
          <w:lang w:val="fr-FR"/>
        </w:rPr>
        <w:t> »</w:t>
      </w:r>
      <w:r w:rsidRPr="00A241BD">
        <w:rPr>
          <w:lang w:val="fr-FR"/>
        </w:rPr>
        <w:t xml:space="preserve">. </w:t>
      </w:r>
    </w:p>
    <w:p w14:paraId="5A8A922A" w14:textId="756CB8B0" w:rsidR="00B178A7" w:rsidRPr="008D3E69" w:rsidRDefault="00B178A7" w:rsidP="00B178A7">
      <w:pPr>
        <w:pStyle w:val="SingleTxtG"/>
        <w:rPr>
          <w:i/>
          <w:lang w:val="fr-FR"/>
        </w:rPr>
      </w:pPr>
      <w:r w:rsidRPr="008D3E69">
        <w:rPr>
          <w:i/>
          <w:iCs/>
          <w:lang w:val="fr-FR"/>
        </w:rPr>
        <w:t xml:space="preserve">3.4.3.3, </w:t>
      </w:r>
      <w:r w:rsidR="008D3E69">
        <w:rPr>
          <w:i/>
          <w:iCs/>
          <w:lang w:val="fr-FR"/>
        </w:rPr>
        <w:t>dans le corps du paragraphe</w:t>
      </w:r>
      <w:r w:rsidR="00BE0EDD" w:rsidRPr="008D3E69">
        <w:rPr>
          <w:lang w:val="fr-FR"/>
        </w:rPr>
        <w:t>, r</w:t>
      </w:r>
      <w:r w:rsidRPr="008D3E69">
        <w:rPr>
          <w:lang w:val="fr-FR"/>
        </w:rPr>
        <w:t>emplacer « </w:t>
      </w:r>
      <w:r w:rsidR="008D3E69">
        <w:rPr>
          <w:lang w:val="fr-FR"/>
        </w:rPr>
        <w:t>t</w:t>
      </w:r>
      <w:r w:rsidRPr="008D3E69">
        <w:rPr>
          <w:lang w:val="fr-FR"/>
        </w:rPr>
        <w:t>ableau 3.4.5 » par « </w:t>
      </w:r>
      <w:r w:rsidR="008D3E69">
        <w:rPr>
          <w:lang w:val="fr-FR"/>
        </w:rPr>
        <w:t>t</w:t>
      </w:r>
      <w:r w:rsidRPr="008D3E69">
        <w:rPr>
          <w:lang w:val="fr-FR"/>
        </w:rPr>
        <w:t>ableau 3.4.4 »</w:t>
      </w:r>
      <w:r w:rsidR="008D3E69">
        <w:rPr>
          <w:lang w:val="fr-FR"/>
        </w:rPr>
        <w:t xml:space="preserve"> et, </w:t>
      </w:r>
      <w:r w:rsidR="008D3E69" w:rsidRPr="008D3E69">
        <w:rPr>
          <w:i/>
          <w:iCs/>
          <w:lang w:val="fr-FR"/>
        </w:rPr>
        <w:t>dans le titre du tableau</w:t>
      </w:r>
      <w:r w:rsidR="008D3E69">
        <w:rPr>
          <w:lang w:val="fr-FR"/>
        </w:rPr>
        <w:t xml:space="preserve">, </w:t>
      </w:r>
      <w:r w:rsidR="008D3E69" w:rsidRPr="008D3E69">
        <w:rPr>
          <w:lang w:val="fr-FR"/>
        </w:rPr>
        <w:t>remplacer « </w:t>
      </w:r>
      <w:r w:rsidR="008D3E69">
        <w:rPr>
          <w:lang w:val="fr-FR"/>
        </w:rPr>
        <w:t>T</w:t>
      </w:r>
      <w:r w:rsidR="008D3E69" w:rsidRPr="008D3E69">
        <w:rPr>
          <w:lang w:val="fr-FR"/>
        </w:rPr>
        <w:t>ableau 3.4.</w:t>
      </w:r>
      <w:r w:rsidR="00F94CF7">
        <w:rPr>
          <w:lang w:val="fr-FR"/>
        </w:rPr>
        <w:t>5</w:t>
      </w:r>
      <w:r w:rsidR="008D3E69" w:rsidRPr="008D3E69">
        <w:rPr>
          <w:lang w:val="fr-FR"/>
        </w:rPr>
        <w:t> » par « </w:t>
      </w:r>
      <w:r w:rsidR="008D3E69">
        <w:rPr>
          <w:lang w:val="fr-FR"/>
        </w:rPr>
        <w:t>T</w:t>
      </w:r>
      <w:r w:rsidR="008D3E69" w:rsidRPr="008D3E69">
        <w:rPr>
          <w:lang w:val="fr-FR"/>
        </w:rPr>
        <w:t>ableau 3.4.</w:t>
      </w:r>
      <w:r w:rsidR="00F94CF7">
        <w:rPr>
          <w:lang w:val="fr-FR"/>
        </w:rPr>
        <w:t>4</w:t>
      </w:r>
      <w:r w:rsidR="008D3E69" w:rsidRPr="008D3E69">
        <w:rPr>
          <w:lang w:val="fr-FR"/>
        </w:rPr>
        <w:t> ».</w:t>
      </w:r>
    </w:p>
    <w:p w14:paraId="1A0CC56F" w14:textId="266F7899" w:rsidR="008D3E69" w:rsidRPr="008D3E69" w:rsidRDefault="00B178A7" w:rsidP="008D3E69">
      <w:pPr>
        <w:pStyle w:val="SingleTxtG"/>
        <w:rPr>
          <w:i/>
          <w:lang w:val="fr-FR"/>
        </w:rPr>
      </w:pPr>
      <w:r w:rsidRPr="008D3E69">
        <w:rPr>
          <w:i/>
          <w:iCs/>
          <w:lang w:val="fr-FR"/>
        </w:rPr>
        <w:t>3.4.4.1</w:t>
      </w:r>
      <w:r w:rsidR="00BE0EDD" w:rsidRPr="008D3E69">
        <w:rPr>
          <w:lang w:val="fr-FR"/>
        </w:rPr>
        <w:t xml:space="preserve">, </w:t>
      </w:r>
      <w:r w:rsidR="008D3E69">
        <w:rPr>
          <w:i/>
          <w:iCs/>
          <w:lang w:val="fr-FR"/>
        </w:rPr>
        <w:t>dans le corps du paragraphe</w:t>
      </w:r>
      <w:r w:rsidR="008D3E69" w:rsidRPr="008D3E69">
        <w:rPr>
          <w:lang w:val="fr-FR"/>
        </w:rPr>
        <w:t>, remplacer « </w:t>
      </w:r>
      <w:r w:rsidR="008D3E69">
        <w:rPr>
          <w:lang w:val="fr-FR"/>
        </w:rPr>
        <w:t>t</w:t>
      </w:r>
      <w:r w:rsidR="008D3E69" w:rsidRPr="008D3E69">
        <w:rPr>
          <w:lang w:val="fr-FR"/>
        </w:rPr>
        <w:t xml:space="preserve">ableau </w:t>
      </w:r>
      <w:r w:rsidR="00F94CF7">
        <w:rPr>
          <w:lang w:val="fr-FR"/>
        </w:rPr>
        <w:t>3.4.6</w:t>
      </w:r>
      <w:r w:rsidR="008D3E69" w:rsidRPr="008D3E69">
        <w:rPr>
          <w:lang w:val="fr-FR"/>
        </w:rPr>
        <w:t> » par « </w:t>
      </w:r>
      <w:r w:rsidR="008D3E69">
        <w:rPr>
          <w:lang w:val="fr-FR"/>
        </w:rPr>
        <w:t>t</w:t>
      </w:r>
      <w:r w:rsidR="008D3E69" w:rsidRPr="008D3E69">
        <w:rPr>
          <w:lang w:val="fr-FR"/>
        </w:rPr>
        <w:t>ableau 3.4.</w:t>
      </w:r>
      <w:r w:rsidR="00F94CF7">
        <w:rPr>
          <w:lang w:val="fr-FR"/>
        </w:rPr>
        <w:t>5</w:t>
      </w:r>
      <w:r w:rsidR="008D3E69" w:rsidRPr="008D3E69">
        <w:rPr>
          <w:lang w:val="fr-FR"/>
        </w:rPr>
        <w:t> »</w:t>
      </w:r>
      <w:r w:rsidR="008D3E69">
        <w:rPr>
          <w:lang w:val="fr-FR"/>
        </w:rPr>
        <w:t xml:space="preserve"> et, </w:t>
      </w:r>
      <w:r w:rsidR="008D3E69" w:rsidRPr="008D3E69">
        <w:rPr>
          <w:i/>
          <w:iCs/>
          <w:lang w:val="fr-FR"/>
        </w:rPr>
        <w:t>dans le titre du tableau</w:t>
      </w:r>
      <w:r w:rsidR="008D3E69">
        <w:rPr>
          <w:lang w:val="fr-FR"/>
        </w:rPr>
        <w:t xml:space="preserve">, </w:t>
      </w:r>
      <w:r w:rsidR="008D3E69" w:rsidRPr="008D3E69">
        <w:rPr>
          <w:lang w:val="fr-FR"/>
        </w:rPr>
        <w:t>remplacer « </w:t>
      </w:r>
      <w:r w:rsidR="008D3E69">
        <w:rPr>
          <w:lang w:val="fr-FR"/>
        </w:rPr>
        <w:t>T</w:t>
      </w:r>
      <w:r w:rsidR="008D3E69" w:rsidRPr="008D3E69">
        <w:rPr>
          <w:lang w:val="fr-FR"/>
        </w:rPr>
        <w:t>ableau 3.4.6 » par « </w:t>
      </w:r>
      <w:r w:rsidR="008D3E69">
        <w:rPr>
          <w:lang w:val="fr-FR"/>
        </w:rPr>
        <w:t>T</w:t>
      </w:r>
      <w:r w:rsidR="008D3E69" w:rsidRPr="008D3E69">
        <w:rPr>
          <w:lang w:val="fr-FR"/>
        </w:rPr>
        <w:t>ableau 3.4.5 ».</w:t>
      </w:r>
    </w:p>
    <w:p w14:paraId="3F2986E8" w14:textId="029CECA1" w:rsidR="00B178A7" w:rsidRPr="00537097" w:rsidRDefault="00B178A7" w:rsidP="00B178A7">
      <w:pPr>
        <w:pStyle w:val="SingleTxtG"/>
        <w:rPr>
          <w:i/>
          <w:lang w:val="fr-FR"/>
        </w:rPr>
      </w:pPr>
      <w:r w:rsidRPr="00E751A3">
        <w:rPr>
          <w:i/>
          <w:iCs/>
          <w:lang w:val="fr-FR"/>
        </w:rPr>
        <w:t>3.4.4.2</w:t>
      </w:r>
      <w:r w:rsidR="00BE0EDD">
        <w:rPr>
          <w:lang w:val="fr-FR"/>
        </w:rPr>
        <w:t>, r</w:t>
      </w:r>
      <w:r>
        <w:rPr>
          <w:lang w:val="fr-FR"/>
        </w:rPr>
        <w:t>emplacer</w:t>
      </w:r>
      <w:r w:rsidRPr="00A241BD">
        <w:rPr>
          <w:lang w:val="fr-FR"/>
        </w:rPr>
        <w:t xml:space="preserve"> </w:t>
      </w:r>
      <w:r>
        <w:rPr>
          <w:lang w:val="fr-FR"/>
        </w:rPr>
        <w:t>« </w:t>
      </w:r>
      <w:r w:rsidRPr="00A241BD">
        <w:rPr>
          <w:lang w:val="fr-FR"/>
        </w:rPr>
        <w:t>tableau 3.4.5</w:t>
      </w:r>
      <w:r>
        <w:rPr>
          <w:lang w:val="fr-FR"/>
        </w:rPr>
        <w:t> »</w:t>
      </w:r>
      <w:r w:rsidRPr="00A241BD">
        <w:rPr>
          <w:lang w:val="fr-FR"/>
        </w:rPr>
        <w:t xml:space="preserve"> </w:t>
      </w:r>
      <w:r>
        <w:rPr>
          <w:lang w:val="fr-FR"/>
        </w:rPr>
        <w:t>par</w:t>
      </w:r>
      <w:r w:rsidRPr="00A241BD">
        <w:rPr>
          <w:lang w:val="fr-FR"/>
        </w:rPr>
        <w:t xml:space="preserve"> </w:t>
      </w:r>
      <w:r>
        <w:rPr>
          <w:lang w:val="fr-FR"/>
        </w:rPr>
        <w:t>« t</w:t>
      </w:r>
      <w:r w:rsidRPr="00A241BD">
        <w:rPr>
          <w:lang w:val="fr-FR"/>
        </w:rPr>
        <w:t>ableau 3.4.4</w:t>
      </w:r>
      <w:r>
        <w:rPr>
          <w:lang w:val="fr-FR"/>
        </w:rPr>
        <w:t> »</w:t>
      </w:r>
      <w:r w:rsidRPr="00A241BD">
        <w:rPr>
          <w:lang w:val="fr-FR"/>
        </w:rPr>
        <w:t>.</w:t>
      </w:r>
    </w:p>
    <w:p w14:paraId="372939B0" w14:textId="04702BED" w:rsidR="00B178A7" w:rsidRPr="00210AA5" w:rsidRDefault="00B178A7" w:rsidP="00BE0EDD">
      <w:pPr>
        <w:pStyle w:val="SingleTxtG"/>
        <w:tabs>
          <w:tab w:val="left" w:pos="4253"/>
        </w:tabs>
        <w:jc w:val="left"/>
        <w:rPr>
          <w:i/>
          <w:lang w:val="fr-FR"/>
        </w:rPr>
      </w:pPr>
      <w:r w:rsidRPr="00E751A3">
        <w:rPr>
          <w:i/>
          <w:iCs/>
          <w:lang w:val="fr-FR"/>
        </w:rPr>
        <w:t>3.4.5, intitulé</w:t>
      </w:r>
      <w:r w:rsidR="00BE0EDD">
        <w:rPr>
          <w:lang w:val="fr-FR"/>
        </w:rPr>
        <w:t>, r</w:t>
      </w:r>
      <w:r w:rsidRPr="00A241BD">
        <w:rPr>
          <w:lang w:val="fr-FR"/>
        </w:rPr>
        <w:t xml:space="preserve">emplacer par </w:t>
      </w:r>
      <w:r>
        <w:rPr>
          <w:lang w:val="fr-FR"/>
        </w:rPr>
        <w:t>« </w:t>
      </w:r>
      <w:r w:rsidRPr="00A241BD">
        <w:rPr>
          <w:b/>
          <w:bCs/>
          <w:lang w:val="fr-FR"/>
        </w:rPr>
        <w:t>3.4.5</w:t>
      </w:r>
      <w:r w:rsidR="00BE0EDD">
        <w:rPr>
          <w:b/>
          <w:bCs/>
          <w:lang w:val="fr-FR"/>
        </w:rPr>
        <w:tab/>
      </w:r>
      <w:r w:rsidRPr="00A241BD">
        <w:rPr>
          <w:b/>
          <w:bCs/>
          <w:lang w:val="fr-FR"/>
        </w:rPr>
        <w:t>Logique décisionnelle</w:t>
      </w:r>
      <w:r>
        <w:rPr>
          <w:b/>
          <w:bCs/>
          <w:lang w:val="fr-FR"/>
        </w:rPr>
        <w:t xml:space="preserve"> </w:t>
      </w:r>
      <w:r w:rsidRPr="00A241BD">
        <w:rPr>
          <w:b/>
          <w:bCs/>
          <w:lang w:val="fr-FR"/>
        </w:rPr>
        <w:t>et orientation</w:t>
      </w:r>
      <w:r>
        <w:rPr>
          <w:b/>
          <w:bCs/>
          <w:lang w:val="fr-FR"/>
        </w:rPr>
        <w:t>s</w:t>
      </w:r>
      <w:r>
        <w:rPr>
          <w:lang w:val="fr-FR"/>
        </w:rPr>
        <w:t> »</w:t>
      </w:r>
      <w:r w:rsidRPr="00A241BD">
        <w:rPr>
          <w:lang w:val="fr-FR"/>
        </w:rPr>
        <w:t>.</w:t>
      </w:r>
    </w:p>
    <w:p w14:paraId="4396F2BF" w14:textId="77777777" w:rsidR="00B178A7" w:rsidRPr="00E751A3" w:rsidRDefault="00B178A7" w:rsidP="00BE0EDD">
      <w:pPr>
        <w:keepNext/>
        <w:tabs>
          <w:tab w:val="left" w:pos="2268"/>
        </w:tabs>
        <w:suppressAutoHyphens w:val="0"/>
        <w:kinsoku/>
        <w:overflowPunct/>
        <w:autoSpaceDE/>
        <w:autoSpaceDN/>
        <w:adjustRightInd/>
        <w:spacing w:after="120" w:line="240" w:lineRule="auto"/>
        <w:ind w:left="1134" w:right="1134"/>
        <w:jc w:val="both"/>
        <w:rPr>
          <w:i/>
          <w:iCs/>
          <w:lang w:val="fr-FR"/>
        </w:rPr>
      </w:pPr>
      <w:r w:rsidRPr="00E751A3">
        <w:rPr>
          <w:i/>
          <w:iCs/>
          <w:lang w:val="fr-FR"/>
        </w:rPr>
        <w:lastRenderedPageBreak/>
        <w:t>3.4.5.1, « Diagramme de décision 3.4.1 pour la sensibilisation respiratoire » :</w:t>
      </w:r>
    </w:p>
    <w:p w14:paraId="10EB731D" w14:textId="4327F6AE" w:rsidR="00B178A7" w:rsidRPr="00A241BD" w:rsidRDefault="00B178A7" w:rsidP="00812011">
      <w:pPr>
        <w:pStyle w:val="Bullet1G"/>
        <w:rPr>
          <w:lang w:val="fr-FR"/>
        </w:rPr>
      </w:pPr>
      <w:r w:rsidRPr="00E751A3">
        <w:rPr>
          <w:i/>
          <w:iCs/>
          <w:lang w:val="fr-FR"/>
        </w:rPr>
        <w:t>Deuxième zone de texte de droite en partant du haut</w:t>
      </w:r>
      <w:r w:rsidR="00812011">
        <w:rPr>
          <w:lang w:val="fr-FR"/>
        </w:rPr>
        <w:t>, r</w:t>
      </w:r>
      <w:r w:rsidRPr="00A241BD">
        <w:rPr>
          <w:lang w:val="fr-FR"/>
        </w:rPr>
        <w:t>emplace</w:t>
      </w:r>
      <w:r>
        <w:rPr>
          <w:lang w:val="fr-FR"/>
        </w:rPr>
        <w:t>r</w:t>
      </w:r>
      <w:r w:rsidRPr="00A241BD">
        <w:rPr>
          <w:lang w:val="fr-FR"/>
        </w:rPr>
        <w:t xml:space="preserve"> </w:t>
      </w:r>
      <w:r>
        <w:rPr>
          <w:lang w:val="fr-FR"/>
        </w:rPr>
        <w:t>« </w:t>
      </w:r>
      <w:r w:rsidRPr="00A241BD">
        <w:rPr>
          <w:lang w:val="fr-FR"/>
        </w:rPr>
        <w:t>Catégorie</w:t>
      </w:r>
      <w:r>
        <w:rPr>
          <w:lang w:val="fr-FR"/>
        </w:rPr>
        <w:t> </w:t>
      </w:r>
      <w:r w:rsidRPr="00A241BD">
        <w:rPr>
          <w:lang w:val="fr-FR"/>
        </w:rPr>
        <w:t>1</w:t>
      </w:r>
      <w:r w:rsidRPr="00A241BD">
        <w:rPr>
          <w:vertAlign w:val="superscript"/>
          <w:lang w:val="fr-FR"/>
        </w:rPr>
        <w:t>5</w:t>
      </w:r>
      <w:r>
        <w:rPr>
          <w:lang w:val="fr-FR"/>
        </w:rPr>
        <w:t> »</w:t>
      </w:r>
      <w:r w:rsidRPr="00A241BD">
        <w:rPr>
          <w:lang w:val="fr-FR"/>
        </w:rPr>
        <w:t xml:space="preserve"> par </w:t>
      </w:r>
      <w:r>
        <w:rPr>
          <w:lang w:val="fr-FR"/>
        </w:rPr>
        <w:t>« </w:t>
      </w:r>
      <w:r w:rsidRPr="00A241BD">
        <w:rPr>
          <w:lang w:val="fr-FR"/>
        </w:rPr>
        <w:t>Catégorie 1</w:t>
      </w:r>
      <w:r w:rsidRPr="00A241BD">
        <w:rPr>
          <w:vertAlign w:val="superscript"/>
          <w:lang w:val="fr-FR"/>
        </w:rPr>
        <w:t>7</w:t>
      </w:r>
      <w:r>
        <w:rPr>
          <w:lang w:val="fr-FR"/>
        </w:rPr>
        <w:t> » ;</w:t>
      </w:r>
    </w:p>
    <w:p w14:paraId="33ABDE53" w14:textId="0630AE73" w:rsidR="00B178A7" w:rsidRPr="00A241BD" w:rsidRDefault="00B178A7" w:rsidP="00812011">
      <w:pPr>
        <w:pStyle w:val="Bullet1G"/>
        <w:rPr>
          <w:lang w:val="fr-FR"/>
        </w:rPr>
      </w:pPr>
      <w:r w:rsidRPr="00E751A3">
        <w:rPr>
          <w:i/>
          <w:iCs/>
          <w:lang w:val="fr-FR"/>
        </w:rPr>
        <w:t>Zone de texte en bas à gauche commençant par « Le mélange contient-il... » </w:t>
      </w:r>
      <w:r>
        <w:rPr>
          <w:lang w:val="fr-FR"/>
        </w:rPr>
        <w:t>:</w:t>
      </w:r>
    </w:p>
    <w:p w14:paraId="637CF83B" w14:textId="0C629940" w:rsidR="00B178A7" w:rsidRPr="00A241BD" w:rsidRDefault="00B178A7" w:rsidP="0084689A">
      <w:pPr>
        <w:pStyle w:val="Bullet2G"/>
        <w:rPr>
          <w:lang w:val="fr-FR"/>
        </w:rPr>
      </w:pPr>
      <w:bookmarkStart w:id="28" w:name="_Hlk116574491"/>
      <w:r w:rsidRPr="0084689A">
        <w:rPr>
          <w:i/>
          <w:iCs/>
          <w:lang w:val="fr-FR"/>
        </w:rPr>
        <w:t>Appels de notes de bas de page « </w:t>
      </w:r>
      <w:r w:rsidRPr="0084689A">
        <w:rPr>
          <w:i/>
          <w:iCs/>
          <w:vertAlign w:val="superscript"/>
          <w:lang w:val="fr-FR"/>
        </w:rPr>
        <w:t>3,4</w:t>
      </w:r>
      <w:r w:rsidRPr="0084689A">
        <w:rPr>
          <w:i/>
          <w:iCs/>
          <w:lang w:val="fr-FR"/>
        </w:rPr>
        <w:t> »</w:t>
      </w:r>
      <w:r w:rsidR="0084689A">
        <w:rPr>
          <w:lang w:val="fr-FR"/>
        </w:rPr>
        <w:t>, r</w:t>
      </w:r>
      <w:r>
        <w:rPr>
          <w:lang w:val="fr-FR"/>
        </w:rPr>
        <w:t>emplacer</w:t>
      </w:r>
      <w:r w:rsidRPr="00A241BD">
        <w:rPr>
          <w:lang w:val="fr-FR"/>
        </w:rPr>
        <w:t xml:space="preserve"> </w:t>
      </w:r>
      <w:r>
        <w:rPr>
          <w:lang w:val="fr-FR"/>
        </w:rPr>
        <w:t>par</w:t>
      </w:r>
      <w:r w:rsidRPr="00A241BD">
        <w:rPr>
          <w:lang w:val="fr-FR"/>
        </w:rPr>
        <w:t xml:space="preserve"> </w:t>
      </w:r>
      <w:r>
        <w:rPr>
          <w:lang w:val="fr-FR"/>
        </w:rPr>
        <w:t>« </w:t>
      </w:r>
      <w:r w:rsidRPr="004A3D40">
        <w:rPr>
          <w:vertAlign w:val="superscript"/>
          <w:lang w:val="fr-FR"/>
        </w:rPr>
        <w:t>5</w:t>
      </w:r>
      <w:r>
        <w:rPr>
          <w:vertAlign w:val="superscript"/>
          <w:lang w:val="fr-FR"/>
        </w:rPr>
        <w:t>,</w:t>
      </w:r>
      <w:r w:rsidRPr="004A3D40">
        <w:rPr>
          <w:vertAlign w:val="superscript"/>
          <w:lang w:val="fr-FR"/>
        </w:rPr>
        <w:t>6</w:t>
      </w:r>
      <w:r>
        <w:rPr>
          <w:lang w:val="fr-FR"/>
        </w:rPr>
        <w:t> » ;</w:t>
      </w:r>
      <w:bookmarkEnd w:id="28"/>
    </w:p>
    <w:p w14:paraId="4C4BE6B8" w14:textId="2F3E9B77" w:rsidR="00B178A7" w:rsidRPr="00A241BD" w:rsidRDefault="00B178A7" w:rsidP="0084689A">
      <w:pPr>
        <w:pStyle w:val="Bullet2G"/>
        <w:rPr>
          <w:lang w:val="fr-FR"/>
        </w:rPr>
      </w:pPr>
      <w:bookmarkStart w:id="29" w:name="_Hlk116574521"/>
      <w:r w:rsidRPr="0084689A">
        <w:rPr>
          <w:i/>
          <w:iCs/>
          <w:lang w:val="fr-FR"/>
        </w:rPr>
        <w:t>Référence au « tableau 3.4.5 »</w:t>
      </w:r>
      <w:r w:rsidR="0084689A">
        <w:rPr>
          <w:lang w:val="fr-FR"/>
        </w:rPr>
        <w:t>, r</w:t>
      </w:r>
      <w:r w:rsidRPr="003E0787">
        <w:rPr>
          <w:lang w:val="fr-FR"/>
        </w:rPr>
        <w:t>e</w:t>
      </w:r>
      <w:r>
        <w:rPr>
          <w:lang w:val="fr-FR"/>
        </w:rPr>
        <w:t>mplacer par « t</w:t>
      </w:r>
      <w:r w:rsidRPr="00A241BD">
        <w:rPr>
          <w:lang w:val="fr-FR"/>
        </w:rPr>
        <w:t>ableau 3.4.4</w:t>
      </w:r>
      <w:r>
        <w:rPr>
          <w:lang w:val="fr-FR"/>
        </w:rPr>
        <w:t> » ;</w:t>
      </w:r>
      <w:bookmarkEnd w:id="29"/>
    </w:p>
    <w:p w14:paraId="16DF0148" w14:textId="75CD8A48" w:rsidR="00B178A7" w:rsidRPr="00A241BD" w:rsidRDefault="00B178A7" w:rsidP="00812011">
      <w:pPr>
        <w:pStyle w:val="Bullet1G"/>
        <w:rPr>
          <w:lang w:val="fr-FR"/>
        </w:rPr>
      </w:pPr>
      <w:bookmarkStart w:id="30" w:name="_Hlk116574573"/>
      <w:r w:rsidRPr="0084689A">
        <w:rPr>
          <w:i/>
          <w:iCs/>
          <w:lang w:val="fr-FR"/>
        </w:rPr>
        <w:t>Notes de bas de page « </w:t>
      </w:r>
      <w:r w:rsidRPr="0084689A">
        <w:rPr>
          <w:i/>
          <w:iCs/>
          <w:vertAlign w:val="superscript"/>
          <w:lang w:val="fr-FR"/>
        </w:rPr>
        <w:t>3</w:t>
      </w:r>
      <w:r w:rsidRPr="0084689A">
        <w:rPr>
          <w:i/>
          <w:iCs/>
          <w:lang w:val="fr-FR"/>
        </w:rPr>
        <w:t> » à « </w:t>
      </w:r>
      <w:r w:rsidRPr="0084689A">
        <w:rPr>
          <w:i/>
          <w:iCs/>
          <w:vertAlign w:val="superscript"/>
          <w:lang w:val="fr-FR"/>
        </w:rPr>
        <w:t>5</w:t>
      </w:r>
      <w:r w:rsidRPr="0084689A">
        <w:rPr>
          <w:i/>
          <w:iCs/>
          <w:lang w:val="fr-FR"/>
        </w:rPr>
        <w:t> »</w:t>
      </w:r>
      <w:r>
        <w:rPr>
          <w:lang w:val="fr-FR"/>
        </w:rPr>
        <w:t xml:space="preserve"> </w:t>
      </w:r>
      <w:r w:rsidRPr="00E751A3">
        <w:rPr>
          <w:lang w:val="fr-FR"/>
        </w:rPr>
        <w:t>sous le diagramme de décision 3.4.1</w:t>
      </w:r>
      <w:r w:rsidR="00812011">
        <w:rPr>
          <w:lang w:val="fr-FR"/>
        </w:rPr>
        <w:t>, r</w:t>
      </w:r>
      <w:r>
        <w:rPr>
          <w:lang w:val="fr-FR"/>
        </w:rPr>
        <w:t xml:space="preserve">enuméroter respectivement de </w:t>
      </w:r>
      <w:r w:rsidRPr="004A3D40">
        <w:rPr>
          <w:vertAlign w:val="superscript"/>
          <w:lang w:val="fr-FR"/>
        </w:rPr>
        <w:t>5</w:t>
      </w:r>
      <w:r>
        <w:rPr>
          <w:lang w:val="fr-FR"/>
        </w:rPr>
        <w:t xml:space="preserve"> à </w:t>
      </w:r>
      <w:r w:rsidRPr="004A3D40">
        <w:rPr>
          <w:vertAlign w:val="superscript"/>
          <w:lang w:val="fr-FR"/>
        </w:rPr>
        <w:t>7</w:t>
      </w:r>
      <w:r>
        <w:rPr>
          <w:lang w:val="fr-FR"/>
        </w:rPr>
        <w:t>.</w:t>
      </w:r>
      <w:bookmarkEnd w:id="30"/>
    </w:p>
    <w:p w14:paraId="0440D1DF" w14:textId="77777777" w:rsidR="00B178A7" w:rsidRPr="00E751A3" w:rsidRDefault="00B178A7" w:rsidP="0084689A">
      <w:pPr>
        <w:keepNext/>
        <w:tabs>
          <w:tab w:val="left" w:pos="2268"/>
        </w:tabs>
        <w:suppressAutoHyphens w:val="0"/>
        <w:kinsoku/>
        <w:overflowPunct/>
        <w:autoSpaceDE/>
        <w:autoSpaceDN/>
        <w:adjustRightInd/>
        <w:spacing w:after="120" w:line="240" w:lineRule="auto"/>
        <w:ind w:left="1134" w:right="1134"/>
        <w:jc w:val="both"/>
        <w:rPr>
          <w:i/>
          <w:iCs/>
          <w:lang w:val="fr-FR"/>
        </w:rPr>
      </w:pPr>
      <w:r w:rsidRPr="00E751A3">
        <w:rPr>
          <w:i/>
          <w:iCs/>
          <w:lang w:val="fr-FR"/>
        </w:rPr>
        <w:t>3.4.5.2, « Diagramme de décision 3.4.2 pour la sensibilisation cutanée » :</w:t>
      </w:r>
    </w:p>
    <w:p w14:paraId="45BFF9A8" w14:textId="1624BA4B" w:rsidR="00B178A7" w:rsidRPr="00E751A3" w:rsidRDefault="00B178A7" w:rsidP="00812011">
      <w:pPr>
        <w:pStyle w:val="Bullet1G"/>
        <w:rPr>
          <w:lang w:val="fr-FR"/>
        </w:rPr>
      </w:pPr>
      <w:r w:rsidRPr="00E751A3">
        <w:rPr>
          <w:lang w:val="fr-FR"/>
        </w:rPr>
        <w:t>Zone de texte centrale commençant par « a) Existe-t-il des données... » :</w:t>
      </w:r>
    </w:p>
    <w:p w14:paraId="70D96ADC" w14:textId="0EAFD4B3" w:rsidR="00B178A7" w:rsidRPr="00A241BD" w:rsidRDefault="00B178A7" w:rsidP="00B3329D">
      <w:pPr>
        <w:pStyle w:val="Bullet2G"/>
        <w:rPr>
          <w:lang w:val="fr-FR"/>
        </w:rPr>
      </w:pPr>
      <w:r w:rsidRPr="00E751A3">
        <w:rPr>
          <w:i/>
          <w:iCs/>
          <w:lang w:val="fr-FR"/>
        </w:rPr>
        <w:t>Début de l</w:t>
      </w:r>
      <w:r>
        <w:rPr>
          <w:i/>
          <w:iCs/>
          <w:lang w:val="fr-FR"/>
        </w:rPr>
        <w:t>’</w:t>
      </w:r>
      <w:r w:rsidRPr="00E751A3">
        <w:rPr>
          <w:i/>
          <w:iCs/>
          <w:lang w:val="fr-FR"/>
        </w:rPr>
        <w:t>alinéa a)</w:t>
      </w:r>
      <w:r w:rsidR="00B3329D">
        <w:rPr>
          <w:lang w:val="fr-FR"/>
        </w:rPr>
        <w:t>, l</w:t>
      </w:r>
      <w:r w:rsidRPr="00A241BD">
        <w:rPr>
          <w:lang w:val="fr-FR"/>
        </w:rPr>
        <w:t>ire</w:t>
      </w:r>
      <w:r>
        <w:rPr>
          <w:lang w:val="fr-FR"/>
        </w:rPr>
        <w:t> :</w:t>
      </w:r>
      <w:r w:rsidRPr="00A241BD">
        <w:rPr>
          <w:lang w:val="fr-FR"/>
        </w:rPr>
        <w:t xml:space="preserve"> </w:t>
      </w:r>
      <w:r>
        <w:rPr>
          <w:lang w:val="fr-FR"/>
        </w:rPr>
        <w:t>« </w:t>
      </w:r>
      <w:r w:rsidRPr="00A241BD">
        <w:rPr>
          <w:lang w:val="fr-FR"/>
        </w:rPr>
        <w:t xml:space="preserve">a) Existe-t-il des </w:t>
      </w:r>
      <w:r>
        <w:rPr>
          <w:lang w:val="fr-FR"/>
        </w:rPr>
        <w:t>données</w:t>
      </w:r>
      <w:r w:rsidRPr="00A241BD">
        <w:rPr>
          <w:lang w:val="fr-FR"/>
        </w:rPr>
        <w:t xml:space="preserve"> chez l</w:t>
      </w:r>
      <w:r>
        <w:rPr>
          <w:lang w:val="fr-FR"/>
        </w:rPr>
        <w:t>’</w:t>
      </w:r>
      <w:r w:rsidRPr="00A241BD">
        <w:rPr>
          <w:lang w:val="fr-FR"/>
        </w:rPr>
        <w:t xml:space="preserve">homme </w:t>
      </w:r>
      <w:r>
        <w:rPr>
          <w:lang w:val="fr-FR"/>
        </w:rPr>
        <w:t xml:space="preserve">montrant </w:t>
      </w:r>
      <w:r w:rsidRPr="00A241BD">
        <w:rPr>
          <w:lang w:val="fr-FR"/>
        </w:rPr>
        <w:t xml:space="preserve">que la </w:t>
      </w:r>
      <w:r>
        <w:rPr>
          <w:lang w:val="fr-FR"/>
        </w:rPr>
        <w:t>substance</w:t>
      </w:r>
      <w:r w:rsidRPr="00A241BD">
        <w:rPr>
          <w:lang w:val="fr-FR"/>
        </w:rPr>
        <w:t xml:space="preserve"> (voir 3.4.2.2.1 et </w:t>
      </w:r>
      <w:proofErr w:type="gramStart"/>
      <w:r w:rsidRPr="00A241BD">
        <w:rPr>
          <w:lang w:val="fr-FR"/>
        </w:rPr>
        <w:t>3.4.2.2.7.8)/</w:t>
      </w:r>
      <w:proofErr w:type="gramEnd"/>
      <w:r w:rsidRPr="00A241BD">
        <w:rPr>
          <w:lang w:val="fr-FR"/>
        </w:rPr>
        <w:t xml:space="preserve">le mélange (voir 3.4.3) peut </w:t>
      </w:r>
      <w:r>
        <w:rPr>
          <w:lang w:val="fr-FR"/>
        </w:rPr>
        <w:t>entraîner</w:t>
      </w:r>
      <w:r w:rsidRPr="00A241BD">
        <w:rPr>
          <w:lang w:val="fr-FR"/>
        </w:rPr>
        <w:t>...</w:t>
      </w:r>
      <w:r>
        <w:rPr>
          <w:lang w:val="fr-FR"/>
        </w:rPr>
        <w:t> » ;</w:t>
      </w:r>
    </w:p>
    <w:p w14:paraId="5FE5690A" w14:textId="36A5BAED" w:rsidR="00B178A7" w:rsidRPr="00A241BD" w:rsidRDefault="00B178A7" w:rsidP="00B3329D">
      <w:pPr>
        <w:pStyle w:val="Bullet2G"/>
        <w:rPr>
          <w:lang w:val="fr-FR"/>
        </w:rPr>
      </w:pPr>
      <w:r w:rsidRPr="00E751A3">
        <w:rPr>
          <w:i/>
          <w:iCs/>
          <w:lang w:val="fr-FR"/>
        </w:rPr>
        <w:t>Alinéa b)</w:t>
      </w:r>
      <w:r w:rsidR="00B3329D">
        <w:rPr>
          <w:lang w:val="fr-FR"/>
        </w:rPr>
        <w:t>, s</w:t>
      </w:r>
      <w:r w:rsidRPr="00A241BD">
        <w:rPr>
          <w:lang w:val="fr-FR"/>
        </w:rPr>
        <w:t>upprimer</w:t>
      </w:r>
      <w:r w:rsidRPr="00E751A3">
        <w:rPr>
          <w:i/>
          <w:iCs/>
          <w:lang w:val="fr-FR"/>
        </w:rPr>
        <w:t xml:space="preserve"> «</w:t>
      </w:r>
      <w:r w:rsidRPr="00E751A3">
        <w:rPr>
          <w:lang w:val="fr-FR"/>
        </w:rPr>
        <w:t> (voir critères au 3.4.2.2.1 et 3.4.2.2.4) »</w:t>
      </w:r>
      <w:r>
        <w:rPr>
          <w:lang w:val="fr-FR"/>
        </w:rPr>
        <w:t> ;</w:t>
      </w:r>
    </w:p>
    <w:p w14:paraId="7EFB8CDB" w14:textId="20F61B64" w:rsidR="00B178A7" w:rsidRPr="00A241BD" w:rsidRDefault="00B178A7" w:rsidP="00B3329D">
      <w:pPr>
        <w:pStyle w:val="Bullet1G"/>
        <w:rPr>
          <w:lang w:val="fr-FR"/>
        </w:rPr>
      </w:pPr>
      <w:r w:rsidRPr="00E751A3">
        <w:rPr>
          <w:i/>
          <w:iCs/>
          <w:lang w:val="fr-FR"/>
        </w:rPr>
        <w:t>Deuxième zone de texte à droite en partant du haut</w:t>
      </w:r>
      <w:r w:rsidR="00B3329D">
        <w:rPr>
          <w:lang w:val="fr-FR"/>
        </w:rPr>
        <w:t>, r</w:t>
      </w:r>
      <w:r w:rsidRPr="00A241BD">
        <w:rPr>
          <w:lang w:val="fr-FR"/>
        </w:rPr>
        <w:t>emplace</w:t>
      </w:r>
      <w:r>
        <w:rPr>
          <w:lang w:val="fr-FR"/>
        </w:rPr>
        <w:t>r</w:t>
      </w:r>
      <w:r w:rsidRPr="00A241BD">
        <w:rPr>
          <w:lang w:val="fr-FR"/>
        </w:rPr>
        <w:t xml:space="preserve"> </w:t>
      </w:r>
      <w:r>
        <w:rPr>
          <w:lang w:val="fr-FR"/>
        </w:rPr>
        <w:t>« </w:t>
      </w:r>
      <w:r w:rsidRPr="00A241BD">
        <w:rPr>
          <w:lang w:val="fr-FR"/>
        </w:rPr>
        <w:t>Catégorie</w:t>
      </w:r>
      <w:r>
        <w:rPr>
          <w:lang w:val="fr-FR"/>
        </w:rPr>
        <w:t> </w:t>
      </w:r>
      <w:r w:rsidRPr="00A241BD">
        <w:rPr>
          <w:lang w:val="fr-FR"/>
        </w:rPr>
        <w:t>1</w:t>
      </w:r>
      <w:r w:rsidRPr="00A241BD">
        <w:rPr>
          <w:vertAlign w:val="superscript"/>
          <w:lang w:val="fr-FR"/>
        </w:rPr>
        <w:t>6</w:t>
      </w:r>
      <w:r>
        <w:rPr>
          <w:lang w:val="fr-FR"/>
        </w:rPr>
        <w:t> »</w:t>
      </w:r>
      <w:r w:rsidRPr="00A241BD">
        <w:rPr>
          <w:lang w:val="fr-FR"/>
        </w:rPr>
        <w:t xml:space="preserve"> par </w:t>
      </w:r>
      <w:r>
        <w:rPr>
          <w:lang w:val="fr-FR"/>
        </w:rPr>
        <w:t>« </w:t>
      </w:r>
      <w:r w:rsidRPr="00A241BD">
        <w:rPr>
          <w:lang w:val="fr-FR"/>
        </w:rPr>
        <w:t>Catégorie 1</w:t>
      </w:r>
      <w:r w:rsidRPr="00A241BD">
        <w:rPr>
          <w:vertAlign w:val="superscript"/>
          <w:lang w:val="fr-FR"/>
        </w:rPr>
        <w:t>8</w:t>
      </w:r>
      <w:r>
        <w:rPr>
          <w:lang w:val="fr-FR"/>
        </w:rPr>
        <w:t> » ;</w:t>
      </w:r>
    </w:p>
    <w:p w14:paraId="1357A0CD" w14:textId="481C597B" w:rsidR="00B178A7" w:rsidRPr="00E751A3" w:rsidRDefault="00B178A7" w:rsidP="00B3329D">
      <w:pPr>
        <w:pStyle w:val="Bullet1G"/>
        <w:rPr>
          <w:i/>
          <w:iCs/>
          <w:lang w:val="fr-FR"/>
        </w:rPr>
      </w:pPr>
      <w:r w:rsidRPr="00E751A3">
        <w:rPr>
          <w:i/>
          <w:iCs/>
          <w:lang w:val="fr-FR"/>
        </w:rPr>
        <w:t>Zone de texte en bas à gauche, commençant par « Le mélange contient-il... » :</w:t>
      </w:r>
    </w:p>
    <w:p w14:paraId="23C09A09" w14:textId="7477089B" w:rsidR="00B178A7" w:rsidRPr="00A241BD" w:rsidRDefault="00B178A7" w:rsidP="00B3329D">
      <w:pPr>
        <w:pStyle w:val="Bullet2G"/>
        <w:rPr>
          <w:lang w:val="fr-FR"/>
        </w:rPr>
      </w:pPr>
      <w:r w:rsidRPr="00E751A3">
        <w:rPr>
          <w:i/>
          <w:iCs/>
          <w:lang w:val="fr-FR"/>
        </w:rPr>
        <w:t>Appels de notes de bas de page « </w:t>
      </w:r>
      <w:r w:rsidRPr="00E751A3">
        <w:rPr>
          <w:i/>
          <w:iCs/>
          <w:vertAlign w:val="superscript"/>
          <w:lang w:val="fr-FR"/>
        </w:rPr>
        <w:t>3,4</w:t>
      </w:r>
      <w:r w:rsidRPr="00E751A3">
        <w:rPr>
          <w:i/>
          <w:iCs/>
          <w:lang w:val="fr-FR"/>
        </w:rPr>
        <w:t> »</w:t>
      </w:r>
      <w:r w:rsidR="00345880">
        <w:rPr>
          <w:lang w:val="fr-FR"/>
        </w:rPr>
        <w:t>, r</w:t>
      </w:r>
      <w:r>
        <w:rPr>
          <w:lang w:val="fr-FR"/>
        </w:rPr>
        <w:t>emplacer</w:t>
      </w:r>
      <w:r w:rsidRPr="00A241BD">
        <w:rPr>
          <w:lang w:val="fr-FR"/>
        </w:rPr>
        <w:t xml:space="preserve"> </w:t>
      </w:r>
      <w:r>
        <w:rPr>
          <w:lang w:val="fr-FR"/>
        </w:rPr>
        <w:t>respectivement par</w:t>
      </w:r>
      <w:r w:rsidRPr="00A241BD">
        <w:rPr>
          <w:lang w:val="fr-FR"/>
        </w:rPr>
        <w:t xml:space="preserve"> </w:t>
      </w:r>
      <w:r>
        <w:rPr>
          <w:lang w:val="fr-FR"/>
        </w:rPr>
        <w:t>« </w:t>
      </w:r>
      <w:r w:rsidRPr="004A3D40">
        <w:rPr>
          <w:vertAlign w:val="superscript"/>
          <w:lang w:val="fr-FR"/>
        </w:rPr>
        <w:t>5</w:t>
      </w:r>
      <w:r>
        <w:rPr>
          <w:vertAlign w:val="superscript"/>
          <w:lang w:val="fr-FR"/>
        </w:rPr>
        <w:t>,</w:t>
      </w:r>
      <w:r w:rsidRPr="004A3D40">
        <w:rPr>
          <w:vertAlign w:val="superscript"/>
          <w:lang w:val="fr-FR"/>
        </w:rPr>
        <w:t>6</w:t>
      </w:r>
      <w:r>
        <w:rPr>
          <w:lang w:val="fr-FR"/>
        </w:rPr>
        <w:t> » ;</w:t>
      </w:r>
    </w:p>
    <w:p w14:paraId="2EE222A3" w14:textId="2EEFDF7F" w:rsidR="00B178A7" w:rsidRPr="00A241BD" w:rsidRDefault="00B178A7" w:rsidP="00B3329D">
      <w:pPr>
        <w:pStyle w:val="Bullet2G"/>
        <w:rPr>
          <w:lang w:val="fr-FR"/>
        </w:rPr>
      </w:pPr>
      <w:r w:rsidRPr="00E751A3">
        <w:rPr>
          <w:i/>
          <w:iCs/>
          <w:lang w:val="fr-FR"/>
        </w:rPr>
        <w:t>Référence au « tableau 3.4.5 »</w:t>
      </w:r>
      <w:r w:rsidR="00345880">
        <w:rPr>
          <w:lang w:val="fr-FR"/>
        </w:rPr>
        <w:t>, r</w:t>
      </w:r>
      <w:r w:rsidRPr="003E0787">
        <w:rPr>
          <w:lang w:val="fr-FR"/>
        </w:rPr>
        <w:t>e</w:t>
      </w:r>
      <w:r>
        <w:rPr>
          <w:lang w:val="fr-FR"/>
        </w:rPr>
        <w:t>mplacer par « t</w:t>
      </w:r>
      <w:r w:rsidRPr="00A241BD">
        <w:rPr>
          <w:lang w:val="fr-FR"/>
        </w:rPr>
        <w:t>ableau 3.4.4</w:t>
      </w:r>
      <w:r>
        <w:rPr>
          <w:lang w:val="fr-FR"/>
        </w:rPr>
        <w:t> » ;</w:t>
      </w:r>
    </w:p>
    <w:p w14:paraId="3457991D" w14:textId="60D9D2BF" w:rsidR="00B178A7" w:rsidRDefault="00B178A7" w:rsidP="00B3329D">
      <w:pPr>
        <w:pStyle w:val="Bullet1G"/>
        <w:rPr>
          <w:lang w:val="fr-FR"/>
        </w:rPr>
      </w:pPr>
      <w:r w:rsidRPr="00E751A3">
        <w:rPr>
          <w:i/>
          <w:iCs/>
          <w:lang w:val="fr-FR"/>
        </w:rPr>
        <w:t xml:space="preserve">Sous le diagramme de décision 3.4.2, notes de bas de page </w:t>
      </w:r>
      <w:r w:rsidRPr="00E751A3">
        <w:rPr>
          <w:i/>
          <w:iCs/>
          <w:vertAlign w:val="superscript"/>
          <w:lang w:val="fr-FR"/>
        </w:rPr>
        <w:t>3</w:t>
      </w:r>
      <w:r w:rsidRPr="00E751A3">
        <w:rPr>
          <w:i/>
          <w:iCs/>
          <w:lang w:val="fr-FR"/>
        </w:rPr>
        <w:t xml:space="preserve">, </w:t>
      </w:r>
      <w:r w:rsidRPr="00E751A3">
        <w:rPr>
          <w:i/>
          <w:iCs/>
          <w:vertAlign w:val="superscript"/>
          <w:lang w:val="fr-FR"/>
        </w:rPr>
        <w:t>4</w:t>
      </w:r>
      <w:r w:rsidRPr="00E751A3">
        <w:rPr>
          <w:i/>
          <w:iCs/>
          <w:lang w:val="fr-FR"/>
        </w:rPr>
        <w:t xml:space="preserve"> et </w:t>
      </w:r>
      <w:r w:rsidRPr="00E751A3">
        <w:rPr>
          <w:i/>
          <w:iCs/>
          <w:vertAlign w:val="superscript"/>
          <w:lang w:val="fr-FR"/>
        </w:rPr>
        <w:t>6</w:t>
      </w:r>
      <w:r w:rsidR="00DE443B" w:rsidRPr="00DE443B">
        <w:rPr>
          <w:i/>
          <w:iCs/>
          <w:lang w:val="fr-FR"/>
        </w:rPr>
        <w:t>, r</w:t>
      </w:r>
      <w:r>
        <w:rPr>
          <w:lang w:val="fr-FR"/>
        </w:rPr>
        <w:t xml:space="preserve">enuméroter respectivement en </w:t>
      </w:r>
      <w:r w:rsidRPr="004A3D40">
        <w:rPr>
          <w:vertAlign w:val="superscript"/>
          <w:lang w:val="fr-FR"/>
        </w:rPr>
        <w:t>5</w:t>
      </w:r>
      <w:r>
        <w:rPr>
          <w:lang w:val="fr-FR"/>
        </w:rPr>
        <w:t xml:space="preserve">, </w:t>
      </w:r>
      <w:r w:rsidRPr="00341796">
        <w:rPr>
          <w:vertAlign w:val="superscript"/>
          <w:lang w:val="fr-FR"/>
        </w:rPr>
        <w:t>6</w:t>
      </w:r>
      <w:r>
        <w:rPr>
          <w:lang w:val="fr-FR"/>
        </w:rPr>
        <w:t xml:space="preserve"> et </w:t>
      </w:r>
      <w:r w:rsidRPr="00341796">
        <w:rPr>
          <w:vertAlign w:val="superscript"/>
          <w:lang w:val="fr-FR"/>
        </w:rPr>
        <w:t>8</w:t>
      </w:r>
      <w:r>
        <w:rPr>
          <w:lang w:val="fr-FR"/>
        </w:rPr>
        <w:t>.</w:t>
      </w:r>
    </w:p>
    <w:p w14:paraId="1F99B578" w14:textId="77777777" w:rsidR="00B178A7" w:rsidRPr="00A241BD" w:rsidRDefault="00B178A7" w:rsidP="00B178A7">
      <w:pPr>
        <w:pStyle w:val="SingleTxtG"/>
        <w:tabs>
          <w:tab w:val="left" w:pos="5670"/>
        </w:tabs>
        <w:spacing w:after="240"/>
        <w:rPr>
          <w:lang w:val="fr-FR"/>
        </w:rPr>
      </w:pPr>
      <w:r w:rsidRPr="00E751A3">
        <w:rPr>
          <w:i/>
          <w:lang w:val="fr-FR"/>
        </w:rPr>
        <w:t>Ajouter un nouveau paragraphe 3.4.5.3,</w:t>
      </w:r>
      <w:r w:rsidRPr="00804AB9">
        <w:rPr>
          <w:iCs/>
          <w:lang w:val="fr-FR"/>
        </w:rPr>
        <w:t xml:space="preserve"> libellé </w:t>
      </w:r>
      <w:r>
        <w:rPr>
          <w:lang w:val="fr-FR"/>
        </w:rPr>
        <w:t>comme suit :</w:t>
      </w:r>
    </w:p>
    <w:p w14:paraId="66D37E74" w14:textId="77777777" w:rsidR="00B178A7" w:rsidRPr="00A241BD" w:rsidRDefault="00B178A7" w:rsidP="006C008D">
      <w:pPr>
        <w:pStyle w:val="SingleTxtG"/>
        <w:ind w:left="2268" w:hanging="1134"/>
        <w:rPr>
          <w:lang w:val="fr-FR"/>
        </w:rPr>
      </w:pPr>
      <w:r>
        <w:rPr>
          <w:lang w:val="fr-FR"/>
        </w:rPr>
        <w:t>« </w:t>
      </w:r>
      <w:r w:rsidRPr="00DE443B">
        <w:rPr>
          <w:b/>
          <w:bCs/>
          <w:lang w:val="fr-FR"/>
        </w:rPr>
        <w:t>3.4.5.3</w:t>
      </w:r>
      <w:r w:rsidRPr="00DE443B">
        <w:rPr>
          <w:b/>
          <w:bCs/>
          <w:lang w:val="fr-FR"/>
        </w:rPr>
        <w:tab/>
      </w:r>
      <w:r w:rsidRPr="00207B0E">
        <w:rPr>
          <w:b/>
          <w:bCs/>
          <w:i/>
          <w:iCs/>
          <w:lang w:val="fr-FR"/>
        </w:rPr>
        <w:t>Commentaires et observations complémentaires</w:t>
      </w:r>
    </w:p>
    <w:p w14:paraId="57D24003" w14:textId="77777777" w:rsidR="00B178A7" w:rsidRPr="00A241BD" w:rsidRDefault="00B178A7" w:rsidP="007705B5">
      <w:pPr>
        <w:pStyle w:val="SingleTxtG"/>
        <w:keepNext/>
        <w:ind w:left="2268" w:hanging="1134"/>
        <w:jc w:val="left"/>
        <w:rPr>
          <w:i/>
          <w:iCs/>
          <w:lang w:val="fr-FR"/>
        </w:rPr>
      </w:pPr>
      <w:r w:rsidRPr="00A241BD">
        <w:rPr>
          <w:lang w:val="fr-FR"/>
        </w:rPr>
        <w:t>3.4.5.3.1</w:t>
      </w:r>
      <w:r>
        <w:rPr>
          <w:lang w:val="fr-FR"/>
        </w:rPr>
        <w:tab/>
      </w:r>
      <w:r w:rsidRPr="00A241BD">
        <w:rPr>
          <w:i/>
          <w:iCs/>
          <w:lang w:val="fr-FR"/>
        </w:rPr>
        <w:t xml:space="preserve">Documents </w:t>
      </w:r>
      <w:r>
        <w:rPr>
          <w:i/>
          <w:iCs/>
          <w:lang w:val="fr-FR"/>
        </w:rPr>
        <w:t>de référence utiles</w:t>
      </w:r>
    </w:p>
    <w:p w14:paraId="37EEA2E2" w14:textId="1616DEE1" w:rsidR="00B178A7" w:rsidRPr="00A241BD" w:rsidRDefault="00B178A7" w:rsidP="007705B5">
      <w:pPr>
        <w:pStyle w:val="SingleTxtG"/>
        <w:ind w:left="2268"/>
        <w:rPr>
          <w:lang w:val="fr-FR"/>
        </w:rPr>
      </w:pPr>
      <w:r w:rsidRPr="00A241BD">
        <w:rPr>
          <w:lang w:val="fr-FR"/>
        </w:rPr>
        <w:t>Des informations sur le</w:t>
      </w:r>
      <w:r>
        <w:rPr>
          <w:lang w:val="fr-FR"/>
        </w:rPr>
        <w:t>s</w:t>
      </w:r>
      <w:r w:rsidRPr="00A241BD">
        <w:rPr>
          <w:lang w:val="fr-FR"/>
        </w:rPr>
        <w:t xml:space="preserve"> mécani</w:t>
      </w:r>
      <w:r>
        <w:rPr>
          <w:lang w:val="fr-FR"/>
        </w:rPr>
        <w:t xml:space="preserve">smes du </w:t>
      </w:r>
      <w:r w:rsidRPr="00A241BD">
        <w:rPr>
          <w:lang w:val="fr-FR"/>
        </w:rPr>
        <w:t>processus de sensibilisation cutanée sont disponibles dans le document de l</w:t>
      </w:r>
      <w:r>
        <w:rPr>
          <w:lang w:val="fr-FR"/>
        </w:rPr>
        <w:t>’</w:t>
      </w:r>
      <w:r w:rsidRPr="00A241BD">
        <w:rPr>
          <w:lang w:val="fr-FR"/>
        </w:rPr>
        <w:t xml:space="preserve">OCDE </w:t>
      </w:r>
      <w:r>
        <w:rPr>
          <w:lang w:val="fr-FR"/>
        </w:rPr>
        <w:t>intitulé « </w:t>
      </w:r>
      <w:r w:rsidRPr="00F87FA3">
        <w:rPr>
          <w:lang w:val="fr-FR"/>
        </w:rPr>
        <w:t xml:space="preserve">Adverse </w:t>
      </w:r>
      <w:proofErr w:type="spellStart"/>
      <w:r w:rsidRPr="00F87FA3">
        <w:rPr>
          <w:lang w:val="fr-FR"/>
        </w:rPr>
        <w:t>Outcome</w:t>
      </w:r>
      <w:proofErr w:type="spellEnd"/>
      <w:r w:rsidRPr="00F87FA3">
        <w:rPr>
          <w:lang w:val="fr-FR"/>
        </w:rPr>
        <w:t xml:space="preserve"> </w:t>
      </w:r>
      <w:proofErr w:type="spellStart"/>
      <w:r w:rsidRPr="00F87FA3">
        <w:rPr>
          <w:lang w:val="fr-FR"/>
        </w:rPr>
        <w:t>Pathway</w:t>
      </w:r>
      <w:proofErr w:type="spellEnd"/>
      <w:r w:rsidRPr="00F87FA3">
        <w:rPr>
          <w:lang w:val="fr-FR"/>
        </w:rPr>
        <w:t xml:space="preserve"> for </w:t>
      </w:r>
      <w:r w:rsidR="00B82EF3">
        <w:rPr>
          <w:lang w:val="fr-FR"/>
        </w:rPr>
        <w:t>s</w:t>
      </w:r>
      <w:r w:rsidRPr="00F87FA3">
        <w:rPr>
          <w:lang w:val="fr-FR"/>
        </w:rPr>
        <w:t xml:space="preserve">kin </w:t>
      </w:r>
      <w:proofErr w:type="spellStart"/>
      <w:r w:rsidR="00B82EF3">
        <w:rPr>
          <w:lang w:val="fr-FR"/>
        </w:rPr>
        <w:t>s</w:t>
      </w:r>
      <w:r w:rsidRPr="00F87FA3">
        <w:rPr>
          <w:lang w:val="fr-FR"/>
        </w:rPr>
        <w:t>ensitization</w:t>
      </w:r>
      <w:proofErr w:type="spellEnd"/>
      <w:r>
        <w:rPr>
          <w:lang w:val="fr-FR"/>
        </w:rPr>
        <w:t xml:space="preserve"> » </w:t>
      </w:r>
      <w:r w:rsidRPr="00A241BD">
        <w:rPr>
          <w:lang w:val="fr-FR"/>
        </w:rPr>
        <w:t xml:space="preserve">(OCDE, 2014). Ces informations peuvent être utiles pour comprendre la valeur des méthodes </w:t>
      </w:r>
      <w:r w:rsidRPr="00A241BD">
        <w:rPr>
          <w:i/>
          <w:iCs/>
          <w:lang w:val="fr-FR"/>
        </w:rPr>
        <w:t xml:space="preserve">in </w:t>
      </w:r>
      <w:proofErr w:type="spellStart"/>
      <w:r w:rsidRPr="00A241BD">
        <w:rPr>
          <w:i/>
          <w:iCs/>
          <w:lang w:val="fr-FR"/>
        </w:rPr>
        <w:t>chemico</w:t>
      </w:r>
      <w:proofErr w:type="spellEnd"/>
      <w:r w:rsidRPr="00A241BD">
        <w:rPr>
          <w:i/>
          <w:iCs/>
          <w:lang w:val="fr-FR"/>
        </w:rPr>
        <w:t xml:space="preserve"> </w:t>
      </w:r>
      <w:r w:rsidRPr="00A241BD">
        <w:rPr>
          <w:lang w:val="fr-FR"/>
        </w:rPr>
        <w:t xml:space="preserve">et </w:t>
      </w:r>
      <w:r w:rsidRPr="00A241BD">
        <w:rPr>
          <w:i/>
          <w:iCs/>
          <w:lang w:val="fr-FR"/>
        </w:rPr>
        <w:t xml:space="preserve">in vitro </w:t>
      </w:r>
      <w:r w:rsidRPr="00A241BD">
        <w:rPr>
          <w:lang w:val="fr-FR"/>
        </w:rPr>
        <w:t xml:space="preserve">par rapport aux méthodes </w:t>
      </w:r>
      <w:r w:rsidRPr="00F87FA3">
        <w:rPr>
          <w:i/>
          <w:iCs/>
          <w:lang w:val="fr-FR"/>
        </w:rPr>
        <w:t>in vivo</w:t>
      </w:r>
      <w:r w:rsidRPr="00A241BD">
        <w:rPr>
          <w:lang w:val="fr-FR"/>
        </w:rPr>
        <w:t>.</w:t>
      </w:r>
    </w:p>
    <w:p w14:paraId="58EB923D" w14:textId="77777777" w:rsidR="00B178A7" w:rsidRPr="00A241BD" w:rsidRDefault="00B178A7" w:rsidP="007705B5">
      <w:pPr>
        <w:pStyle w:val="SingleTxtG"/>
        <w:keepNext/>
        <w:ind w:left="2268" w:hanging="1134"/>
        <w:jc w:val="left"/>
        <w:rPr>
          <w:lang w:val="fr-FR"/>
        </w:rPr>
      </w:pPr>
      <w:r w:rsidRPr="00A241BD">
        <w:rPr>
          <w:lang w:val="fr-FR"/>
        </w:rPr>
        <w:t>3.4.5.3.2</w:t>
      </w:r>
      <w:r w:rsidRPr="00A241BD">
        <w:rPr>
          <w:lang w:val="fr-FR"/>
        </w:rPr>
        <w:tab/>
      </w:r>
      <w:r w:rsidRPr="00A241BD">
        <w:rPr>
          <w:i/>
          <w:iCs/>
          <w:lang w:val="fr-FR"/>
        </w:rPr>
        <w:t>Orientations sur l</w:t>
      </w:r>
      <w:r>
        <w:rPr>
          <w:i/>
          <w:iCs/>
          <w:lang w:val="fr-FR"/>
        </w:rPr>
        <w:t>’</w:t>
      </w:r>
      <w:r w:rsidRPr="00A241BD">
        <w:rPr>
          <w:i/>
          <w:iCs/>
          <w:lang w:val="fr-FR"/>
        </w:rPr>
        <w:t xml:space="preserve">utilisation des données </w:t>
      </w:r>
      <w:r w:rsidRPr="00F87FA3">
        <w:rPr>
          <w:i/>
          <w:iCs/>
          <w:lang w:val="fr-FR"/>
        </w:rPr>
        <w:t>obtenues sur l</w:t>
      </w:r>
      <w:r>
        <w:rPr>
          <w:i/>
          <w:iCs/>
          <w:lang w:val="fr-FR"/>
        </w:rPr>
        <w:t>’</w:t>
      </w:r>
      <w:r w:rsidRPr="00F87FA3">
        <w:rPr>
          <w:i/>
          <w:iCs/>
          <w:lang w:val="fr-FR"/>
        </w:rPr>
        <w:t>homme</w:t>
      </w:r>
    </w:p>
    <w:p w14:paraId="2FD612EC" w14:textId="77777777" w:rsidR="007705B5" w:rsidRDefault="00B178A7" w:rsidP="007705B5">
      <w:pPr>
        <w:pStyle w:val="SingleTxtG"/>
        <w:ind w:left="2268" w:hanging="1134"/>
        <w:rPr>
          <w:lang w:val="fr-FR"/>
        </w:rPr>
      </w:pPr>
      <w:r w:rsidRPr="00A241BD">
        <w:rPr>
          <w:lang w:val="fr-FR"/>
        </w:rPr>
        <w:t>3.4.5.3.2.1</w:t>
      </w:r>
      <w:r>
        <w:rPr>
          <w:lang w:val="fr-FR"/>
        </w:rPr>
        <w:tab/>
      </w:r>
      <w:r w:rsidRPr="00A241BD">
        <w:rPr>
          <w:lang w:val="fr-FR"/>
        </w:rPr>
        <w:t>L</w:t>
      </w:r>
      <w:r>
        <w:rPr>
          <w:lang w:val="fr-FR"/>
        </w:rPr>
        <w:t xml:space="preserve">e classement </w:t>
      </w:r>
      <w:r w:rsidRPr="00A241BD">
        <w:rPr>
          <w:lang w:val="fr-FR"/>
        </w:rPr>
        <w:t>d</w:t>
      </w:r>
      <w:r>
        <w:rPr>
          <w:lang w:val="fr-FR"/>
        </w:rPr>
        <w:t>’</w:t>
      </w:r>
      <w:r w:rsidRPr="00A241BD">
        <w:rPr>
          <w:lang w:val="fr-FR"/>
        </w:rPr>
        <w:t xml:space="preserve">une </w:t>
      </w:r>
      <w:r>
        <w:rPr>
          <w:lang w:val="fr-FR"/>
        </w:rPr>
        <w:t>substance</w:t>
      </w:r>
      <w:r w:rsidRPr="00A241BD">
        <w:rPr>
          <w:lang w:val="fr-FR"/>
        </w:rPr>
        <w:t xml:space="preserve"> peut être basée sur des </w:t>
      </w:r>
      <w:r>
        <w:rPr>
          <w:lang w:val="fr-FR"/>
        </w:rPr>
        <w:t>données</w:t>
      </w:r>
      <w:r w:rsidRPr="00A241BD">
        <w:rPr>
          <w:lang w:val="fr-FR"/>
        </w:rPr>
        <w:t xml:space="preserve"> </w:t>
      </w:r>
      <w:r w:rsidRPr="00F87FA3">
        <w:rPr>
          <w:lang w:val="fr-FR"/>
        </w:rPr>
        <w:t>obtenues sur l</w:t>
      </w:r>
      <w:r>
        <w:rPr>
          <w:lang w:val="fr-FR"/>
        </w:rPr>
        <w:t>’</w:t>
      </w:r>
      <w:r w:rsidRPr="00F87FA3">
        <w:rPr>
          <w:lang w:val="fr-FR"/>
        </w:rPr>
        <w:t xml:space="preserve">homme </w:t>
      </w:r>
      <w:r w:rsidRPr="00A241BD">
        <w:rPr>
          <w:lang w:val="fr-FR"/>
        </w:rPr>
        <w:t>provenant de diverses sources. Ces sources comprennent des tests épicutanés prédictifs chez l</w:t>
      </w:r>
      <w:r>
        <w:rPr>
          <w:lang w:val="fr-FR"/>
        </w:rPr>
        <w:t>’</w:t>
      </w:r>
      <w:r w:rsidRPr="00A241BD">
        <w:rPr>
          <w:lang w:val="fr-FR"/>
        </w:rPr>
        <w:t xml:space="preserve">homme, des études épidémiologiques, des études de cas, des rapports ou des historiques de cas, des tests épicutanés diagnostiques et des rapports de surveillance médicale, ainsi que des informations provenant de centres antipoison. Ces données peuvent avoir été </w:t>
      </w:r>
      <w:r>
        <w:rPr>
          <w:lang w:val="fr-FR"/>
        </w:rPr>
        <w:t xml:space="preserve">produites à l’intention </w:t>
      </w:r>
      <w:r w:rsidRPr="00A241BD">
        <w:rPr>
          <w:lang w:val="fr-FR"/>
        </w:rPr>
        <w:t>des consommateurs, des travailleurs ou la population générale. Lors de l</w:t>
      </w:r>
      <w:r>
        <w:rPr>
          <w:lang w:val="fr-FR"/>
        </w:rPr>
        <w:t>’</w:t>
      </w:r>
      <w:r w:rsidRPr="00A241BD">
        <w:rPr>
          <w:lang w:val="fr-FR"/>
        </w:rPr>
        <w:t xml:space="preserve">examen des </w:t>
      </w:r>
      <w:r>
        <w:rPr>
          <w:lang w:val="fr-FR"/>
        </w:rPr>
        <w:t>données</w:t>
      </w:r>
      <w:r w:rsidRPr="00A241BD">
        <w:rPr>
          <w:lang w:val="fr-FR"/>
        </w:rPr>
        <w:t xml:space="preserve"> </w:t>
      </w:r>
      <w:r w:rsidRPr="00F87FA3">
        <w:rPr>
          <w:lang w:val="fr-FR"/>
        </w:rPr>
        <w:t>obtenues sur l</w:t>
      </w:r>
      <w:r>
        <w:rPr>
          <w:lang w:val="fr-FR"/>
        </w:rPr>
        <w:t>’</w:t>
      </w:r>
      <w:r w:rsidRPr="00F87FA3">
        <w:rPr>
          <w:lang w:val="fr-FR"/>
        </w:rPr>
        <w:t>homme</w:t>
      </w:r>
      <w:r w:rsidRPr="00A241BD">
        <w:rPr>
          <w:lang w:val="fr-FR"/>
        </w:rPr>
        <w:t>, il convient de tenir compte de la taille, du niveau et de la fréquence d</w:t>
      </w:r>
      <w:r>
        <w:rPr>
          <w:lang w:val="fr-FR"/>
        </w:rPr>
        <w:t>’</w:t>
      </w:r>
      <w:r w:rsidRPr="00A241BD">
        <w:rPr>
          <w:lang w:val="fr-FR"/>
        </w:rPr>
        <w:t xml:space="preserve">exposition de la population exposée. Des orientations </w:t>
      </w:r>
      <w:r>
        <w:rPr>
          <w:lang w:val="fr-FR"/>
        </w:rPr>
        <w:t>concernant</w:t>
      </w:r>
      <w:r w:rsidRPr="00A241BD">
        <w:rPr>
          <w:lang w:val="fr-FR"/>
        </w:rPr>
        <w:t xml:space="preserve"> </w:t>
      </w:r>
      <w:r>
        <w:rPr>
          <w:lang w:val="fr-FR"/>
        </w:rPr>
        <w:t>l’</w:t>
      </w:r>
      <w:r w:rsidRPr="00A241BD">
        <w:rPr>
          <w:lang w:val="fr-FR"/>
        </w:rPr>
        <w:t>évalu</w:t>
      </w:r>
      <w:r>
        <w:rPr>
          <w:lang w:val="fr-FR"/>
        </w:rPr>
        <w:t>ation d</w:t>
      </w:r>
      <w:r w:rsidRPr="00A241BD">
        <w:rPr>
          <w:lang w:val="fr-FR"/>
        </w:rPr>
        <w:t xml:space="preserve">es </w:t>
      </w:r>
      <w:r>
        <w:rPr>
          <w:lang w:val="fr-FR"/>
        </w:rPr>
        <w:t>données</w:t>
      </w:r>
      <w:r w:rsidRPr="00A241BD">
        <w:rPr>
          <w:lang w:val="fr-FR"/>
        </w:rPr>
        <w:t xml:space="preserve"> </w:t>
      </w:r>
      <w:r w:rsidRPr="00F87FA3">
        <w:rPr>
          <w:lang w:val="fr-FR"/>
        </w:rPr>
        <w:t>obtenues sur l</w:t>
      </w:r>
      <w:r>
        <w:rPr>
          <w:lang w:val="fr-FR"/>
        </w:rPr>
        <w:t>’</w:t>
      </w:r>
      <w:r w:rsidRPr="00F87FA3">
        <w:rPr>
          <w:lang w:val="fr-FR"/>
        </w:rPr>
        <w:t xml:space="preserve">homme </w:t>
      </w:r>
      <w:r w:rsidRPr="00A241BD">
        <w:rPr>
          <w:lang w:val="fr-FR"/>
        </w:rPr>
        <w:t>et les critères du 3.4.2.2.2 sont fournies par certaines autorités compétentes</w:t>
      </w:r>
      <w:r>
        <w:rPr>
          <w:lang w:val="fr-FR"/>
        </w:rPr>
        <w:t xml:space="preserve">, </w:t>
      </w:r>
      <w:r w:rsidRPr="00A241BD">
        <w:rPr>
          <w:lang w:val="fr-FR"/>
        </w:rPr>
        <w:t>par exemple le guide de l</w:t>
      </w:r>
      <w:r>
        <w:rPr>
          <w:lang w:val="fr-FR"/>
        </w:rPr>
        <w:t>’</w:t>
      </w:r>
      <w:r w:rsidRPr="00A241BD">
        <w:rPr>
          <w:lang w:val="fr-FR"/>
        </w:rPr>
        <w:t xml:space="preserve">ECHA </w:t>
      </w:r>
      <w:r>
        <w:rPr>
          <w:lang w:val="fr-FR"/>
        </w:rPr>
        <w:t>(2017) intitulé « </w:t>
      </w:r>
      <w:r w:rsidRPr="00821480">
        <w:rPr>
          <w:lang w:val="fr-FR"/>
        </w:rPr>
        <w:t xml:space="preserve">Guidance on the Application of the CLP </w:t>
      </w:r>
      <w:proofErr w:type="spellStart"/>
      <w:r w:rsidRPr="00821480">
        <w:rPr>
          <w:lang w:val="fr-FR"/>
        </w:rPr>
        <w:t>Criteria</w:t>
      </w:r>
      <w:proofErr w:type="spellEnd"/>
      <w:r>
        <w:rPr>
          <w:lang w:val="fr-FR"/>
        </w:rPr>
        <w:t> » (A</w:t>
      </w:r>
      <w:r w:rsidRPr="00A241BD">
        <w:rPr>
          <w:lang w:val="fr-FR"/>
        </w:rPr>
        <w:t xml:space="preserve">pplication des critères </w:t>
      </w:r>
      <w:r>
        <w:rPr>
          <w:lang w:val="fr-FR"/>
        </w:rPr>
        <w:t>relatifs à la classification, l’étiquetage et l’emballage)</w:t>
      </w:r>
      <w:r w:rsidRPr="00A241BD">
        <w:rPr>
          <w:lang w:val="fr-FR"/>
        </w:rPr>
        <w:t>.</w:t>
      </w:r>
    </w:p>
    <w:p w14:paraId="7F35E53E" w14:textId="77777777" w:rsidR="007705B5" w:rsidRDefault="00B178A7" w:rsidP="007705B5">
      <w:pPr>
        <w:pStyle w:val="SingleTxtG"/>
        <w:ind w:left="2268" w:hanging="1134"/>
        <w:rPr>
          <w:lang w:val="fr-FR"/>
        </w:rPr>
      </w:pPr>
      <w:r w:rsidRPr="00A241BD">
        <w:rPr>
          <w:lang w:val="fr-FR"/>
        </w:rPr>
        <w:t>3.4.5.3.2.2</w:t>
      </w:r>
      <w:r>
        <w:rPr>
          <w:lang w:val="fr-FR"/>
        </w:rPr>
        <w:tab/>
      </w:r>
      <w:r w:rsidRPr="00A241BD">
        <w:rPr>
          <w:lang w:val="fr-FR"/>
        </w:rPr>
        <w:t>Des</w:t>
      </w:r>
      <w:r>
        <w:rPr>
          <w:lang w:val="fr-FR"/>
        </w:rPr>
        <w:t xml:space="preserve"> </w:t>
      </w:r>
      <w:r w:rsidRPr="00A241BD">
        <w:rPr>
          <w:lang w:val="fr-FR"/>
        </w:rPr>
        <w:t>données positives</w:t>
      </w:r>
      <w:r>
        <w:rPr>
          <w:lang w:val="fr-FR"/>
        </w:rPr>
        <w:t xml:space="preserve"> </w:t>
      </w:r>
      <w:r w:rsidRPr="00A241BD">
        <w:rPr>
          <w:lang w:val="fr-FR"/>
        </w:rPr>
        <w:t>issues de tests épicutanés prédictifs (HRIPT ou HMT) réalisés dans le cadre d</w:t>
      </w:r>
      <w:r>
        <w:rPr>
          <w:lang w:val="fr-FR"/>
        </w:rPr>
        <w:t>’</w:t>
      </w:r>
      <w:r w:rsidRPr="00A241BD">
        <w:rPr>
          <w:lang w:val="fr-FR"/>
        </w:rPr>
        <w:t>études expérimentales et cliniques sur l</w:t>
      </w:r>
      <w:r>
        <w:rPr>
          <w:lang w:val="fr-FR"/>
        </w:rPr>
        <w:t>’</w:t>
      </w:r>
      <w:r w:rsidRPr="00A241BD">
        <w:rPr>
          <w:lang w:val="fr-FR"/>
        </w:rPr>
        <w:t xml:space="preserve">homme, </w:t>
      </w:r>
      <w:r>
        <w:rPr>
          <w:lang w:val="fr-FR"/>
        </w:rPr>
        <w:t>faisant apparaître</w:t>
      </w:r>
      <w:r w:rsidRPr="00A241BD">
        <w:rPr>
          <w:lang w:val="fr-FR"/>
        </w:rPr>
        <w:t xml:space="preserve"> </w:t>
      </w:r>
      <w:r>
        <w:rPr>
          <w:lang w:val="fr-FR"/>
        </w:rPr>
        <w:t xml:space="preserve">que </w:t>
      </w:r>
      <w:r w:rsidRPr="00A241BD">
        <w:rPr>
          <w:lang w:val="fr-FR"/>
        </w:rPr>
        <w:t xml:space="preserve">la </w:t>
      </w:r>
      <w:r>
        <w:rPr>
          <w:lang w:val="fr-FR"/>
        </w:rPr>
        <w:t>substance</w:t>
      </w:r>
      <w:r w:rsidRPr="00A241BD">
        <w:rPr>
          <w:lang w:val="fr-FR"/>
        </w:rPr>
        <w:t xml:space="preserve"> testée provoque une dermatite allergique de contact, peuvent être utilisées pour classer les </w:t>
      </w:r>
      <w:r>
        <w:rPr>
          <w:lang w:val="fr-FR"/>
        </w:rPr>
        <w:t>substance</w:t>
      </w:r>
      <w:r w:rsidRPr="00A241BD">
        <w:rPr>
          <w:lang w:val="fr-FR"/>
        </w:rPr>
        <w:t xml:space="preserve">s </w:t>
      </w:r>
      <w:r>
        <w:rPr>
          <w:rFonts w:eastAsiaTheme="minorEastAsia"/>
          <w:lang w:val="fr-FR"/>
        </w:rPr>
        <w:t>en ce qui concerne</w:t>
      </w:r>
      <w:r w:rsidRPr="00A241BD">
        <w:rPr>
          <w:lang w:val="fr-FR"/>
        </w:rPr>
        <w:t xml:space="preserve"> la </w:t>
      </w:r>
      <w:r w:rsidRPr="00A241BD">
        <w:rPr>
          <w:lang w:val="fr-FR"/>
        </w:rPr>
        <w:lastRenderedPageBreak/>
        <w:t>sensibilisation cutanée</w:t>
      </w:r>
      <w:r>
        <w:rPr>
          <w:lang w:val="fr-FR"/>
        </w:rPr>
        <w:t>.</w:t>
      </w:r>
      <w:r w:rsidRPr="00A241BD">
        <w:rPr>
          <w:lang w:val="fr-FR"/>
        </w:rPr>
        <w:t xml:space="preserve"> Ces études sont généralement réalisées dans des </w:t>
      </w:r>
      <w:r>
        <w:rPr>
          <w:lang w:val="fr-FR"/>
        </w:rPr>
        <w:t>condition</w:t>
      </w:r>
      <w:r w:rsidRPr="00A241BD">
        <w:rPr>
          <w:lang w:val="fr-FR"/>
        </w:rPr>
        <w:t>s cliniques contrôlé</w:t>
      </w:r>
      <w:r>
        <w:rPr>
          <w:lang w:val="fr-FR"/>
        </w:rPr>
        <w:t>e</w:t>
      </w:r>
      <w:r w:rsidRPr="00A241BD">
        <w:rPr>
          <w:lang w:val="fr-FR"/>
        </w:rPr>
        <w:t>s</w:t>
      </w:r>
      <w:r>
        <w:rPr>
          <w:lang w:val="fr-FR"/>
        </w:rPr>
        <w:t>,</w:t>
      </w:r>
      <w:r w:rsidRPr="00A241BD">
        <w:rPr>
          <w:lang w:val="fr-FR"/>
        </w:rPr>
        <w:t xml:space="preserve"> et plus la taille de la population est importante, plus les résultats de l</w:t>
      </w:r>
      <w:r>
        <w:rPr>
          <w:lang w:val="fr-FR"/>
        </w:rPr>
        <w:t>’</w:t>
      </w:r>
      <w:r w:rsidRPr="00A241BD">
        <w:rPr>
          <w:lang w:val="fr-FR"/>
        </w:rPr>
        <w:t>étude sont fiables. Les critères d</w:t>
      </w:r>
      <w:r>
        <w:rPr>
          <w:lang w:val="fr-FR"/>
        </w:rPr>
        <w:t>’</w:t>
      </w:r>
      <w:r w:rsidRPr="00A241BD">
        <w:rPr>
          <w:lang w:val="fr-FR"/>
        </w:rPr>
        <w:t>évaluation de ces données sont fournis aux paragraphes 3.4.2.2.2.1 et 3.4.2.2.2.</w:t>
      </w:r>
    </w:p>
    <w:p w14:paraId="5C7AEF7D" w14:textId="00AAB0B8" w:rsidR="007705B5" w:rsidRDefault="00B178A7" w:rsidP="007705B5">
      <w:pPr>
        <w:pStyle w:val="SingleTxtG"/>
        <w:ind w:left="2268" w:hanging="1134"/>
        <w:rPr>
          <w:lang w:val="fr-FR"/>
        </w:rPr>
      </w:pPr>
      <w:r w:rsidRPr="00A241BD">
        <w:rPr>
          <w:lang w:val="fr-FR"/>
        </w:rPr>
        <w:t>3.4.5.3.2.3</w:t>
      </w:r>
      <w:r>
        <w:rPr>
          <w:lang w:val="fr-FR"/>
        </w:rPr>
        <w:tab/>
      </w:r>
      <w:r w:rsidRPr="00A241BD">
        <w:rPr>
          <w:lang w:val="fr-FR"/>
        </w:rPr>
        <w:t>Les données positives</w:t>
      </w:r>
      <w:r>
        <w:rPr>
          <w:lang w:val="fr-FR"/>
        </w:rPr>
        <w:t xml:space="preserve"> issues </w:t>
      </w:r>
      <w:r w:rsidRPr="00A241BD">
        <w:rPr>
          <w:lang w:val="fr-FR"/>
        </w:rPr>
        <w:t>d</w:t>
      </w:r>
      <w:r>
        <w:rPr>
          <w:lang w:val="fr-FR"/>
        </w:rPr>
        <w:t>’</w:t>
      </w:r>
      <w:r w:rsidRPr="00A241BD">
        <w:rPr>
          <w:lang w:val="fr-FR"/>
        </w:rPr>
        <w:t>études épidémiologiques bien menées (conformément aux directives COIMS de l</w:t>
      </w:r>
      <w:r>
        <w:rPr>
          <w:lang w:val="fr-FR"/>
        </w:rPr>
        <w:t>’</w:t>
      </w:r>
      <w:r w:rsidRPr="00A241BD">
        <w:rPr>
          <w:lang w:val="fr-FR"/>
        </w:rPr>
        <w:t xml:space="preserve">OMS, 2009) peuvent être utilisées pour classer les </w:t>
      </w:r>
      <w:r>
        <w:rPr>
          <w:lang w:val="fr-FR"/>
        </w:rPr>
        <w:t>substance</w:t>
      </w:r>
      <w:r w:rsidRPr="00A241BD">
        <w:rPr>
          <w:lang w:val="fr-FR"/>
        </w:rPr>
        <w:t xml:space="preserve">s </w:t>
      </w:r>
      <w:r>
        <w:rPr>
          <w:rFonts w:eastAsiaTheme="minorEastAsia"/>
          <w:lang w:val="fr-FR"/>
        </w:rPr>
        <w:t>en ce qui concerne</w:t>
      </w:r>
      <w:r w:rsidRPr="00A241BD">
        <w:rPr>
          <w:lang w:val="fr-FR"/>
        </w:rPr>
        <w:t xml:space="preserve"> la sensibilisation cutanée. Parmi les exemples d</w:t>
      </w:r>
      <w:r>
        <w:rPr>
          <w:lang w:val="fr-FR"/>
        </w:rPr>
        <w:t>’</w:t>
      </w:r>
      <w:r w:rsidRPr="00A241BD">
        <w:rPr>
          <w:lang w:val="fr-FR"/>
        </w:rPr>
        <w:t xml:space="preserve">études épidémiologiques, on peut citer les études </w:t>
      </w:r>
      <w:r>
        <w:rPr>
          <w:lang w:val="fr-FR"/>
        </w:rPr>
        <w:t xml:space="preserve">de </w:t>
      </w:r>
      <w:r w:rsidRPr="00A241BD">
        <w:rPr>
          <w:lang w:val="fr-FR"/>
        </w:rPr>
        <w:t>cas</w:t>
      </w:r>
      <w:r w:rsidR="00694387">
        <w:rPr>
          <w:lang w:val="fr-FR"/>
        </w:rPr>
        <w:noBreakHyphen/>
      </w:r>
      <w:r w:rsidRPr="00A241BD">
        <w:rPr>
          <w:lang w:val="fr-FR"/>
        </w:rPr>
        <w:t xml:space="preserve">témoins, les études de cohorte, les études transversales ou les études longitudinales. Ces études doivent comporter des échantillons de grande taille et </w:t>
      </w:r>
      <w:r>
        <w:rPr>
          <w:lang w:val="fr-FR"/>
        </w:rPr>
        <w:t>l’</w:t>
      </w:r>
      <w:r w:rsidRPr="00A241BD">
        <w:rPr>
          <w:lang w:val="fr-FR"/>
        </w:rPr>
        <w:t xml:space="preserve">exposition à </w:t>
      </w:r>
      <w:r>
        <w:rPr>
          <w:lang w:val="fr-FR"/>
        </w:rPr>
        <w:t>la</w:t>
      </w:r>
      <w:r w:rsidRPr="00A241BD">
        <w:rPr>
          <w:lang w:val="fr-FR"/>
        </w:rPr>
        <w:t xml:space="preserve"> </w:t>
      </w:r>
      <w:r>
        <w:rPr>
          <w:lang w:val="fr-FR"/>
        </w:rPr>
        <w:t>substance à classer doit être</w:t>
      </w:r>
      <w:r w:rsidRPr="00A241BD">
        <w:rPr>
          <w:lang w:val="fr-FR"/>
        </w:rPr>
        <w:t xml:space="preserve"> bien </w:t>
      </w:r>
      <w:r>
        <w:rPr>
          <w:lang w:val="fr-FR"/>
        </w:rPr>
        <w:t>établi</w:t>
      </w:r>
      <w:r w:rsidRPr="00A241BD">
        <w:rPr>
          <w:lang w:val="fr-FR"/>
        </w:rPr>
        <w:t>e.</w:t>
      </w:r>
    </w:p>
    <w:p w14:paraId="066824DB" w14:textId="01307C5C" w:rsidR="007705B5" w:rsidRDefault="00B178A7" w:rsidP="007705B5">
      <w:pPr>
        <w:pStyle w:val="SingleTxtG"/>
        <w:ind w:left="2268" w:hanging="1134"/>
        <w:rPr>
          <w:lang w:val="fr-FR"/>
        </w:rPr>
      </w:pPr>
      <w:r w:rsidRPr="00A241BD">
        <w:rPr>
          <w:lang w:val="fr-FR"/>
        </w:rPr>
        <w:t>3.4.5.3.2.4</w:t>
      </w:r>
      <w:r>
        <w:rPr>
          <w:lang w:val="fr-FR"/>
        </w:rPr>
        <w:tab/>
        <w:t xml:space="preserve">Certaines </w:t>
      </w:r>
      <w:r w:rsidRPr="00A241BD">
        <w:rPr>
          <w:lang w:val="fr-FR"/>
        </w:rPr>
        <w:t>étude</w:t>
      </w:r>
      <w:r>
        <w:rPr>
          <w:lang w:val="fr-FR"/>
        </w:rPr>
        <w:t>s</w:t>
      </w:r>
      <w:r w:rsidRPr="00A241BD">
        <w:rPr>
          <w:lang w:val="fr-FR"/>
        </w:rPr>
        <w:t xml:space="preserve"> épidémiologique</w:t>
      </w:r>
      <w:r>
        <w:rPr>
          <w:lang w:val="fr-FR"/>
        </w:rPr>
        <w:t>s</w:t>
      </w:r>
      <w:r w:rsidRPr="00A241BD">
        <w:rPr>
          <w:lang w:val="fr-FR"/>
        </w:rPr>
        <w:t xml:space="preserve"> (</w:t>
      </w:r>
      <w:r>
        <w:rPr>
          <w:lang w:val="fr-FR"/>
        </w:rPr>
        <w:t>par exemple</w:t>
      </w:r>
      <w:r w:rsidRPr="00A241BD">
        <w:rPr>
          <w:lang w:val="fr-FR"/>
        </w:rPr>
        <w:t xml:space="preserve"> les études ou les essais contrôlés randomisés) peu</w:t>
      </w:r>
      <w:r>
        <w:rPr>
          <w:lang w:val="fr-FR"/>
        </w:rPr>
        <w:t>ven</w:t>
      </w:r>
      <w:r w:rsidRPr="00A241BD">
        <w:rPr>
          <w:lang w:val="fr-FR"/>
        </w:rPr>
        <w:t xml:space="preserve">t </w:t>
      </w:r>
      <w:r>
        <w:rPr>
          <w:lang w:val="fr-FR"/>
        </w:rPr>
        <w:t>comporter</w:t>
      </w:r>
      <w:r w:rsidRPr="00A241BD">
        <w:rPr>
          <w:lang w:val="fr-FR"/>
        </w:rPr>
        <w:t xml:space="preserve"> des informations </w:t>
      </w:r>
      <w:r>
        <w:rPr>
          <w:lang w:val="fr-FR"/>
        </w:rPr>
        <w:t>issues</w:t>
      </w:r>
      <w:r w:rsidRPr="00A241BD">
        <w:rPr>
          <w:lang w:val="fr-FR"/>
        </w:rPr>
        <w:t xml:space="preserve"> de tests épicutanés diagnostiques. Le test épicutané diagnostique est considéré par certaines autorités compétentes comme l</w:t>
      </w:r>
      <w:r>
        <w:rPr>
          <w:lang w:val="fr-FR"/>
        </w:rPr>
        <w:t>’archétype</w:t>
      </w:r>
      <w:r w:rsidRPr="00A241BD">
        <w:rPr>
          <w:lang w:val="fr-FR"/>
        </w:rPr>
        <w:t xml:space="preserve"> du diagnostic de l</w:t>
      </w:r>
      <w:r>
        <w:rPr>
          <w:lang w:val="fr-FR"/>
        </w:rPr>
        <w:t>’</w:t>
      </w:r>
      <w:r w:rsidRPr="00A241BD">
        <w:rPr>
          <w:lang w:val="fr-FR"/>
        </w:rPr>
        <w:t xml:space="preserve">allergie de contact chez les patients atteints de dermatite (Johansen </w:t>
      </w:r>
      <w:r>
        <w:rPr>
          <w:lang w:val="fr-FR"/>
        </w:rPr>
        <w:t>et coll.</w:t>
      </w:r>
      <w:r w:rsidRPr="00A241BD">
        <w:rPr>
          <w:lang w:val="fr-FR"/>
        </w:rPr>
        <w:t>, 2015). Il</w:t>
      </w:r>
      <w:r w:rsidR="009D061F">
        <w:rPr>
          <w:lang w:val="fr-FR"/>
        </w:rPr>
        <w:t> </w:t>
      </w:r>
      <w:r w:rsidRPr="00A241BD">
        <w:rPr>
          <w:lang w:val="fr-FR"/>
        </w:rPr>
        <w:t>est important de tenir compte d</w:t>
      </w:r>
      <w:r>
        <w:rPr>
          <w:lang w:val="fr-FR"/>
        </w:rPr>
        <w:t>u choix</w:t>
      </w:r>
      <w:r w:rsidRPr="00A241BD">
        <w:rPr>
          <w:lang w:val="fr-FR"/>
        </w:rPr>
        <w:t xml:space="preserve"> du véhicule, de la </w:t>
      </w:r>
      <w:r>
        <w:rPr>
          <w:lang w:val="fr-FR"/>
        </w:rPr>
        <w:t>substance</w:t>
      </w:r>
      <w:r w:rsidRPr="00A241BD">
        <w:rPr>
          <w:lang w:val="fr-FR"/>
        </w:rPr>
        <w:t xml:space="preserve"> et des concentrations du test épicutané afin de ne pas provoquer de faux négatifs, de faux positifs</w:t>
      </w:r>
      <w:r>
        <w:rPr>
          <w:lang w:val="fr-FR"/>
        </w:rPr>
        <w:t xml:space="preserve"> ou</w:t>
      </w:r>
      <w:r w:rsidRPr="00A241BD">
        <w:rPr>
          <w:lang w:val="fr-FR"/>
        </w:rPr>
        <w:t xml:space="preserve"> de réactions irritantes </w:t>
      </w:r>
      <w:r>
        <w:rPr>
          <w:lang w:val="fr-FR"/>
        </w:rPr>
        <w:t xml:space="preserve">ni </w:t>
      </w:r>
      <w:r w:rsidRPr="00A241BD">
        <w:rPr>
          <w:lang w:val="fr-FR"/>
        </w:rPr>
        <w:t>d</w:t>
      </w:r>
      <w:r>
        <w:rPr>
          <w:lang w:val="fr-FR"/>
        </w:rPr>
        <w:t>’</w:t>
      </w:r>
      <w:r w:rsidRPr="00A241BD">
        <w:rPr>
          <w:lang w:val="fr-FR"/>
        </w:rPr>
        <w:t xml:space="preserve">induire une allergie de contact (sensibilisation </w:t>
      </w:r>
      <w:r>
        <w:rPr>
          <w:lang w:val="fr-FR"/>
        </w:rPr>
        <w:t>cutanée</w:t>
      </w:r>
      <w:r w:rsidRPr="00A241BD">
        <w:rPr>
          <w:lang w:val="fr-FR"/>
        </w:rPr>
        <w:t>). Des données positives provenant d</w:t>
      </w:r>
      <w:r>
        <w:rPr>
          <w:lang w:val="fr-FR"/>
        </w:rPr>
        <w:t>’</w:t>
      </w:r>
      <w:r w:rsidRPr="00A241BD">
        <w:rPr>
          <w:lang w:val="fr-FR"/>
        </w:rPr>
        <w:t>études expérimentales</w:t>
      </w:r>
      <w:r>
        <w:rPr>
          <w:lang w:val="fr-FR"/>
        </w:rPr>
        <w:t xml:space="preserve">, </w:t>
      </w:r>
      <w:r w:rsidRPr="00A241BD">
        <w:rPr>
          <w:lang w:val="fr-FR"/>
        </w:rPr>
        <w:t>cliniques</w:t>
      </w:r>
      <w:r>
        <w:rPr>
          <w:lang w:val="fr-FR"/>
        </w:rPr>
        <w:t xml:space="preserve"> ou </w:t>
      </w:r>
      <w:r w:rsidRPr="00A241BD">
        <w:rPr>
          <w:lang w:val="fr-FR"/>
        </w:rPr>
        <w:t>diagnostiques chez l</w:t>
      </w:r>
      <w:r>
        <w:rPr>
          <w:lang w:val="fr-FR"/>
        </w:rPr>
        <w:t>’</w:t>
      </w:r>
      <w:r w:rsidRPr="00A241BD">
        <w:rPr>
          <w:lang w:val="fr-FR"/>
        </w:rPr>
        <w:t>homme ou d</w:t>
      </w:r>
      <w:r>
        <w:rPr>
          <w:lang w:val="fr-FR"/>
        </w:rPr>
        <w:t>’</w:t>
      </w:r>
      <w:r w:rsidRPr="00A241BD">
        <w:rPr>
          <w:lang w:val="fr-FR"/>
        </w:rPr>
        <w:t xml:space="preserve">épisodes bien </w:t>
      </w:r>
      <w:r>
        <w:rPr>
          <w:lang w:val="fr-FR"/>
        </w:rPr>
        <w:t>établi</w:t>
      </w:r>
      <w:r w:rsidRPr="00A241BD">
        <w:rPr>
          <w:lang w:val="fr-FR"/>
        </w:rPr>
        <w:t xml:space="preserve">s de dermatite allergique de contact peuvent être utilisées pour classer les </w:t>
      </w:r>
      <w:r>
        <w:rPr>
          <w:lang w:val="fr-FR"/>
        </w:rPr>
        <w:t>substance</w:t>
      </w:r>
      <w:r w:rsidRPr="00A241BD">
        <w:rPr>
          <w:lang w:val="fr-FR"/>
        </w:rPr>
        <w:t xml:space="preserve">s </w:t>
      </w:r>
      <w:r>
        <w:rPr>
          <w:rFonts w:eastAsiaTheme="minorEastAsia"/>
          <w:lang w:val="fr-FR"/>
        </w:rPr>
        <w:t>en ce qui concerne</w:t>
      </w:r>
      <w:r w:rsidRPr="00A241BD">
        <w:rPr>
          <w:lang w:val="fr-FR"/>
        </w:rPr>
        <w:t xml:space="preserve"> la sensibilisation cutanée, lorsqu</w:t>
      </w:r>
      <w:r>
        <w:rPr>
          <w:lang w:val="fr-FR"/>
        </w:rPr>
        <w:t>’</w:t>
      </w:r>
      <w:r w:rsidRPr="00A241BD">
        <w:rPr>
          <w:lang w:val="fr-FR"/>
        </w:rPr>
        <w:t xml:space="preserve">on peut supposer avec une probabilité suffisante que la </w:t>
      </w:r>
      <w:r>
        <w:rPr>
          <w:lang w:val="fr-FR"/>
        </w:rPr>
        <w:t>substance</w:t>
      </w:r>
      <w:r w:rsidRPr="00A241BD">
        <w:rPr>
          <w:lang w:val="fr-FR"/>
        </w:rPr>
        <w:t xml:space="preserve"> testée était effectivement la cause la plus probable de l</w:t>
      </w:r>
      <w:r>
        <w:rPr>
          <w:lang w:val="fr-FR"/>
        </w:rPr>
        <w:t>’</w:t>
      </w:r>
      <w:r w:rsidRPr="00A241BD">
        <w:rPr>
          <w:lang w:val="fr-FR"/>
        </w:rPr>
        <w:t>induction de la sensibilisation. Il</w:t>
      </w:r>
      <w:r w:rsidR="009D061F">
        <w:rPr>
          <w:lang w:val="fr-FR"/>
        </w:rPr>
        <w:t> </w:t>
      </w:r>
      <w:r w:rsidRPr="00A241BD">
        <w:rPr>
          <w:lang w:val="fr-FR"/>
        </w:rPr>
        <w:t>convient donc d</w:t>
      </w:r>
      <w:r>
        <w:rPr>
          <w:lang w:val="fr-FR"/>
        </w:rPr>
        <w:t>’</w:t>
      </w:r>
      <w:r w:rsidRPr="00A241BD">
        <w:rPr>
          <w:lang w:val="fr-FR"/>
        </w:rPr>
        <w:t>établir qu</w:t>
      </w:r>
      <w:r>
        <w:rPr>
          <w:lang w:val="fr-FR"/>
        </w:rPr>
        <w:t>’</w:t>
      </w:r>
      <w:r w:rsidRPr="00A241BD">
        <w:rPr>
          <w:lang w:val="fr-FR"/>
        </w:rPr>
        <w:t xml:space="preserve">il existe au moins une probabilité générale que le ou les patients concernés aient été précédemment exposés à la </w:t>
      </w:r>
      <w:r>
        <w:rPr>
          <w:lang w:val="fr-FR"/>
        </w:rPr>
        <w:t>substance</w:t>
      </w:r>
      <w:r w:rsidRPr="00A241BD">
        <w:rPr>
          <w:lang w:val="fr-FR"/>
        </w:rPr>
        <w:t>. Par</w:t>
      </w:r>
      <w:r w:rsidR="009D061F">
        <w:rPr>
          <w:lang w:val="fr-FR"/>
        </w:rPr>
        <w:t> </w:t>
      </w:r>
      <w:r w:rsidRPr="00A241BD">
        <w:rPr>
          <w:lang w:val="fr-FR"/>
        </w:rPr>
        <w:t xml:space="preserve">ailleurs, </w:t>
      </w:r>
      <w:r>
        <w:rPr>
          <w:lang w:val="fr-FR"/>
        </w:rPr>
        <w:t>un</w:t>
      </w:r>
      <w:r w:rsidRPr="00A241BD">
        <w:rPr>
          <w:lang w:val="fr-FR"/>
        </w:rPr>
        <w:t xml:space="preserve"> résultat négatif de ces </w:t>
      </w:r>
      <w:r>
        <w:rPr>
          <w:lang w:val="fr-FR"/>
        </w:rPr>
        <w:t>essais</w:t>
      </w:r>
      <w:r w:rsidRPr="00A241BD">
        <w:rPr>
          <w:lang w:val="fr-FR"/>
        </w:rPr>
        <w:t xml:space="preserve"> ne suffit pas à </w:t>
      </w:r>
      <w:r>
        <w:rPr>
          <w:lang w:val="fr-FR"/>
        </w:rPr>
        <w:t>établir</w:t>
      </w:r>
      <w:r w:rsidRPr="00A241BD">
        <w:rPr>
          <w:lang w:val="fr-FR"/>
        </w:rPr>
        <w:t xml:space="preserve"> que la </w:t>
      </w:r>
      <w:r>
        <w:rPr>
          <w:lang w:val="fr-FR"/>
        </w:rPr>
        <w:t>substance</w:t>
      </w:r>
      <w:r w:rsidRPr="00A241BD">
        <w:rPr>
          <w:lang w:val="fr-FR"/>
        </w:rPr>
        <w:t xml:space="preserve"> testée ne d</w:t>
      </w:r>
      <w:r>
        <w:rPr>
          <w:lang w:val="fr-FR"/>
        </w:rPr>
        <w:t>o</w:t>
      </w:r>
      <w:r w:rsidRPr="00A241BD">
        <w:rPr>
          <w:lang w:val="fr-FR"/>
        </w:rPr>
        <w:t>i</w:t>
      </w:r>
      <w:r>
        <w:rPr>
          <w:lang w:val="fr-FR"/>
        </w:rPr>
        <w:t>t</w:t>
      </w:r>
      <w:r w:rsidRPr="00A241BD">
        <w:rPr>
          <w:lang w:val="fr-FR"/>
        </w:rPr>
        <w:t xml:space="preserve"> pas être classée comme sensibilisant cutané. </w:t>
      </w:r>
    </w:p>
    <w:p w14:paraId="337B805C" w14:textId="77777777" w:rsidR="007705B5" w:rsidRDefault="00B178A7" w:rsidP="007705B5">
      <w:pPr>
        <w:pStyle w:val="SingleTxtG"/>
        <w:ind w:left="2268" w:hanging="1134"/>
        <w:rPr>
          <w:lang w:val="fr-FR"/>
        </w:rPr>
      </w:pPr>
      <w:r w:rsidRPr="00A241BD">
        <w:rPr>
          <w:lang w:val="fr-FR"/>
        </w:rPr>
        <w:t>3.4.5.3.2.5</w:t>
      </w:r>
      <w:r>
        <w:rPr>
          <w:lang w:val="fr-FR"/>
        </w:rPr>
        <w:tab/>
      </w:r>
      <w:r w:rsidRPr="00A241BD">
        <w:rPr>
          <w:lang w:val="fr-FR"/>
        </w:rPr>
        <w:t>Les</w:t>
      </w:r>
      <w:r>
        <w:rPr>
          <w:lang w:val="fr-FR"/>
        </w:rPr>
        <w:t xml:space="preserve"> </w:t>
      </w:r>
      <w:r w:rsidRPr="00A241BD">
        <w:rPr>
          <w:lang w:val="fr-FR"/>
        </w:rPr>
        <w:t>données humaines qui</w:t>
      </w:r>
      <w:r>
        <w:rPr>
          <w:lang w:val="fr-FR"/>
        </w:rPr>
        <w:t xml:space="preserve"> </w:t>
      </w:r>
      <w:r w:rsidRPr="00A241BD">
        <w:rPr>
          <w:lang w:val="fr-FR"/>
        </w:rPr>
        <w:t xml:space="preserve">ne sont pas </w:t>
      </w:r>
      <w:r>
        <w:rPr>
          <w:lang w:val="fr-FR"/>
        </w:rPr>
        <w:t>produit</w:t>
      </w:r>
      <w:r w:rsidRPr="00A241BD">
        <w:rPr>
          <w:lang w:val="fr-FR"/>
        </w:rPr>
        <w:t>es dans le cadre d</w:t>
      </w:r>
      <w:r>
        <w:rPr>
          <w:lang w:val="fr-FR"/>
        </w:rPr>
        <w:t>’</w:t>
      </w:r>
      <w:r w:rsidRPr="00A241BD">
        <w:rPr>
          <w:lang w:val="fr-FR"/>
        </w:rPr>
        <w:t xml:space="preserve">expériences contrôlées avec des volontaires aux fins </w:t>
      </w:r>
      <w:r>
        <w:rPr>
          <w:lang w:val="fr-FR"/>
        </w:rPr>
        <w:t>du classement</w:t>
      </w:r>
      <w:r w:rsidRPr="00A241BD">
        <w:rPr>
          <w:lang w:val="fr-FR"/>
        </w:rPr>
        <w:t xml:space="preserve"> des dangers (par exemple, les études de cas, les rapports de cas et les histoires de cas, </w:t>
      </w:r>
      <w:r>
        <w:rPr>
          <w:lang w:val="fr-FR"/>
        </w:rPr>
        <w:t>ainsi que</w:t>
      </w:r>
      <w:r w:rsidRPr="00A241BD">
        <w:rPr>
          <w:lang w:val="fr-FR"/>
        </w:rPr>
        <w:t xml:space="preserve"> les informations des centres antipoison) peuvent être utilisées avec prudence. Il convient de prendre en considération la fréquence des cas, les propriétés inhérentes des </w:t>
      </w:r>
      <w:r>
        <w:rPr>
          <w:lang w:val="fr-FR"/>
        </w:rPr>
        <w:t>substance</w:t>
      </w:r>
      <w:r w:rsidRPr="00A241BD">
        <w:rPr>
          <w:lang w:val="fr-FR"/>
        </w:rPr>
        <w:t>s, ainsi que des facteurs tels que la situation d</w:t>
      </w:r>
      <w:r>
        <w:rPr>
          <w:lang w:val="fr-FR"/>
        </w:rPr>
        <w:t>’</w:t>
      </w:r>
      <w:r w:rsidRPr="00A241BD">
        <w:rPr>
          <w:lang w:val="fr-FR"/>
        </w:rPr>
        <w:t xml:space="preserve">exposition, la biodisponibilité, la prédisposition individuelle, la réactivité croisée et les mesures préventives prises. </w:t>
      </w:r>
    </w:p>
    <w:p w14:paraId="576C96D6" w14:textId="77777777" w:rsidR="007705B5" w:rsidRDefault="00B178A7" w:rsidP="007705B5">
      <w:pPr>
        <w:pStyle w:val="SingleTxtG"/>
        <w:ind w:left="2268" w:hanging="1134"/>
        <w:rPr>
          <w:lang w:val="fr-FR"/>
        </w:rPr>
      </w:pPr>
      <w:r w:rsidRPr="00A241BD">
        <w:rPr>
          <w:lang w:val="fr-FR"/>
        </w:rPr>
        <w:t>3.4.5.3.2.6</w:t>
      </w:r>
      <w:r>
        <w:rPr>
          <w:lang w:val="fr-FR"/>
        </w:rPr>
        <w:tab/>
      </w:r>
      <w:r w:rsidRPr="00A241BD">
        <w:rPr>
          <w:lang w:val="fr-FR"/>
        </w:rPr>
        <w:t>Il convient d</w:t>
      </w:r>
      <w:r>
        <w:rPr>
          <w:lang w:val="fr-FR"/>
        </w:rPr>
        <w:t>’</w:t>
      </w:r>
      <w:r w:rsidRPr="00A241BD">
        <w:rPr>
          <w:lang w:val="fr-FR"/>
        </w:rPr>
        <w:t>accorder une attention particulière</w:t>
      </w:r>
      <w:r>
        <w:rPr>
          <w:lang w:val="fr-FR"/>
        </w:rPr>
        <w:t xml:space="preserve"> </w:t>
      </w:r>
      <w:r w:rsidRPr="00A241BD">
        <w:rPr>
          <w:lang w:val="fr-FR"/>
        </w:rPr>
        <w:t>aux données humaines négatives, car les informations complètes sur la relation dose-</w:t>
      </w:r>
      <w:r>
        <w:rPr>
          <w:lang w:val="fr-FR"/>
        </w:rPr>
        <w:t>effet</w:t>
      </w:r>
      <w:r w:rsidRPr="00A241BD">
        <w:rPr>
          <w:lang w:val="fr-FR"/>
        </w:rPr>
        <w:t xml:space="preserve"> ne sont généralement pas disponibles. Par exemple, un résultat négatif dans un HRIPT ou un HMT à une faible concentration ne permet pas de conclure que la </w:t>
      </w:r>
      <w:r>
        <w:rPr>
          <w:lang w:val="fr-FR"/>
        </w:rPr>
        <w:t>substance</w:t>
      </w:r>
      <w:r w:rsidRPr="00A241BD">
        <w:rPr>
          <w:lang w:val="fr-FR"/>
        </w:rPr>
        <w:t xml:space="preserve"> n</w:t>
      </w:r>
      <w:r>
        <w:rPr>
          <w:lang w:val="fr-FR"/>
        </w:rPr>
        <w:t>’</w:t>
      </w:r>
      <w:r w:rsidRPr="00A241BD">
        <w:rPr>
          <w:lang w:val="fr-FR"/>
        </w:rPr>
        <w:t xml:space="preserve">a pas de propriétés de sensibilisation </w:t>
      </w:r>
      <w:r>
        <w:rPr>
          <w:lang w:val="fr-FR"/>
        </w:rPr>
        <w:t>cutanée</w:t>
      </w:r>
      <w:r w:rsidRPr="00A241BD">
        <w:rPr>
          <w:lang w:val="fr-FR"/>
        </w:rPr>
        <w:t>, car un tel effet à une concentration plus élevée ne peut être exclu. En outre, les données humaines négatives ne doivent pas nécessairement être utilisées pour annuler les résultats positifs d</w:t>
      </w:r>
      <w:r>
        <w:rPr>
          <w:lang w:val="fr-FR"/>
        </w:rPr>
        <w:t>’</w:t>
      </w:r>
      <w:r w:rsidRPr="00A241BD">
        <w:rPr>
          <w:lang w:val="fr-FR"/>
        </w:rPr>
        <w:t xml:space="preserve">études animales ou de </w:t>
      </w:r>
      <w:r>
        <w:rPr>
          <w:lang w:val="fr-FR"/>
        </w:rPr>
        <w:t>méthodes définies</w:t>
      </w:r>
      <w:r w:rsidRPr="00A241BD">
        <w:rPr>
          <w:lang w:val="fr-FR"/>
        </w:rPr>
        <w:t>, mais peuvent être utilisées dans le cadre d</w:t>
      </w:r>
      <w:r>
        <w:rPr>
          <w:lang w:val="fr-FR"/>
        </w:rPr>
        <w:t>’</w:t>
      </w:r>
      <w:r w:rsidRPr="00A241BD">
        <w:rPr>
          <w:lang w:val="fr-FR"/>
        </w:rPr>
        <w:t>un</w:t>
      </w:r>
      <w:r>
        <w:rPr>
          <w:lang w:val="fr-FR"/>
        </w:rPr>
        <w:t>e évaluation de</w:t>
      </w:r>
      <w:r w:rsidRPr="00A241BD">
        <w:rPr>
          <w:lang w:val="fr-FR"/>
        </w:rPr>
        <w:t xml:space="preserve"> </w:t>
      </w:r>
      <w:r w:rsidRPr="00A241BD">
        <w:rPr>
          <w:bCs/>
          <w:lang w:val="fr-FR"/>
        </w:rPr>
        <w:t>l</w:t>
      </w:r>
      <w:r>
        <w:rPr>
          <w:bCs/>
          <w:lang w:val="fr-FR"/>
        </w:rPr>
        <w:t>a</w:t>
      </w:r>
      <w:r w:rsidRPr="00A241BD">
        <w:rPr>
          <w:bCs/>
          <w:lang w:val="fr-FR"/>
        </w:rPr>
        <w:t xml:space="preserve"> </w:t>
      </w:r>
      <w:r w:rsidRPr="0063183B">
        <w:rPr>
          <w:bCs/>
          <w:lang w:val="fr-FR"/>
        </w:rPr>
        <w:t>force probante des données</w:t>
      </w:r>
      <w:r w:rsidRPr="00A241BD">
        <w:rPr>
          <w:lang w:val="fr-FR"/>
        </w:rPr>
        <w:t>. Pour les données animales et humaines, il convient de tenir compte de l</w:t>
      </w:r>
      <w:r>
        <w:rPr>
          <w:lang w:val="fr-FR"/>
        </w:rPr>
        <w:t>’incidence</w:t>
      </w:r>
      <w:r w:rsidRPr="00A241BD">
        <w:rPr>
          <w:lang w:val="fr-FR"/>
        </w:rPr>
        <w:t xml:space="preserve"> du véhicule (par exemple, Wright </w:t>
      </w:r>
      <w:r>
        <w:rPr>
          <w:lang w:val="fr-FR"/>
        </w:rPr>
        <w:t>et coll.</w:t>
      </w:r>
      <w:r w:rsidRPr="00A241BD">
        <w:rPr>
          <w:lang w:val="fr-FR"/>
        </w:rPr>
        <w:t>, 2001</w:t>
      </w:r>
      <w:r>
        <w:rPr>
          <w:lang w:val="fr-FR"/>
        </w:rPr>
        <w:t>,</w:t>
      </w:r>
      <w:r w:rsidRPr="00A241BD">
        <w:rPr>
          <w:lang w:val="fr-FR"/>
        </w:rPr>
        <w:t xml:space="preserve"> et </w:t>
      </w:r>
      <w:proofErr w:type="spellStart"/>
      <w:r w:rsidRPr="00A241BD">
        <w:rPr>
          <w:lang w:val="fr-FR"/>
        </w:rPr>
        <w:t>Kligman</w:t>
      </w:r>
      <w:proofErr w:type="spellEnd"/>
      <w:r w:rsidRPr="00A241BD">
        <w:rPr>
          <w:lang w:val="fr-FR"/>
        </w:rPr>
        <w:t xml:space="preserve">, 1966). </w:t>
      </w:r>
    </w:p>
    <w:p w14:paraId="67EE8F38" w14:textId="067FB05B" w:rsidR="007705B5" w:rsidRDefault="00B178A7" w:rsidP="007705B5">
      <w:pPr>
        <w:pStyle w:val="SingleTxtG"/>
        <w:ind w:left="2268" w:hanging="1134"/>
        <w:rPr>
          <w:lang w:val="fr-FR"/>
        </w:rPr>
      </w:pPr>
      <w:r w:rsidRPr="00A241BD">
        <w:rPr>
          <w:lang w:val="fr-FR"/>
        </w:rPr>
        <w:t>3.4.5.3.2.7</w:t>
      </w:r>
      <w:r>
        <w:rPr>
          <w:lang w:val="fr-FR"/>
        </w:rPr>
        <w:tab/>
      </w:r>
      <w:r w:rsidRPr="00A241BD">
        <w:rPr>
          <w:lang w:val="fr-FR"/>
        </w:rPr>
        <w:t>Par</w:t>
      </w:r>
      <w:r>
        <w:rPr>
          <w:lang w:val="fr-FR"/>
        </w:rPr>
        <w:t xml:space="preserve"> </w:t>
      </w:r>
      <w:r w:rsidRPr="00A241BD">
        <w:rPr>
          <w:lang w:val="fr-FR"/>
        </w:rPr>
        <w:t xml:space="preserve">exemple, les résultats négatifs de </w:t>
      </w:r>
      <w:r>
        <w:rPr>
          <w:lang w:val="fr-FR"/>
        </w:rPr>
        <w:t>substance</w:t>
      </w:r>
      <w:r w:rsidRPr="00A241BD">
        <w:rPr>
          <w:lang w:val="fr-FR"/>
        </w:rPr>
        <w:t xml:space="preserve">s </w:t>
      </w:r>
      <w:r>
        <w:rPr>
          <w:lang w:val="fr-FR"/>
        </w:rPr>
        <w:t>mises à l’essai</w:t>
      </w:r>
      <w:r w:rsidRPr="00A241BD">
        <w:rPr>
          <w:lang w:val="fr-FR"/>
        </w:rPr>
        <w:t xml:space="preserve"> dans un test épicutané prédictif à une dose par surface de peau </w:t>
      </w:r>
      <w:r>
        <w:rPr>
          <w:lang w:val="fr-FR"/>
        </w:rPr>
        <w:t>(DSP) inférieure à</w:t>
      </w:r>
      <w:r w:rsidRPr="00A241BD">
        <w:rPr>
          <w:lang w:val="fr-FR"/>
        </w:rPr>
        <w:t xml:space="preserve"> 500</w:t>
      </w:r>
      <w:r w:rsidR="0098240C">
        <w:rPr>
          <w:lang w:val="fr-FR"/>
        </w:rPr>
        <w:t> </w:t>
      </w:r>
      <w:r w:rsidRPr="00DA7696">
        <w:t>μ</w:t>
      </w:r>
      <w:r w:rsidRPr="00A241BD">
        <w:rPr>
          <w:lang w:val="fr-FR"/>
        </w:rPr>
        <w:t>g/cm</w:t>
      </w:r>
      <w:r w:rsidRPr="00A241BD">
        <w:rPr>
          <w:vertAlign w:val="superscript"/>
          <w:lang w:val="fr-FR"/>
        </w:rPr>
        <w:t>2</w:t>
      </w:r>
      <w:r w:rsidRPr="00A241BD">
        <w:rPr>
          <w:lang w:val="fr-FR"/>
        </w:rPr>
        <w:t xml:space="preserve"> impliquent qu</w:t>
      </w:r>
      <w:r>
        <w:rPr>
          <w:lang w:val="fr-FR"/>
        </w:rPr>
        <w:t>’</w:t>
      </w:r>
      <w:r w:rsidRPr="00A241BD">
        <w:rPr>
          <w:lang w:val="fr-FR"/>
        </w:rPr>
        <w:t xml:space="preserve">un </w:t>
      </w:r>
      <w:r>
        <w:rPr>
          <w:lang w:val="fr-FR"/>
        </w:rPr>
        <w:t xml:space="preserve">classement </w:t>
      </w:r>
      <w:r>
        <w:rPr>
          <w:rFonts w:eastAsiaTheme="minorEastAsia"/>
          <w:lang w:val="fr-FR"/>
        </w:rPr>
        <w:t>en ce qui concerne</w:t>
      </w:r>
      <w:r w:rsidRPr="00A241BD">
        <w:rPr>
          <w:lang w:val="fr-FR"/>
        </w:rPr>
        <w:t xml:space="preserve"> la sensibilisation cutanée pourrait ne pas être nécessaire</w:t>
      </w:r>
      <w:r>
        <w:rPr>
          <w:lang w:val="fr-FR"/>
        </w:rPr>
        <w:t>. C</w:t>
      </w:r>
      <w:r w:rsidRPr="00A241BD">
        <w:rPr>
          <w:lang w:val="fr-FR"/>
        </w:rPr>
        <w:t>ependant, l</w:t>
      </w:r>
      <w:r>
        <w:rPr>
          <w:lang w:val="fr-FR"/>
        </w:rPr>
        <w:t>e classement dans la</w:t>
      </w:r>
      <w:r w:rsidRPr="00A241BD">
        <w:rPr>
          <w:lang w:val="fr-FR"/>
        </w:rPr>
        <w:t xml:space="preserve"> catégorie 1A ou 1B ne peut être exclu, car la concentration testée n</w:t>
      </w:r>
      <w:r>
        <w:rPr>
          <w:lang w:val="fr-FR"/>
        </w:rPr>
        <w:t>’</w:t>
      </w:r>
      <w:r w:rsidRPr="00A241BD">
        <w:rPr>
          <w:lang w:val="fr-FR"/>
        </w:rPr>
        <w:t>était pas assez élevée pour exclure ces possibilités. Il en va de même pour les résultats d</w:t>
      </w:r>
      <w:r>
        <w:rPr>
          <w:lang w:val="fr-FR"/>
        </w:rPr>
        <w:t>’essais</w:t>
      </w:r>
      <w:r w:rsidRPr="00A241BD">
        <w:rPr>
          <w:lang w:val="fr-FR"/>
        </w:rPr>
        <w:t xml:space="preserve"> pour lesquels on ne sait pas si la concentration testée correspondait à une DS</w:t>
      </w:r>
      <w:r>
        <w:rPr>
          <w:lang w:val="fr-FR"/>
        </w:rPr>
        <w:t>P</w:t>
      </w:r>
      <w:r w:rsidRPr="00A241BD">
        <w:rPr>
          <w:lang w:val="fr-FR"/>
        </w:rPr>
        <w:t xml:space="preserve"> </w:t>
      </w:r>
      <w:r>
        <w:rPr>
          <w:lang w:val="fr-FR"/>
        </w:rPr>
        <w:t xml:space="preserve">inférieure à </w:t>
      </w:r>
      <w:r w:rsidRPr="00A241BD">
        <w:rPr>
          <w:lang w:val="fr-FR"/>
        </w:rPr>
        <w:t>500</w:t>
      </w:r>
      <w:r w:rsidR="0098240C">
        <w:rPr>
          <w:lang w:val="fr-FR"/>
        </w:rPr>
        <w:t> </w:t>
      </w:r>
      <w:r w:rsidRPr="00DA7696">
        <w:t>μ</w:t>
      </w:r>
      <w:r w:rsidRPr="00A241BD">
        <w:rPr>
          <w:lang w:val="fr-FR"/>
        </w:rPr>
        <w:t>g/cm</w:t>
      </w:r>
      <w:r w:rsidRPr="00A241BD">
        <w:rPr>
          <w:vertAlign w:val="superscript"/>
          <w:lang w:val="fr-FR"/>
        </w:rPr>
        <w:t>2</w:t>
      </w:r>
      <w:r w:rsidRPr="00A241BD">
        <w:rPr>
          <w:lang w:val="fr-FR"/>
        </w:rPr>
        <w:t xml:space="preserve">. Les résultats négatifs des </w:t>
      </w:r>
      <w:r>
        <w:rPr>
          <w:lang w:val="fr-FR"/>
        </w:rPr>
        <w:t>substance</w:t>
      </w:r>
      <w:r w:rsidRPr="00A241BD">
        <w:rPr>
          <w:lang w:val="fr-FR"/>
        </w:rPr>
        <w:t>s testées à une DS</w:t>
      </w:r>
      <w:r>
        <w:rPr>
          <w:lang w:val="fr-FR"/>
        </w:rPr>
        <w:t>P</w:t>
      </w:r>
      <w:r w:rsidRPr="00A241BD">
        <w:rPr>
          <w:lang w:val="fr-FR"/>
        </w:rPr>
        <w:t xml:space="preserve"> </w:t>
      </w:r>
      <w:r>
        <w:rPr>
          <w:lang w:val="fr-FR"/>
        </w:rPr>
        <w:t xml:space="preserve">supérieure ou égale à </w:t>
      </w:r>
      <w:r w:rsidRPr="00A241BD">
        <w:rPr>
          <w:lang w:val="fr-FR"/>
        </w:rPr>
        <w:t>500</w:t>
      </w:r>
      <w:r w:rsidR="0098240C">
        <w:rPr>
          <w:lang w:val="fr-FR"/>
        </w:rPr>
        <w:t> </w:t>
      </w:r>
      <w:r w:rsidRPr="00DA7696">
        <w:t>μ</w:t>
      </w:r>
      <w:r w:rsidRPr="00A241BD">
        <w:rPr>
          <w:lang w:val="fr-FR"/>
        </w:rPr>
        <w:t>g/cm</w:t>
      </w:r>
      <w:r w:rsidRPr="00A241BD">
        <w:rPr>
          <w:vertAlign w:val="superscript"/>
          <w:lang w:val="fr-FR"/>
        </w:rPr>
        <w:t>2</w:t>
      </w:r>
      <w:r w:rsidRPr="00A241BD">
        <w:rPr>
          <w:lang w:val="fr-FR"/>
        </w:rPr>
        <w:t xml:space="preserve"> suggèrent que </w:t>
      </w:r>
      <w:r>
        <w:rPr>
          <w:lang w:val="fr-FR"/>
        </w:rPr>
        <w:t xml:space="preserve">le classement </w:t>
      </w:r>
      <w:r w:rsidRPr="00A241BD">
        <w:rPr>
          <w:lang w:val="fr-FR"/>
        </w:rPr>
        <w:lastRenderedPageBreak/>
        <w:t xml:space="preserve">pourrait ne pas être nécessaire. </w:t>
      </w:r>
      <w:r>
        <w:rPr>
          <w:lang w:val="fr-FR"/>
        </w:rPr>
        <w:t>Toutefois</w:t>
      </w:r>
      <w:r w:rsidRPr="00A241BD">
        <w:rPr>
          <w:lang w:val="fr-FR"/>
        </w:rPr>
        <w:t xml:space="preserve">, si </w:t>
      </w:r>
      <w:r>
        <w:rPr>
          <w:lang w:val="fr-FR"/>
        </w:rPr>
        <w:t xml:space="preserve">le classement dans la </w:t>
      </w:r>
      <w:r w:rsidRPr="00A241BD">
        <w:rPr>
          <w:lang w:val="fr-FR"/>
        </w:rPr>
        <w:t>catégorie</w:t>
      </w:r>
      <w:r w:rsidR="00EA4AA5">
        <w:rPr>
          <w:lang w:val="fr-FR"/>
        </w:rPr>
        <w:t> </w:t>
      </w:r>
      <w:r w:rsidRPr="00A241BD">
        <w:rPr>
          <w:lang w:val="fr-FR"/>
        </w:rPr>
        <w:t xml:space="preserve">1A peut être exclu, </w:t>
      </w:r>
      <w:r>
        <w:rPr>
          <w:lang w:val="fr-FR"/>
        </w:rPr>
        <w:t xml:space="preserve">le classement dans la </w:t>
      </w:r>
      <w:r w:rsidRPr="00A241BD">
        <w:rPr>
          <w:lang w:val="fr-FR"/>
        </w:rPr>
        <w:t>catégorie 1B ne peut pas l</w:t>
      </w:r>
      <w:r>
        <w:rPr>
          <w:lang w:val="fr-FR"/>
        </w:rPr>
        <w:t>’</w:t>
      </w:r>
      <w:r w:rsidRPr="00A241BD">
        <w:rPr>
          <w:lang w:val="fr-FR"/>
        </w:rPr>
        <w:t>être, car une concentration d</w:t>
      </w:r>
      <w:r>
        <w:rPr>
          <w:lang w:val="fr-FR"/>
        </w:rPr>
        <w:t>’essai</w:t>
      </w:r>
      <w:r w:rsidRPr="00A241BD">
        <w:rPr>
          <w:lang w:val="fr-FR"/>
        </w:rPr>
        <w:t xml:space="preserve"> plus élevée aurait pu entraîner un résultat positif. Cependant, un résultat négatif à une concentration de 100</w:t>
      </w:r>
      <w:r>
        <w:rPr>
          <w:lang w:val="fr-FR"/>
        </w:rPr>
        <w:t> %</w:t>
      </w:r>
      <w:r w:rsidRPr="00A241BD">
        <w:rPr>
          <w:lang w:val="fr-FR"/>
        </w:rPr>
        <w:t xml:space="preserve"> indiquerait qu</w:t>
      </w:r>
      <w:r>
        <w:rPr>
          <w:lang w:val="fr-FR"/>
        </w:rPr>
        <w:t>’</w:t>
      </w:r>
      <w:r w:rsidRPr="00A241BD">
        <w:rPr>
          <w:lang w:val="fr-FR"/>
        </w:rPr>
        <w:t xml:space="preserve">aucun </w:t>
      </w:r>
      <w:r>
        <w:rPr>
          <w:lang w:val="fr-FR"/>
        </w:rPr>
        <w:t xml:space="preserve">classement </w:t>
      </w:r>
      <w:r w:rsidRPr="00A241BD">
        <w:rPr>
          <w:lang w:val="fr-FR"/>
        </w:rPr>
        <w:t>n</w:t>
      </w:r>
      <w:r>
        <w:rPr>
          <w:lang w:val="fr-FR"/>
        </w:rPr>
        <w:t>’</w:t>
      </w:r>
      <w:r w:rsidRPr="00A241BD">
        <w:rPr>
          <w:lang w:val="fr-FR"/>
        </w:rPr>
        <w:t xml:space="preserve">est nécessaire (sur la base de ce test). </w:t>
      </w:r>
      <w:r>
        <w:rPr>
          <w:lang w:val="fr-FR"/>
        </w:rPr>
        <w:t>En revanche</w:t>
      </w:r>
      <w:r w:rsidRPr="00A241BD">
        <w:rPr>
          <w:lang w:val="fr-FR"/>
        </w:rPr>
        <w:t xml:space="preserve">, des résultats négatifs à de faibles concentrations peuvent être informatifs pour les mélanges contenant la </w:t>
      </w:r>
      <w:r>
        <w:rPr>
          <w:lang w:val="fr-FR"/>
        </w:rPr>
        <w:t>substance</w:t>
      </w:r>
      <w:r w:rsidRPr="00A241BD">
        <w:rPr>
          <w:lang w:val="fr-FR"/>
        </w:rPr>
        <w:t>.</w:t>
      </w:r>
    </w:p>
    <w:p w14:paraId="6A917C2E" w14:textId="60E5B8C7" w:rsidR="00B178A7" w:rsidRPr="007705B5" w:rsidRDefault="00B178A7" w:rsidP="007705B5">
      <w:pPr>
        <w:pStyle w:val="SingleTxtG"/>
        <w:keepNext/>
        <w:ind w:left="2268" w:hanging="1134"/>
        <w:jc w:val="left"/>
        <w:rPr>
          <w:lang w:val="fr-FR"/>
        </w:rPr>
      </w:pPr>
      <w:r w:rsidRPr="00A241BD">
        <w:rPr>
          <w:bCs/>
          <w:iCs/>
          <w:lang w:val="fr-FR"/>
        </w:rPr>
        <w:t>3.4.5.3.</w:t>
      </w:r>
      <w:r w:rsidRPr="007705B5">
        <w:rPr>
          <w:bCs/>
          <w:iCs/>
          <w:lang w:val="fr-FR"/>
        </w:rPr>
        <w:t>3</w:t>
      </w:r>
      <w:r>
        <w:rPr>
          <w:bCs/>
          <w:i/>
          <w:lang w:val="fr-FR"/>
        </w:rPr>
        <w:tab/>
      </w:r>
      <w:r w:rsidRPr="00A241BD">
        <w:rPr>
          <w:bCs/>
          <w:i/>
          <w:iCs/>
          <w:lang w:val="fr-FR"/>
        </w:rPr>
        <w:t xml:space="preserve">Orientations </w:t>
      </w:r>
      <w:r w:rsidRPr="00A241BD">
        <w:rPr>
          <w:i/>
          <w:lang w:val="fr-FR"/>
        </w:rPr>
        <w:t>pour l</w:t>
      </w:r>
      <w:r>
        <w:rPr>
          <w:i/>
          <w:lang w:val="fr-FR"/>
        </w:rPr>
        <w:t>’</w:t>
      </w:r>
      <w:r w:rsidRPr="00A241BD">
        <w:rPr>
          <w:i/>
          <w:lang w:val="fr-FR"/>
        </w:rPr>
        <w:t>utilisation de données anim</w:t>
      </w:r>
      <w:r>
        <w:rPr>
          <w:i/>
          <w:lang w:val="fr-FR"/>
        </w:rPr>
        <w:t>ales normalisées</w:t>
      </w:r>
    </w:p>
    <w:p w14:paraId="6A55E140" w14:textId="22E328AB" w:rsidR="00B178A7" w:rsidRPr="00A241BD" w:rsidRDefault="00B178A7" w:rsidP="00A06C99">
      <w:pPr>
        <w:pStyle w:val="SingleTxtG"/>
        <w:spacing w:after="100"/>
        <w:ind w:left="2268"/>
        <w:rPr>
          <w:rFonts w:ascii="Segoe UI" w:hAnsi="Segoe UI" w:cs="Segoe UI"/>
          <w:sz w:val="18"/>
          <w:szCs w:val="18"/>
          <w:lang w:val="fr-FR"/>
        </w:rPr>
      </w:pPr>
      <w:r w:rsidRPr="00505C71">
        <w:t xml:space="preserve">Un résultat positif dans un essai sur cobayes, pour au moins une parmi deux observations, est défini comme un score supérieur à zéro selon l’échelle de classement applicable, telle que l’échelle de </w:t>
      </w:r>
      <w:proofErr w:type="spellStart"/>
      <w:r w:rsidRPr="00505C71">
        <w:t>Magnusson</w:t>
      </w:r>
      <w:proofErr w:type="spellEnd"/>
      <w:r w:rsidRPr="00505C71">
        <w:t xml:space="preserve"> et </w:t>
      </w:r>
      <w:proofErr w:type="spellStart"/>
      <w:r w:rsidRPr="00A241BD">
        <w:rPr>
          <w:lang w:val="fr-FR"/>
        </w:rPr>
        <w:t>Kligman</w:t>
      </w:r>
      <w:proofErr w:type="spellEnd"/>
      <w:r w:rsidRPr="00A241BD">
        <w:rPr>
          <w:lang w:val="fr-FR"/>
        </w:rPr>
        <w:t xml:space="preserve"> </w:t>
      </w:r>
      <w:r w:rsidRPr="00505C71">
        <w:t>pour la Ligne directrice 406 de l’OCDE. Un score de 0,5, qui est parfois signalé, est donc également considéré comme un résultat positif</w:t>
      </w:r>
      <w:r w:rsidRPr="00E17E52">
        <w:t xml:space="preserve">. </w:t>
      </w:r>
    </w:p>
    <w:p w14:paraId="7BAF4DB5" w14:textId="77777777" w:rsidR="00B178A7" w:rsidRPr="00A241BD" w:rsidRDefault="00B178A7" w:rsidP="00A06C99">
      <w:pPr>
        <w:pStyle w:val="SingleTxtG"/>
        <w:keepNext/>
        <w:spacing w:after="100"/>
        <w:ind w:left="2268" w:hanging="1134"/>
        <w:jc w:val="left"/>
        <w:rPr>
          <w:bCs/>
          <w:i/>
          <w:lang w:val="fr-FR"/>
        </w:rPr>
      </w:pPr>
      <w:r w:rsidRPr="00A241BD">
        <w:rPr>
          <w:bCs/>
          <w:iCs/>
          <w:lang w:val="fr-FR"/>
        </w:rPr>
        <w:t>3.4.5.3.4</w:t>
      </w:r>
      <w:r w:rsidRPr="00A241BD">
        <w:rPr>
          <w:bCs/>
          <w:iCs/>
          <w:lang w:val="fr-FR"/>
        </w:rPr>
        <w:tab/>
      </w:r>
      <w:r w:rsidRPr="00A241BD">
        <w:rPr>
          <w:bCs/>
          <w:i/>
          <w:iCs/>
          <w:lang w:val="fr-FR"/>
        </w:rPr>
        <w:t xml:space="preserve">Orientations </w:t>
      </w:r>
      <w:r>
        <w:rPr>
          <w:bCs/>
          <w:i/>
          <w:lang w:val="fr-FR"/>
        </w:rPr>
        <w:t>po</w:t>
      </w:r>
      <w:r w:rsidRPr="00A241BD">
        <w:rPr>
          <w:bCs/>
          <w:i/>
          <w:lang w:val="fr-FR"/>
        </w:rPr>
        <w:t>ur l</w:t>
      </w:r>
      <w:r>
        <w:rPr>
          <w:bCs/>
          <w:i/>
          <w:lang w:val="fr-FR"/>
        </w:rPr>
        <w:t>’</w:t>
      </w:r>
      <w:r w:rsidRPr="00A241BD">
        <w:rPr>
          <w:bCs/>
          <w:i/>
          <w:lang w:val="fr-FR"/>
        </w:rPr>
        <w:t xml:space="preserve">utilisation des </w:t>
      </w:r>
      <w:r>
        <w:rPr>
          <w:bCs/>
          <w:i/>
          <w:lang w:val="fr-FR"/>
        </w:rPr>
        <w:t>méthodes définies</w:t>
      </w:r>
    </w:p>
    <w:p w14:paraId="0F450375" w14:textId="0959A06F" w:rsidR="00B178A7" w:rsidRPr="00A241BD" w:rsidRDefault="00B178A7" w:rsidP="00A06C99">
      <w:pPr>
        <w:pStyle w:val="SingleTxtG"/>
        <w:spacing w:after="100"/>
        <w:ind w:left="2268"/>
        <w:rPr>
          <w:lang w:val="fr-FR"/>
        </w:rPr>
      </w:pPr>
      <w:r w:rsidRPr="00A241BD">
        <w:rPr>
          <w:bCs/>
          <w:iCs/>
          <w:lang w:val="fr-FR"/>
        </w:rPr>
        <w:t xml:space="preserve">Les </w:t>
      </w:r>
      <w:r>
        <w:rPr>
          <w:bCs/>
          <w:iCs/>
          <w:lang w:val="fr-FR"/>
        </w:rPr>
        <w:t>méthodes définies</w:t>
      </w:r>
      <w:r w:rsidRPr="00A241BD">
        <w:rPr>
          <w:bCs/>
          <w:iCs/>
          <w:lang w:val="fr-FR"/>
        </w:rPr>
        <w:t xml:space="preserve"> validées selon les procédures internationales et décrites dans l</w:t>
      </w:r>
      <w:r>
        <w:rPr>
          <w:bCs/>
          <w:iCs/>
          <w:lang w:val="fr-FR"/>
        </w:rPr>
        <w:t>a</w:t>
      </w:r>
      <w:r w:rsidRPr="00A241BD">
        <w:rPr>
          <w:bCs/>
          <w:iCs/>
          <w:lang w:val="fr-FR"/>
        </w:rPr>
        <w:t xml:space="preserve"> </w:t>
      </w:r>
      <w:bookmarkStart w:id="31" w:name="_Hlk116843921"/>
      <w:r>
        <w:rPr>
          <w:lang w:val="fr-FR"/>
        </w:rPr>
        <w:t>Ligne directrice</w:t>
      </w:r>
      <w:r w:rsidRPr="00A241BD">
        <w:rPr>
          <w:lang w:val="fr-FR"/>
        </w:rPr>
        <w:t xml:space="preserve"> </w:t>
      </w:r>
      <w:bookmarkEnd w:id="31"/>
      <w:r w:rsidRPr="00A241BD">
        <w:rPr>
          <w:lang w:val="fr-FR"/>
        </w:rPr>
        <w:t>497 de</w:t>
      </w:r>
      <w:r>
        <w:rPr>
          <w:lang w:val="fr-FR"/>
        </w:rPr>
        <w:t xml:space="preserve"> </w:t>
      </w:r>
      <w:r w:rsidRPr="00A241BD">
        <w:rPr>
          <w:bCs/>
          <w:iCs/>
          <w:lang w:val="fr-FR"/>
        </w:rPr>
        <w:t>l</w:t>
      </w:r>
      <w:r>
        <w:rPr>
          <w:bCs/>
          <w:iCs/>
          <w:lang w:val="fr-FR"/>
        </w:rPr>
        <w:t>’</w:t>
      </w:r>
      <w:r w:rsidRPr="00A241BD">
        <w:rPr>
          <w:bCs/>
          <w:iCs/>
          <w:lang w:val="fr-FR"/>
        </w:rPr>
        <w:t xml:space="preserve">OCDE </w:t>
      </w:r>
      <w:r>
        <w:rPr>
          <w:bCs/>
          <w:iCs/>
          <w:lang w:val="fr-FR"/>
        </w:rPr>
        <w:t>s</w:t>
      </w:r>
      <w:r w:rsidRPr="00A241BD">
        <w:rPr>
          <w:lang w:val="fr-FR"/>
        </w:rPr>
        <w:t xml:space="preserve">ont caractérisées pour le </w:t>
      </w:r>
      <w:r>
        <w:rPr>
          <w:lang w:val="fr-FR"/>
        </w:rPr>
        <w:t>degré</w:t>
      </w:r>
      <w:r w:rsidRPr="00A241BD">
        <w:rPr>
          <w:lang w:val="fr-FR"/>
        </w:rPr>
        <w:t xml:space="preserve"> de confiance qui peut être attribué </w:t>
      </w:r>
      <w:r>
        <w:rPr>
          <w:lang w:val="fr-FR"/>
        </w:rPr>
        <w:t>à leurs</w:t>
      </w:r>
      <w:r w:rsidRPr="00A241BD">
        <w:rPr>
          <w:lang w:val="fr-FR"/>
        </w:rPr>
        <w:t xml:space="preserve"> prédictions sur la base du domaine d</w:t>
      </w:r>
      <w:r>
        <w:rPr>
          <w:lang w:val="fr-FR"/>
        </w:rPr>
        <w:t>’</w:t>
      </w:r>
      <w:r w:rsidRPr="00A241BD">
        <w:rPr>
          <w:lang w:val="fr-FR"/>
        </w:rPr>
        <w:t xml:space="preserve">applicabilité </w:t>
      </w:r>
      <w:r>
        <w:rPr>
          <w:lang w:val="fr-FR"/>
        </w:rPr>
        <w:t xml:space="preserve">de chacune </w:t>
      </w:r>
      <w:r w:rsidRPr="00A241BD">
        <w:rPr>
          <w:lang w:val="fr-FR"/>
        </w:rPr>
        <w:t>des sources d</w:t>
      </w:r>
      <w:r>
        <w:rPr>
          <w:lang w:val="fr-FR"/>
        </w:rPr>
        <w:t>’</w:t>
      </w:r>
      <w:r w:rsidRPr="00A241BD">
        <w:rPr>
          <w:lang w:val="fr-FR"/>
        </w:rPr>
        <w:t>information utilisées et de la procédure d</w:t>
      </w:r>
      <w:r>
        <w:rPr>
          <w:lang w:val="fr-FR"/>
        </w:rPr>
        <w:t>’</w:t>
      </w:r>
      <w:r w:rsidRPr="00A241BD">
        <w:rPr>
          <w:lang w:val="fr-FR"/>
        </w:rPr>
        <w:t>interprétation des données appliquée (voir tableau 3.4.6). D</w:t>
      </w:r>
      <w:r>
        <w:rPr>
          <w:lang w:val="fr-FR"/>
        </w:rPr>
        <w:t>’</w:t>
      </w:r>
      <w:r w:rsidRPr="00A241BD">
        <w:rPr>
          <w:lang w:val="fr-FR"/>
        </w:rPr>
        <w:t xml:space="preserve">autres </w:t>
      </w:r>
      <w:r>
        <w:rPr>
          <w:lang w:val="fr-FR"/>
        </w:rPr>
        <w:t>méthodes définies</w:t>
      </w:r>
      <w:r w:rsidRPr="00A241BD">
        <w:rPr>
          <w:lang w:val="fr-FR"/>
        </w:rPr>
        <w:t xml:space="preserve"> à l</w:t>
      </w:r>
      <w:r>
        <w:rPr>
          <w:lang w:val="fr-FR"/>
        </w:rPr>
        <w:t>’</w:t>
      </w:r>
      <w:r w:rsidRPr="00A241BD">
        <w:rPr>
          <w:lang w:val="fr-FR"/>
        </w:rPr>
        <w:t>étude mais non encore validées selon les procédures internationales et décrites dans le document d</w:t>
      </w:r>
      <w:r>
        <w:rPr>
          <w:lang w:val="fr-FR"/>
        </w:rPr>
        <w:t>’</w:t>
      </w:r>
      <w:r w:rsidRPr="00A241BD">
        <w:rPr>
          <w:lang w:val="fr-FR"/>
        </w:rPr>
        <w:t>orientation 256 de l</w:t>
      </w:r>
      <w:r>
        <w:rPr>
          <w:lang w:val="fr-FR"/>
        </w:rPr>
        <w:t>’</w:t>
      </w:r>
      <w:r w:rsidRPr="00A241BD">
        <w:rPr>
          <w:lang w:val="fr-FR"/>
        </w:rPr>
        <w:t xml:space="preserve">OCDE selon les critères convenus au niveau international </w:t>
      </w:r>
      <w:r>
        <w:rPr>
          <w:lang w:val="fr-FR"/>
        </w:rPr>
        <w:t>en ce qui concerne</w:t>
      </w:r>
      <w:r w:rsidRPr="00A241BD">
        <w:rPr>
          <w:lang w:val="fr-FR"/>
        </w:rPr>
        <w:t xml:space="preserve"> </w:t>
      </w:r>
      <w:r>
        <w:rPr>
          <w:lang w:val="fr-FR"/>
        </w:rPr>
        <w:t xml:space="preserve">la </w:t>
      </w:r>
      <w:r w:rsidRPr="007B51A0">
        <w:rPr>
          <w:lang w:val="fr-FR"/>
        </w:rPr>
        <w:t>présentation de</w:t>
      </w:r>
      <w:r>
        <w:rPr>
          <w:lang w:val="fr-FR"/>
        </w:rPr>
        <w:t>s</w:t>
      </w:r>
      <w:r w:rsidRPr="007B51A0">
        <w:rPr>
          <w:lang w:val="fr-FR"/>
        </w:rPr>
        <w:t xml:space="preserve"> comptes rendus </w:t>
      </w:r>
      <w:r w:rsidRPr="00A241BD">
        <w:rPr>
          <w:lang w:val="fr-FR"/>
        </w:rPr>
        <w:t>(document d</w:t>
      </w:r>
      <w:r>
        <w:rPr>
          <w:lang w:val="fr-FR"/>
        </w:rPr>
        <w:t>’</w:t>
      </w:r>
      <w:r w:rsidRPr="00A241BD">
        <w:rPr>
          <w:lang w:val="fr-FR"/>
        </w:rPr>
        <w:t>orientation 255 de l</w:t>
      </w:r>
      <w:r>
        <w:rPr>
          <w:lang w:val="fr-FR"/>
        </w:rPr>
        <w:t>’</w:t>
      </w:r>
      <w:r w:rsidRPr="00A241BD">
        <w:rPr>
          <w:lang w:val="fr-FR"/>
        </w:rPr>
        <w:t xml:space="preserve">OCDE) peuvent être acceptées par certaines autorités compétentes. </w:t>
      </w:r>
    </w:p>
    <w:p w14:paraId="65A245CA" w14:textId="1958C9E5" w:rsidR="00B178A7" w:rsidRPr="00A241BD" w:rsidRDefault="00B178A7" w:rsidP="00A06C99">
      <w:pPr>
        <w:pStyle w:val="SingleTxtG"/>
        <w:keepNext/>
        <w:spacing w:after="100"/>
        <w:ind w:left="2268" w:hanging="1134"/>
        <w:jc w:val="left"/>
        <w:rPr>
          <w:bCs/>
          <w:i/>
          <w:iCs/>
          <w:lang w:val="fr-FR"/>
        </w:rPr>
      </w:pPr>
      <w:r w:rsidRPr="00A241BD">
        <w:rPr>
          <w:bCs/>
          <w:lang w:val="fr-FR"/>
        </w:rPr>
        <w:t>3.4.5.3.5</w:t>
      </w:r>
      <w:r w:rsidRPr="00A241BD">
        <w:rPr>
          <w:bCs/>
          <w:lang w:val="fr-FR"/>
        </w:rPr>
        <w:tab/>
      </w:r>
      <w:r w:rsidRPr="00A241BD">
        <w:rPr>
          <w:bCs/>
          <w:i/>
          <w:iCs/>
          <w:lang w:val="fr-FR"/>
        </w:rPr>
        <w:t xml:space="preserve">Orientations </w:t>
      </w:r>
      <w:r>
        <w:rPr>
          <w:bCs/>
          <w:i/>
          <w:iCs/>
          <w:lang w:val="fr-FR"/>
        </w:rPr>
        <w:t>po</w:t>
      </w:r>
      <w:r w:rsidRPr="00A241BD">
        <w:rPr>
          <w:bCs/>
          <w:i/>
          <w:iCs/>
          <w:lang w:val="fr-FR"/>
        </w:rPr>
        <w:t>ur l</w:t>
      </w:r>
      <w:r>
        <w:rPr>
          <w:bCs/>
          <w:i/>
          <w:iCs/>
          <w:lang w:val="fr-FR"/>
        </w:rPr>
        <w:t>’</w:t>
      </w:r>
      <w:r w:rsidRPr="00A241BD">
        <w:rPr>
          <w:bCs/>
          <w:i/>
          <w:iCs/>
          <w:lang w:val="fr-FR"/>
        </w:rPr>
        <w:t xml:space="preserve">utilisation de méthodes </w:t>
      </w:r>
      <w:r w:rsidRPr="008559E4">
        <w:rPr>
          <w:bCs/>
          <w:lang w:val="fr-FR"/>
        </w:rPr>
        <w:t xml:space="preserve">in </w:t>
      </w:r>
      <w:proofErr w:type="spellStart"/>
      <w:r w:rsidRPr="008559E4">
        <w:rPr>
          <w:bCs/>
          <w:lang w:val="fr-FR"/>
        </w:rPr>
        <w:t>chemico</w:t>
      </w:r>
      <w:proofErr w:type="spellEnd"/>
      <w:r w:rsidRPr="008559E4">
        <w:rPr>
          <w:bCs/>
          <w:lang w:val="fr-FR"/>
        </w:rPr>
        <w:t>/in vitro</w:t>
      </w:r>
      <w:r w:rsidRPr="00E348B7">
        <w:rPr>
          <w:bCs/>
          <w:i/>
          <w:iCs/>
          <w:lang w:val="fr-FR"/>
        </w:rPr>
        <w:t xml:space="preserve"> </w:t>
      </w:r>
      <w:r w:rsidR="007705B5">
        <w:rPr>
          <w:bCs/>
          <w:i/>
          <w:iCs/>
          <w:lang w:val="fr-FR"/>
        </w:rPr>
        <w:br/>
      </w:r>
      <w:r w:rsidRPr="00E348B7">
        <w:rPr>
          <w:bCs/>
          <w:i/>
          <w:iCs/>
          <w:lang w:val="fr-FR"/>
        </w:rPr>
        <w:t>non</w:t>
      </w:r>
      <w:r w:rsidRPr="00A241BD">
        <w:rPr>
          <w:bCs/>
          <w:i/>
          <w:iCs/>
          <w:lang w:val="fr-FR"/>
        </w:rPr>
        <w:t xml:space="preserve"> autonomes</w:t>
      </w:r>
    </w:p>
    <w:p w14:paraId="1D5C4F9F" w14:textId="06CB09B0" w:rsidR="00B178A7" w:rsidRPr="00A241BD" w:rsidRDefault="00B178A7" w:rsidP="00A06C99">
      <w:pPr>
        <w:pStyle w:val="SingleTxtG"/>
        <w:spacing w:after="100"/>
        <w:ind w:left="2268"/>
        <w:rPr>
          <w:lang w:val="fr-FR"/>
        </w:rPr>
      </w:pPr>
      <w:r>
        <w:rPr>
          <w:lang w:val="fr-FR"/>
        </w:rPr>
        <w:t>Certain</w:t>
      </w:r>
      <w:r w:rsidRPr="00A241BD">
        <w:rPr>
          <w:lang w:val="fr-FR"/>
        </w:rPr>
        <w:t>es méthodes</w:t>
      </w:r>
      <w:r>
        <w:rPr>
          <w:lang w:val="fr-FR"/>
        </w:rPr>
        <w:t xml:space="preserve"> </w:t>
      </w:r>
      <w:r>
        <w:rPr>
          <w:i/>
          <w:lang w:val="fr-FR"/>
        </w:rPr>
        <w:t xml:space="preserve">in </w:t>
      </w:r>
      <w:proofErr w:type="spellStart"/>
      <w:r>
        <w:rPr>
          <w:i/>
          <w:lang w:val="fr-FR"/>
        </w:rPr>
        <w:t>chemico</w:t>
      </w:r>
      <w:proofErr w:type="spellEnd"/>
      <w:r>
        <w:rPr>
          <w:i/>
          <w:lang w:val="fr-FR"/>
        </w:rPr>
        <w:t>/in vitro</w:t>
      </w:r>
      <w:r w:rsidRPr="00E348B7">
        <w:rPr>
          <w:i/>
          <w:iCs/>
          <w:lang w:val="fr-FR"/>
        </w:rPr>
        <w:t xml:space="preserve"> </w:t>
      </w:r>
      <w:r w:rsidRPr="00E348B7">
        <w:rPr>
          <w:lang w:val="fr-FR"/>
        </w:rPr>
        <w:t>tel</w:t>
      </w:r>
      <w:r w:rsidRPr="00A241BD">
        <w:rPr>
          <w:lang w:val="fr-FR"/>
        </w:rPr>
        <w:t xml:space="preserve">les que celles rapportées dans les </w:t>
      </w:r>
      <w:r>
        <w:rPr>
          <w:lang w:val="fr-FR"/>
        </w:rPr>
        <w:t>lignes directrices</w:t>
      </w:r>
      <w:r w:rsidRPr="00A241BD">
        <w:rPr>
          <w:lang w:val="fr-FR"/>
        </w:rPr>
        <w:t xml:space="preserve"> de l</w:t>
      </w:r>
      <w:r>
        <w:rPr>
          <w:lang w:val="fr-FR"/>
        </w:rPr>
        <w:t>’</w:t>
      </w:r>
      <w:r w:rsidRPr="00A241BD">
        <w:rPr>
          <w:lang w:val="fr-FR"/>
        </w:rPr>
        <w:t xml:space="preserve">OCDE 442C, 442D et 442E, en raison de leur </w:t>
      </w:r>
      <w:r>
        <w:rPr>
          <w:lang w:val="fr-FR"/>
        </w:rPr>
        <w:t>traitement</w:t>
      </w:r>
      <w:r w:rsidRPr="00A241BD">
        <w:rPr>
          <w:lang w:val="fr-FR"/>
        </w:rPr>
        <w:t xml:space="preserve"> limité</w:t>
      </w:r>
      <w:r w:rsidRPr="007B51A0">
        <w:rPr>
          <w:lang w:val="fr-FR"/>
        </w:rPr>
        <w:t xml:space="preserve"> </w:t>
      </w:r>
      <w:r>
        <w:rPr>
          <w:lang w:val="fr-FR"/>
        </w:rPr>
        <w:t xml:space="preserve">des </w:t>
      </w:r>
      <w:r w:rsidRPr="00A241BD">
        <w:rPr>
          <w:lang w:val="fr-FR"/>
        </w:rPr>
        <w:t>mécanis</w:t>
      </w:r>
      <w:r>
        <w:rPr>
          <w:lang w:val="fr-FR"/>
        </w:rPr>
        <w:t>mes de sensibilisation</w:t>
      </w:r>
      <w:r w:rsidRPr="00A241BD">
        <w:rPr>
          <w:lang w:val="fr-FR"/>
        </w:rPr>
        <w:t xml:space="preserve">, ne peuvent être utilisées seules pour conclure à un </w:t>
      </w:r>
      <w:r>
        <w:rPr>
          <w:lang w:val="fr-FR"/>
        </w:rPr>
        <w:t xml:space="preserve">classement </w:t>
      </w:r>
      <w:r w:rsidRPr="00A241BD">
        <w:rPr>
          <w:lang w:val="fr-FR"/>
        </w:rPr>
        <w:t xml:space="preserve">dans la catégorie 1 ou à une absence de </w:t>
      </w:r>
      <w:r>
        <w:rPr>
          <w:lang w:val="fr-FR"/>
        </w:rPr>
        <w:t xml:space="preserve">classement </w:t>
      </w:r>
      <w:r w:rsidRPr="00A241BD">
        <w:rPr>
          <w:lang w:val="fr-FR"/>
        </w:rPr>
        <w:t>selon les critères définis dans le tableau 3.4.7</w:t>
      </w:r>
      <w:r>
        <w:rPr>
          <w:lang w:val="fr-FR"/>
        </w:rPr>
        <w:t>,</w:t>
      </w:r>
      <w:r w:rsidRPr="00A241BD">
        <w:rPr>
          <w:lang w:val="fr-FR"/>
        </w:rPr>
        <w:t xml:space="preserve"> et des données supplémentaires sont nécessaires pour l</w:t>
      </w:r>
      <w:r>
        <w:rPr>
          <w:lang w:val="fr-FR"/>
        </w:rPr>
        <w:t>e</w:t>
      </w:r>
      <w:r w:rsidRPr="00A241BD">
        <w:rPr>
          <w:lang w:val="fr-FR"/>
        </w:rPr>
        <w:t xml:space="preserve"> </w:t>
      </w:r>
      <w:r>
        <w:rPr>
          <w:lang w:val="fr-FR"/>
        </w:rPr>
        <w:t xml:space="preserve">classement </w:t>
      </w:r>
      <w:r w:rsidRPr="00A241BD">
        <w:rPr>
          <w:lang w:val="fr-FR"/>
        </w:rPr>
        <w:t>dans la catégorie 2. De plus, bien que certaines de ces méthodes fournissent des informations quantitatives, celles</w:t>
      </w:r>
      <w:r w:rsidR="00FA6C01">
        <w:rPr>
          <w:lang w:val="fr-FR"/>
        </w:rPr>
        <w:noBreakHyphen/>
      </w:r>
      <w:r w:rsidRPr="00A241BD">
        <w:rPr>
          <w:lang w:val="fr-FR"/>
        </w:rPr>
        <w:t xml:space="preserve">ci ne peuvent pas être utilisées pour la sous-catégorisation </w:t>
      </w:r>
      <w:r>
        <w:rPr>
          <w:lang w:val="fr-FR"/>
        </w:rPr>
        <w:t>dans les</w:t>
      </w:r>
      <w:r w:rsidRPr="00A241BD">
        <w:rPr>
          <w:lang w:val="fr-FR"/>
        </w:rPr>
        <w:t xml:space="preserve"> sous</w:t>
      </w:r>
      <w:r w:rsidR="00FA6C01">
        <w:rPr>
          <w:lang w:val="fr-FR"/>
        </w:rPr>
        <w:noBreakHyphen/>
      </w:r>
      <w:r w:rsidRPr="00A241BD">
        <w:rPr>
          <w:lang w:val="fr-FR"/>
        </w:rPr>
        <w:t>catégorie</w:t>
      </w:r>
      <w:r>
        <w:rPr>
          <w:lang w:val="fr-FR"/>
        </w:rPr>
        <w:t>s</w:t>
      </w:r>
      <w:r w:rsidRPr="00A241BD">
        <w:rPr>
          <w:lang w:val="fr-FR"/>
        </w:rPr>
        <w:t xml:space="preserve"> 1A et 1B </w:t>
      </w:r>
      <w:r>
        <w:rPr>
          <w:lang w:val="fr-FR"/>
        </w:rPr>
        <w:t>car</w:t>
      </w:r>
      <w:r w:rsidRPr="00A241BD">
        <w:rPr>
          <w:lang w:val="fr-FR"/>
        </w:rPr>
        <w:t xml:space="preserve"> les critères n</w:t>
      </w:r>
      <w:r>
        <w:rPr>
          <w:lang w:val="fr-FR"/>
        </w:rPr>
        <w:t>’</w:t>
      </w:r>
      <w:r w:rsidRPr="00A241BD">
        <w:rPr>
          <w:lang w:val="fr-FR"/>
        </w:rPr>
        <w:t>ont pas été validés selon une procédure internationale. Néanmoins, de telles informations quantitatives peuvent être acceptées aux fins de la sous-catégorisation par une autorité compétente lorsqu</w:t>
      </w:r>
      <w:r>
        <w:rPr>
          <w:lang w:val="fr-FR"/>
        </w:rPr>
        <w:t>’</w:t>
      </w:r>
      <w:r w:rsidRPr="00A241BD">
        <w:rPr>
          <w:lang w:val="fr-FR"/>
        </w:rPr>
        <w:t xml:space="preserve">elles sont utilisées </w:t>
      </w:r>
      <w:r>
        <w:rPr>
          <w:lang w:val="fr-FR"/>
        </w:rPr>
        <w:t xml:space="preserve">pour évaluer </w:t>
      </w:r>
      <w:r w:rsidRPr="00A241BD">
        <w:rPr>
          <w:bCs/>
          <w:lang w:val="fr-FR"/>
        </w:rPr>
        <w:t>l</w:t>
      </w:r>
      <w:r>
        <w:rPr>
          <w:bCs/>
          <w:lang w:val="fr-FR"/>
        </w:rPr>
        <w:t>a</w:t>
      </w:r>
      <w:r w:rsidRPr="00A241BD">
        <w:rPr>
          <w:bCs/>
          <w:lang w:val="fr-FR"/>
        </w:rPr>
        <w:t xml:space="preserve"> </w:t>
      </w:r>
      <w:r w:rsidRPr="0063183B">
        <w:rPr>
          <w:bCs/>
          <w:lang w:val="fr-FR"/>
        </w:rPr>
        <w:t>force probante des données</w:t>
      </w:r>
      <w:r w:rsidRPr="00A241BD">
        <w:rPr>
          <w:lang w:val="fr-FR"/>
        </w:rPr>
        <w:t xml:space="preserve"> </w:t>
      </w:r>
      <w:r>
        <w:rPr>
          <w:lang w:val="fr-FR"/>
        </w:rPr>
        <w:t>à l’étape </w:t>
      </w:r>
      <w:r w:rsidRPr="00A241BD">
        <w:rPr>
          <w:lang w:val="fr-FR"/>
        </w:rPr>
        <w:t>2. Ce</w:t>
      </w:r>
      <w:r>
        <w:rPr>
          <w:lang w:val="fr-FR"/>
        </w:rPr>
        <w:t>la</w:t>
      </w:r>
      <w:r w:rsidRPr="00A241BD">
        <w:rPr>
          <w:lang w:val="fr-FR"/>
        </w:rPr>
        <w:t xml:space="preserve"> est également conforme à la </w:t>
      </w:r>
      <w:r w:rsidRPr="008A74BE">
        <w:rPr>
          <w:lang w:val="fr-FR"/>
        </w:rPr>
        <w:t>Ligne directrice</w:t>
      </w:r>
      <w:r>
        <w:rPr>
          <w:lang w:val="fr-FR"/>
        </w:rPr>
        <w:t xml:space="preserve"> 442</w:t>
      </w:r>
      <w:r w:rsidRPr="008C54EF">
        <w:rPr>
          <w:lang w:val="fr-FR"/>
        </w:rPr>
        <w:t>E</w:t>
      </w:r>
      <w:r>
        <w:rPr>
          <w:lang w:val="fr-FR"/>
        </w:rPr>
        <w:t>,</w:t>
      </w:r>
      <w:r w:rsidRPr="008A74BE">
        <w:rPr>
          <w:lang w:val="fr-FR"/>
        </w:rPr>
        <w:t xml:space="preserve"> </w:t>
      </w:r>
      <w:r w:rsidRPr="00A241BD">
        <w:rPr>
          <w:lang w:val="fr-FR"/>
        </w:rPr>
        <w:t>selon laquelle</w:t>
      </w:r>
      <w:r>
        <w:rPr>
          <w:lang w:val="fr-FR"/>
        </w:rPr>
        <w:t>,</w:t>
      </w:r>
      <w:r w:rsidRPr="00A241BD">
        <w:rPr>
          <w:lang w:val="fr-FR"/>
        </w:rPr>
        <w:t xml:space="preserve"> </w:t>
      </w:r>
      <w:r>
        <w:rPr>
          <w:lang w:val="fr-FR"/>
        </w:rPr>
        <w:t>« </w:t>
      </w:r>
      <w:r w:rsidRPr="00B255F1">
        <w:rPr>
          <w:lang w:val="fr-FR"/>
        </w:rPr>
        <w:t>en fonction du cadre réglementaire applicable, des résultats positifs avec ces méthodes peuvent être considérés comme suffisants à eux seuls pour classer un produit chimique dans la catégorie 1 du SGH de l</w:t>
      </w:r>
      <w:r>
        <w:rPr>
          <w:lang w:val="fr-FR"/>
        </w:rPr>
        <w:t>’</w:t>
      </w:r>
      <w:r w:rsidRPr="00B255F1">
        <w:rPr>
          <w:lang w:val="fr-FR"/>
        </w:rPr>
        <w:t>ONU</w:t>
      </w:r>
      <w:r>
        <w:rPr>
          <w:lang w:val="fr-FR"/>
        </w:rPr>
        <w:t> »</w:t>
      </w:r>
      <w:r w:rsidRPr="00A241BD">
        <w:rPr>
          <w:lang w:val="fr-FR"/>
        </w:rPr>
        <w:t xml:space="preserve">. Par conséquent, le SGH permet également à </w:t>
      </w:r>
      <w:r w:rsidRPr="00A241BD">
        <w:rPr>
          <w:iCs/>
          <w:lang w:val="fr-FR"/>
        </w:rPr>
        <w:t>une autorité compétente de décider qu</w:t>
      </w:r>
      <w:r>
        <w:rPr>
          <w:iCs/>
          <w:lang w:val="fr-FR"/>
        </w:rPr>
        <w:t>’</w:t>
      </w:r>
      <w:r w:rsidRPr="00A241BD">
        <w:rPr>
          <w:iCs/>
          <w:lang w:val="fr-FR"/>
        </w:rPr>
        <w:t>un résultat positif obtenu avec l</w:t>
      </w:r>
      <w:r>
        <w:rPr>
          <w:iCs/>
          <w:lang w:val="fr-FR"/>
        </w:rPr>
        <w:t>’</w:t>
      </w:r>
      <w:r w:rsidRPr="00A241BD">
        <w:rPr>
          <w:iCs/>
          <w:lang w:val="fr-FR"/>
        </w:rPr>
        <w:t xml:space="preserve">une de ces méthodes </w:t>
      </w:r>
      <w:r w:rsidRPr="008A74BE">
        <w:rPr>
          <w:i/>
          <w:lang w:val="fr-FR"/>
        </w:rPr>
        <w:t xml:space="preserve">in </w:t>
      </w:r>
      <w:proofErr w:type="spellStart"/>
      <w:r w:rsidRPr="008A74BE">
        <w:rPr>
          <w:i/>
          <w:lang w:val="fr-FR"/>
        </w:rPr>
        <w:t>chemico</w:t>
      </w:r>
      <w:proofErr w:type="spellEnd"/>
      <w:r w:rsidRPr="008A74BE">
        <w:rPr>
          <w:i/>
          <w:lang w:val="fr-FR"/>
        </w:rPr>
        <w:t>/in vitro</w:t>
      </w:r>
      <w:r w:rsidRPr="00E348B7">
        <w:rPr>
          <w:i/>
          <w:lang w:val="fr-FR"/>
        </w:rPr>
        <w:t xml:space="preserve"> </w:t>
      </w:r>
      <w:r w:rsidRPr="00E348B7">
        <w:rPr>
          <w:iCs/>
          <w:lang w:val="fr-FR"/>
        </w:rPr>
        <w:t>non</w:t>
      </w:r>
      <w:r w:rsidRPr="00A241BD">
        <w:rPr>
          <w:iCs/>
          <w:lang w:val="fr-FR"/>
        </w:rPr>
        <w:t xml:space="preserve"> autonomes peut </w:t>
      </w:r>
      <w:r>
        <w:rPr>
          <w:iCs/>
          <w:lang w:val="fr-FR"/>
        </w:rPr>
        <w:t>à lui</w:t>
      </w:r>
      <w:r w:rsidRPr="00A241BD">
        <w:rPr>
          <w:iCs/>
          <w:lang w:val="fr-FR"/>
        </w:rPr>
        <w:t xml:space="preserve"> seul </w:t>
      </w:r>
      <w:r>
        <w:rPr>
          <w:iCs/>
          <w:lang w:val="fr-FR"/>
        </w:rPr>
        <w:t>permettre de</w:t>
      </w:r>
      <w:r w:rsidRPr="00A241BD">
        <w:rPr>
          <w:iCs/>
          <w:lang w:val="fr-FR"/>
        </w:rPr>
        <w:t xml:space="preserve"> classer un produit chimique dans la catégorie 1 et que l</w:t>
      </w:r>
      <w:r>
        <w:rPr>
          <w:iCs/>
          <w:lang w:val="fr-FR"/>
        </w:rPr>
        <w:t>’</w:t>
      </w:r>
      <w:r>
        <w:rPr>
          <w:lang w:val="fr-FR"/>
        </w:rPr>
        <w:t>e</w:t>
      </w:r>
      <w:r w:rsidRPr="00B255F1">
        <w:rPr>
          <w:iCs/>
          <w:lang w:val="fr-FR"/>
        </w:rPr>
        <w:t>ssai cinétique de liaison directe sur la réactivité peptidique</w:t>
      </w:r>
      <w:r w:rsidRPr="00A241BD">
        <w:rPr>
          <w:iCs/>
          <w:lang w:val="fr-FR"/>
        </w:rPr>
        <w:t xml:space="preserve"> (</w:t>
      </w:r>
      <w:proofErr w:type="spellStart"/>
      <w:r w:rsidRPr="00A241BD">
        <w:rPr>
          <w:iCs/>
          <w:lang w:val="fr-FR"/>
        </w:rPr>
        <w:t>kDPRA</w:t>
      </w:r>
      <w:proofErr w:type="spellEnd"/>
      <w:r w:rsidRPr="00A241BD">
        <w:rPr>
          <w:iCs/>
          <w:lang w:val="fr-FR"/>
        </w:rPr>
        <w:t xml:space="preserve">) </w:t>
      </w:r>
      <w:r>
        <w:rPr>
          <w:iCs/>
          <w:lang w:val="fr-FR"/>
        </w:rPr>
        <w:t xml:space="preserve">de la </w:t>
      </w:r>
      <w:r>
        <w:rPr>
          <w:lang w:val="fr-FR"/>
        </w:rPr>
        <w:t>Ligne directrice</w:t>
      </w:r>
      <w:r w:rsidRPr="00A241BD">
        <w:rPr>
          <w:lang w:val="fr-FR"/>
        </w:rPr>
        <w:t xml:space="preserve"> </w:t>
      </w:r>
      <w:r w:rsidRPr="00A241BD">
        <w:rPr>
          <w:iCs/>
          <w:lang w:val="fr-FR"/>
        </w:rPr>
        <w:t xml:space="preserve">442C (annexe III) peut être utilisé pour </w:t>
      </w:r>
      <w:r>
        <w:rPr>
          <w:iCs/>
          <w:lang w:val="fr-FR"/>
        </w:rPr>
        <w:t>déterminer le classement ou non dans</w:t>
      </w:r>
      <w:r w:rsidRPr="00A241BD">
        <w:rPr>
          <w:iCs/>
          <w:lang w:val="fr-FR"/>
        </w:rPr>
        <w:t xml:space="preserve"> la catégorie</w:t>
      </w:r>
      <w:r>
        <w:rPr>
          <w:iCs/>
          <w:lang w:val="fr-FR"/>
        </w:rPr>
        <w:t> </w:t>
      </w:r>
      <w:r w:rsidRPr="00A241BD">
        <w:rPr>
          <w:iCs/>
          <w:lang w:val="fr-FR"/>
        </w:rPr>
        <w:t>1A.</w:t>
      </w:r>
    </w:p>
    <w:p w14:paraId="79673630" w14:textId="77777777" w:rsidR="00B178A7" w:rsidRPr="00A241BD" w:rsidRDefault="00B178A7" w:rsidP="00A06C99">
      <w:pPr>
        <w:pStyle w:val="SingleTxtG"/>
        <w:keepNext/>
        <w:spacing w:after="100"/>
        <w:ind w:left="2268" w:hanging="1134"/>
        <w:jc w:val="left"/>
        <w:rPr>
          <w:bCs/>
          <w:lang w:val="fr-FR"/>
        </w:rPr>
      </w:pPr>
      <w:r w:rsidRPr="00A241BD">
        <w:rPr>
          <w:bCs/>
          <w:lang w:val="fr-FR"/>
        </w:rPr>
        <w:t>3.4.5.3.6</w:t>
      </w:r>
      <w:r w:rsidRPr="00A241BD">
        <w:rPr>
          <w:bCs/>
          <w:lang w:val="fr-FR"/>
        </w:rPr>
        <w:tab/>
      </w:r>
      <w:r w:rsidRPr="00A241BD">
        <w:rPr>
          <w:bCs/>
          <w:i/>
          <w:iCs/>
          <w:lang w:val="fr-FR"/>
        </w:rPr>
        <w:t>Orientations pour l</w:t>
      </w:r>
      <w:r>
        <w:rPr>
          <w:bCs/>
          <w:i/>
          <w:iCs/>
          <w:lang w:val="fr-FR"/>
        </w:rPr>
        <w:t>’</w:t>
      </w:r>
      <w:r w:rsidRPr="00A241BD">
        <w:rPr>
          <w:bCs/>
          <w:i/>
          <w:iCs/>
          <w:lang w:val="fr-FR"/>
        </w:rPr>
        <w:t>utilisation de</w:t>
      </w:r>
      <w:r w:rsidRPr="000F48EC">
        <w:rPr>
          <w:bCs/>
          <w:i/>
          <w:iCs/>
          <w:lang w:val="fr-FR"/>
        </w:rPr>
        <w:t xml:space="preserve"> données non normalisées</w:t>
      </w:r>
    </w:p>
    <w:p w14:paraId="3F88F9AC" w14:textId="77777777" w:rsidR="00B178A7" w:rsidRPr="00A241BD" w:rsidRDefault="00B178A7" w:rsidP="00A06C99">
      <w:pPr>
        <w:pStyle w:val="SingleTxtG"/>
        <w:spacing w:after="100"/>
        <w:ind w:left="2268" w:hanging="1134"/>
        <w:rPr>
          <w:lang w:val="fr-FR"/>
        </w:rPr>
      </w:pPr>
      <w:r w:rsidRPr="00A241BD">
        <w:rPr>
          <w:bCs/>
          <w:lang w:val="fr-FR"/>
        </w:rPr>
        <w:t>3.4.5.3.6.1</w:t>
      </w:r>
      <w:r>
        <w:rPr>
          <w:bCs/>
          <w:lang w:val="fr-FR"/>
        </w:rPr>
        <w:tab/>
      </w:r>
      <w:r w:rsidRPr="00A241BD">
        <w:rPr>
          <w:bCs/>
          <w:lang w:val="fr-FR"/>
        </w:rPr>
        <w:t xml:space="preserve">Les </w:t>
      </w:r>
      <w:r w:rsidRPr="00A241BD">
        <w:rPr>
          <w:lang w:val="fr-FR"/>
        </w:rPr>
        <w:t xml:space="preserve">méthodes </w:t>
      </w:r>
      <w:r>
        <w:rPr>
          <w:i/>
          <w:lang w:val="fr-FR"/>
        </w:rPr>
        <w:t xml:space="preserve">in </w:t>
      </w:r>
      <w:proofErr w:type="spellStart"/>
      <w:r>
        <w:rPr>
          <w:i/>
          <w:lang w:val="fr-FR"/>
        </w:rPr>
        <w:t>chemico</w:t>
      </w:r>
      <w:proofErr w:type="spellEnd"/>
      <w:r>
        <w:rPr>
          <w:i/>
          <w:lang w:val="fr-FR"/>
        </w:rPr>
        <w:t>/in vitro</w:t>
      </w:r>
      <w:r w:rsidRPr="00E348B7">
        <w:rPr>
          <w:i/>
          <w:iCs/>
          <w:lang w:val="fr-FR"/>
        </w:rPr>
        <w:t xml:space="preserve"> </w:t>
      </w:r>
      <w:r w:rsidRPr="00E348B7">
        <w:rPr>
          <w:bCs/>
          <w:lang w:val="fr-FR"/>
        </w:rPr>
        <w:t>val</w:t>
      </w:r>
      <w:r w:rsidRPr="00A241BD">
        <w:rPr>
          <w:bCs/>
          <w:lang w:val="fr-FR"/>
        </w:rPr>
        <w:t>idées</w:t>
      </w:r>
      <w:r>
        <w:rPr>
          <w:bCs/>
          <w:lang w:val="fr-FR"/>
        </w:rPr>
        <w:t xml:space="preserve"> </w:t>
      </w:r>
      <w:r w:rsidRPr="00A241BD">
        <w:rPr>
          <w:lang w:val="fr-FR"/>
        </w:rPr>
        <w:t xml:space="preserve">mais non encore adoptées, </w:t>
      </w:r>
      <w:bookmarkStart w:id="32" w:name="_Hlk116845099"/>
      <w:r w:rsidRPr="00A241BD">
        <w:rPr>
          <w:lang w:val="fr-FR"/>
        </w:rPr>
        <w:t>telles que celles mentionnées au 3.4.5.3.6.</w:t>
      </w:r>
      <w:r>
        <w:rPr>
          <w:lang w:val="fr-FR"/>
        </w:rPr>
        <w:t>2</w:t>
      </w:r>
      <w:r w:rsidRPr="00A241BD">
        <w:rPr>
          <w:lang w:val="fr-FR"/>
        </w:rPr>
        <w:t>,</w:t>
      </w:r>
      <w:bookmarkEnd w:id="32"/>
      <w:r w:rsidRPr="00A241BD">
        <w:rPr>
          <w:lang w:val="fr-FR"/>
        </w:rPr>
        <w:t xml:space="preserve"> ainsi que les méthodes d</w:t>
      </w:r>
      <w:r>
        <w:rPr>
          <w:lang w:val="fr-FR"/>
        </w:rPr>
        <w:t>’</w:t>
      </w:r>
      <w:r w:rsidRPr="00A241BD">
        <w:rPr>
          <w:lang w:val="fr-FR"/>
        </w:rPr>
        <w:t xml:space="preserve">essai </w:t>
      </w:r>
      <w:r w:rsidRPr="00A241BD">
        <w:rPr>
          <w:i/>
          <w:iCs/>
          <w:lang w:val="fr-FR"/>
        </w:rPr>
        <w:t xml:space="preserve">in vivo </w:t>
      </w:r>
      <w:r w:rsidRPr="00A241BD">
        <w:rPr>
          <w:lang w:val="fr-FR"/>
        </w:rPr>
        <w:t>qui ne sont pas conformes aux lignes directrices internationalement reconnues pour l</w:t>
      </w:r>
      <w:r>
        <w:rPr>
          <w:lang w:val="fr-FR"/>
        </w:rPr>
        <w:t>a détermin</w:t>
      </w:r>
      <w:r w:rsidRPr="00A241BD">
        <w:rPr>
          <w:lang w:val="fr-FR"/>
        </w:rPr>
        <w:t>ation des sensibilisants cutanés ou l</w:t>
      </w:r>
      <w:r>
        <w:rPr>
          <w:lang w:val="fr-FR"/>
        </w:rPr>
        <w:t>’</w:t>
      </w:r>
      <w:r w:rsidRPr="00A241BD">
        <w:rPr>
          <w:lang w:val="fr-FR"/>
        </w:rPr>
        <w:t>évaluation d</w:t>
      </w:r>
      <w:r>
        <w:rPr>
          <w:lang w:val="fr-FR"/>
        </w:rPr>
        <w:t>e leur</w:t>
      </w:r>
      <w:r w:rsidRPr="00A241BD">
        <w:rPr>
          <w:lang w:val="fr-FR"/>
        </w:rPr>
        <w:t xml:space="preserve"> pouvoir </w:t>
      </w:r>
      <w:r>
        <w:rPr>
          <w:lang w:val="fr-FR"/>
        </w:rPr>
        <w:t xml:space="preserve">de </w:t>
      </w:r>
      <w:r w:rsidRPr="00A241BD">
        <w:rPr>
          <w:lang w:val="fr-FR"/>
        </w:rPr>
        <w:t>sensibilisa</w:t>
      </w:r>
      <w:r>
        <w:rPr>
          <w:lang w:val="fr-FR"/>
        </w:rPr>
        <w:t>tion</w:t>
      </w:r>
      <w:r w:rsidRPr="00A241BD">
        <w:rPr>
          <w:lang w:val="fr-FR"/>
        </w:rPr>
        <w:t xml:space="preserve"> de la peau, peuvent fournir des </w:t>
      </w:r>
      <w:r>
        <w:rPr>
          <w:lang w:val="fr-FR"/>
        </w:rPr>
        <w:t xml:space="preserve">éléments de </w:t>
      </w:r>
      <w:r w:rsidRPr="00A241BD">
        <w:rPr>
          <w:lang w:val="fr-FR"/>
        </w:rPr>
        <w:t>preuve supplémentaires lorsqu</w:t>
      </w:r>
      <w:r>
        <w:rPr>
          <w:lang w:val="fr-FR"/>
        </w:rPr>
        <w:t>’</w:t>
      </w:r>
      <w:r w:rsidRPr="00A241BD">
        <w:rPr>
          <w:lang w:val="fr-FR"/>
        </w:rPr>
        <w:t xml:space="preserve">elles sont utilisées dans </w:t>
      </w:r>
      <w:r>
        <w:rPr>
          <w:lang w:val="fr-FR"/>
        </w:rPr>
        <w:t>le cadre d’</w:t>
      </w:r>
      <w:r w:rsidRPr="00A241BD">
        <w:rPr>
          <w:lang w:val="fr-FR"/>
        </w:rPr>
        <w:t xml:space="preserve">une évaluation globale </w:t>
      </w:r>
      <w:r>
        <w:rPr>
          <w:lang w:val="fr-FR"/>
        </w:rPr>
        <w:t xml:space="preserve">de </w:t>
      </w:r>
      <w:r w:rsidRPr="00A241BD">
        <w:rPr>
          <w:bCs/>
          <w:lang w:val="fr-FR"/>
        </w:rPr>
        <w:t>l</w:t>
      </w:r>
      <w:r>
        <w:rPr>
          <w:bCs/>
          <w:lang w:val="fr-FR"/>
        </w:rPr>
        <w:t>a</w:t>
      </w:r>
      <w:r w:rsidRPr="00A241BD">
        <w:rPr>
          <w:bCs/>
          <w:lang w:val="fr-FR"/>
        </w:rPr>
        <w:t xml:space="preserve"> </w:t>
      </w:r>
      <w:r w:rsidRPr="0063183B">
        <w:rPr>
          <w:bCs/>
          <w:lang w:val="fr-FR"/>
        </w:rPr>
        <w:t>force probante des données</w:t>
      </w:r>
      <w:r w:rsidRPr="00A241BD">
        <w:rPr>
          <w:lang w:val="fr-FR"/>
        </w:rPr>
        <w:t xml:space="preserve"> (c</w:t>
      </w:r>
      <w:r>
        <w:rPr>
          <w:lang w:val="fr-FR"/>
        </w:rPr>
        <w:t>’</w:t>
      </w:r>
      <w:r w:rsidRPr="00A241BD">
        <w:rPr>
          <w:lang w:val="fr-FR"/>
        </w:rPr>
        <w:t xml:space="preserve">est-à-dire </w:t>
      </w:r>
      <w:r>
        <w:rPr>
          <w:lang w:val="fr-FR"/>
        </w:rPr>
        <w:t>à l’étape </w:t>
      </w:r>
      <w:r w:rsidRPr="00A241BD">
        <w:rPr>
          <w:lang w:val="fr-FR"/>
        </w:rPr>
        <w:t xml:space="preserve">3). </w:t>
      </w:r>
    </w:p>
    <w:p w14:paraId="04DF1BD9" w14:textId="77777777" w:rsidR="00B178A7" w:rsidRDefault="00B178A7" w:rsidP="00A06C99">
      <w:pPr>
        <w:pStyle w:val="SingleTxtG"/>
        <w:keepNext/>
        <w:ind w:left="2268" w:hanging="1134"/>
        <w:rPr>
          <w:lang w:val="fr-FR"/>
        </w:rPr>
      </w:pPr>
      <w:r w:rsidRPr="00A241BD">
        <w:rPr>
          <w:lang w:val="fr-FR"/>
        </w:rPr>
        <w:lastRenderedPageBreak/>
        <w:t>3.4.5.3.6.2</w:t>
      </w:r>
      <w:r>
        <w:rPr>
          <w:lang w:val="fr-FR"/>
        </w:rPr>
        <w:tab/>
      </w:r>
      <w:r w:rsidRPr="00A241BD">
        <w:rPr>
          <w:lang w:val="fr-FR"/>
        </w:rPr>
        <w:t>Une</w:t>
      </w:r>
      <w:r>
        <w:rPr>
          <w:lang w:val="fr-FR"/>
        </w:rPr>
        <w:t xml:space="preserve"> </w:t>
      </w:r>
      <w:r w:rsidRPr="00A241BD">
        <w:rPr>
          <w:lang w:val="fr-FR"/>
        </w:rPr>
        <w:t>liste non exhaustive d</w:t>
      </w:r>
      <w:r>
        <w:rPr>
          <w:lang w:val="fr-FR"/>
        </w:rPr>
        <w:t>’</w:t>
      </w:r>
      <w:r w:rsidRPr="00A241BD">
        <w:rPr>
          <w:lang w:val="fr-FR"/>
        </w:rPr>
        <w:t>autres méthodes d</w:t>
      </w:r>
      <w:r>
        <w:rPr>
          <w:lang w:val="fr-FR"/>
        </w:rPr>
        <w:t>’</w:t>
      </w:r>
      <w:r w:rsidRPr="00A241BD">
        <w:rPr>
          <w:lang w:val="fr-FR"/>
        </w:rPr>
        <w:t xml:space="preserve">essai </w:t>
      </w:r>
      <w:r>
        <w:rPr>
          <w:i/>
          <w:lang w:val="fr-FR"/>
        </w:rPr>
        <w:t xml:space="preserve">in </w:t>
      </w:r>
      <w:proofErr w:type="spellStart"/>
      <w:r>
        <w:rPr>
          <w:i/>
          <w:lang w:val="fr-FR"/>
        </w:rPr>
        <w:t>chemico</w:t>
      </w:r>
      <w:proofErr w:type="spellEnd"/>
      <w:r>
        <w:rPr>
          <w:i/>
          <w:lang w:val="fr-FR"/>
        </w:rPr>
        <w:t>/in vitro</w:t>
      </w:r>
      <w:r w:rsidRPr="000F48EC">
        <w:rPr>
          <w:lang w:val="fr-FR"/>
        </w:rPr>
        <w:t xml:space="preserve"> </w:t>
      </w:r>
      <w:r w:rsidRPr="00E348B7">
        <w:rPr>
          <w:lang w:val="fr-FR"/>
        </w:rPr>
        <w:t>val</w:t>
      </w:r>
      <w:r w:rsidRPr="00A241BD">
        <w:rPr>
          <w:lang w:val="fr-FR"/>
        </w:rPr>
        <w:t xml:space="preserve">idées, acceptées par certaines autorités compétentes mais non adoptées </w:t>
      </w:r>
      <w:r>
        <w:rPr>
          <w:lang w:val="fr-FR"/>
        </w:rPr>
        <w:t>en qualité de</w:t>
      </w:r>
      <w:r w:rsidRPr="00A241BD">
        <w:rPr>
          <w:lang w:val="fr-FR"/>
        </w:rPr>
        <w:t xml:space="preserve"> </w:t>
      </w:r>
      <w:r>
        <w:rPr>
          <w:lang w:val="fr-FR"/>
        </w:rPr>
        <w:t>lignes directrices</w:t>
      </w:r>
      <w:r w:rsidRPr="00A241BD">
        <w:rPr>
          <w:lang w:val="fr-FR"/>
        </w:rPr>
        <w:t xml:space="preserve"> de l</w:t>
      </w:r>
      <w:r>
        <w:rPr>
          <w:lang w:val="fr-FR"/>
        </w:rPr>
        <w:t>’</w:t>
      </w:r>
      <w:r w:rsidRPr="00A241BD">
        <w:rPr>
          <w:lang w:val="fr-FR"/>
        </w:rPr>
        <w:t xml:space="preserve">OCDE, est fournie ci-dessous. Une autorité compétente peut décider quels critères de </w:t>
      </w:r>
      <w:r>
        <w:rPr>
          <w:lang w:val="fr-FR"/>
        </w:rPr>
        <w:t>classement</w:t>
      </w:r>
      <w:r w:rsidRPr="00A241BD">
        <w:rPr>
          <w:lang w:val="fr-FR"/>
        </w:rPr>
        <w:t>, le cas échéant, doivent être appliqués pour ces méthodes d</w:t>
      </w:r>
      <w:r>
        <w:rPr>
          <w:lang w:val="fr-FR"/>
        </w:rPr>
        <w:t>’</w:t>
      </w:r>
      <w:r w:rsidRPr="00A241BD">
        <w:rPr>
          <w:lang w:val="fr-FR"/>
        </w:rPr>
        <w:t>essai</w:t>
      </w:r>
      <w:r>
        <w:rPr>
          <w:lang w:val="fr-FR"/>
        </w:rPr>
        <w:t> :</w:t>
      </w:r>
    </w:p>
    <w:p w14:paraId="7E3BF792" w14:textId="77777777" w:rsidR="00B178A7" w:rsidRDefault="00B178A7" w:rsidP="005466FB">
      <w:pPr>
        <w:pStyle w:val="SingleTxtG"/>
        <w:ind w:left="2835" w:hanging="567"/>
        <w:rPr>
          <w:lang w:val="fr-FR"/>
        </w:rPr>
      </w:pPr>
      <w:r w:rsidRPr="00A241BD">
        <w:rPr>
          <w:lang w:val="fr-FR"/>
        </w:rPr>
        <w:t>a)</w:t>
      </w:r>
      <w:r>
        <w:rPr>
          <w:lang w:val="fr-FR"/>
        </w:rPr>
        <w:tab/>
      </w:r>
      <w:r w:rsidRPr="00A241BD">
        <w:rPr>
          <w:lang w:val="fr-FR"/>
        </w:rPr>
        <w:t>L</w:t>
      </w:r>
      <w:r>
        <w:rPr>
          <w:lang w:val="fr-FR"/>
        </w:rPr>
        <w:t>e test d’activation par</w:t>
      </w:r>
      <w:r w:rsidRPr="00A241BD">
        <w:rPr>
          <w:lang w:val="fr-FR"/>
        </w:rPr>
        <w:t xml:space="preserve"> </w:t>
      </w:r>
      <w:r>
        <w:rPr>
          <w:lang w:val="fr-FR"/>
        </w:rPr>
        <w:t>d</w:t>
      </w:r>
      <w:r w:rsidRPr="00A241BD">
        <w:rPr>
          <w:lang w:val="fr-FR"/>
        </w:rPr>
        <w:t>étection rapide d</w:t>
      </w:r>
      <w:r>
        <w:rPr>
          <w:lang w:val="fr-FR"/>
        </w:rPr>
        <w:t>’</w:t>
      </w:r>
      <w:r w:rsidRPr="00A241BD">
        <w:rPr>
          <w:lang w:val="fr-FR"/>
        </w:rPr>
        <w:t>allergènes génomiques (</w:t>
      </w:r>
      <w:proofErr w:type="spellStart"/>
      <w:r w:rsidRPr="00A241BD">
        <w:rPr>
          <w:lang w:val="fr-FR"/>
        </w:rPr>
        <w:t>GARD</w:t>
      </w:r>
      <w:r>
        <w:rPr>
          <w:lang w:val="fr-FR"/>
        </w:rPr>
        <w:t>potency</w:t>
      </w:r>
      <w:proofErr w:type="spellEnd"/>
      <w:r w:rsidRPr="00A241BD">
        <w:rPr>
          <w:lang w:val="fr-FR"/>
        </w:rPr>
        <w:t xml:space="preserve">) est un test </w:t>
      </w:r>
      <w:r w:rsidRPr="00A241BD">
        <w:rPr>
          <w:i/>
          <w:iCs/>
          <w:lang w:val="fr-FR"/>
        </w:rPr>
        <w:t xml:space="preserve">in vitro </w:t>
      </w:r>
      <w:r>
        <w:rPr>
          <w:lang w:val="fr-FR"/>
        </w:rPr>
        <w:t>fond</w:t>
      </w:r>
      <w:r w:rsidRPr="00A241BD">
        <w:rPr>
          <w:lang w:val="fr-FR"/>
        </w:rPr>
        <w:t>é sur la transcriptomique et portant sur l</w:t>
      </w:r>
      <w:r>
        <w:rPr>
          <w:lang w:val="fr-FR"/>
        </w:rPr>
        <w:t>e</w:t>
      </w:r>
      <w:r w:rsidRPr="00A241BD">
        <w:rPr>
          <w:lang w:val="fr-FR"/>
        </w:rPr>
        <w:t xml:space="preserve"> troisième </w:t>
      </w:r>
      <w:r>
        <w:rPr>
          <w:lang w:val="fr-FR"/>
        </w:rPr>
        <w:t xml:space="preserve">événement clé </w:t>
      </w:r>
      <w:r w:rsidRPr="00A241BD">
        <w:rPr>
          <w:lang w:val="fr-FR"/>
        </w:rPr>
        <w:t xml:space="preserve">de </w:t>
      </w:r>
      <w:r>
        <w:rPr>
          <w:lang w:val="fr-FR"/>
        </w:rPr>
        <w:t xml:space="preserve">la </w:t>
      </w:r>
      <w:r w:rsidRPr="004A79D8">
        <w:rPr>
          <w:lang w:val="fr-FR"/>
        </w:rPr>
        <w:t>voie toxicologique impliquée dans les effets indésirables</w:t>
      </w:r>
      <w:r>
        <w:rPr>
          <w:lang w:val="fr-FR"/>
        </w:rPr>
        <w:t xml:space="preserve"> pour </w:t>
      </w:r>
      <w:r w:rsidRPr="00A241BD">
        <w:rPr>
          <w:lang w:val="fr-FR"/>
        </w:rPr>
        <w:t xml:space="preserve">la sensibilisation cutanée (activation des cellules dendritiques), similaire au </w:t>
      </w:r>
      <w:r>
        <w:rPr>
          <w:lang w:val="fr-FR"/>
        </w:rPr>
        <w:t xml:space="preserve">test </w:t>
      </w:r>
      <w:proofErr w:type="spellStart"/>
      <w:r w:rsidRPr="00A241BD">
        <w:rPr>
          <w:lang w:val="fr-FR"/>
        </w:rPr>
        <w:t>GARDskin</w:t>
      </w:r>
      <w:proofErr w:type="spellEnd"/>
      <w:r w:rsidRPr="00A241BD">
        <w:rPr>
          <w:lang w:val="fr-FR"/>
        </w:rPr>
        <w:t xml:space="preserve"> mais utilisant une signature génétique différente qui permet de sous-catégoriser les sensibilisateurs cutanés (Gradin </w:t>
      </w:r>
      <w:r>
        <w:rPr>
          <w:lang w:val="fr-FR"/>
        </w:rPr>
        <w:t>et coll.</w:t>
      </w:r>
      <w:r w:rsidRPr="00A241BD">
        <w:rPr>
          <w:lang w:val="fr-FR"/>
        </w:rPr>
        <w:t>, 2020</w:t>
      </w:r>
      <w:r>
        <w:rPr>
          <w:lang w:val="fr-FR"/>
        </w:rPr>
        <w:t> ;</w:t>
      </w:r>
      <w:r w:rsidRPr="00A241BD">
        <w:rPr>
          <w:lang w:val="fr-FR"/>
        </w:rPr>
        <w:t xml:space="preserve"> Zeller </w:t>
      </w:r>
      <w:r>
        <w:rPr>
          <w:lang w:val="fr-FR"/>
        </w:rPr>
        <w:t>et coll.</w:t>
      </w:r>
      <w:r w:rsidRPr="00A241BD">
        <w:rPr>
          <w:lang w:val="fr-FR"/>
        </w:rPr>
        <w:t>, 2017</w:t>
      </w:r>
      <w:r>
        <w:rPr>
          <w:lang w:val="fr-FR"/>
        </w:rPr>
        <w:t> ;</w:t>
      </w:r>
      <w:r w:rsidRPr="00A241BD">
        <w:rPr>
          <w:lang w:val="fr-FR"/>
        </w:rPr>
        <w:t xml:space="preserve"> </w:t>
      </w:r>
      <w:proofErr w:type="spellStart"/>
      <w:r w:rsidRPr="00A241BD">
        <w:rPr>
          <w:lang w:val="fr-FR"/>
        </w:rPr>
        <w:t>Corsini</w:t>
      </w:r>
      <w:proofErr w:type="spellEnd"/>
      <w:r w:rsidRPr="00A241BD">
        <w:rPr>
          <w:lang w:val="fr-FR"/>
        </w:rPr>
        <w:t xml:space="preserve"> </w:t>
      </w:r>
      <w:r>
        <w:rPr>
          <w:lang w:val="fr-FR"/>
        </w:rPr>
        <w:t>et coll.,</w:t>
      </w:r>
      <w:r w:rsidRPr="00A241BD">
        <w:rPr>
          <w:lang w:val="fr-FR"/>
        </w:rPr>
        <w:t xml:space="preserve"> 2021)</w:t>
      </w:r>
      <w:r>
        <w:rPr>
          <w:lang w:val="fr-FR"/>
        </w:rPr>
        <w:t> ;</w:t>
      </w:r>
    </w:p>
    <w:p w14:paraId="5D958E87" w14:textId="77777777" w:rsidR="00B178A7" w:rsidRDefault="00B178A7" w:rsidP="005466FB">
      <w:pPr>
        <w:pStyle w:val="SingleTxtG"/>
        <w:ind w:left="2835" w:hanging="567"/>
        <w:rPr>
          <w:lang w:val="fr-FR"/>
        </w:rPr>
      </w:pPr>
      <w:r w:rsidRPr="00A241BD">
        <w:rPr>
          <w:lang w:val="fr-FR"/>
        </w:rPr>
        <w:t>b)</w:t>
      </w:r>
      <w:r w:rsidRPr="00A241BD">
        <w:rPr>
          <w:lang w:val="fr-FR"/>
        </w:rPr>
        <w:tab/>
        <w:t xml:space="preserve">Le test SENS-IS est une </w:t>
      </w:r>
      <w:r>
        <w:rPr>
          <w:lang w:val="fr-FR"/>
        </w:rPr>
        <w:t>méthode</w:t>
      </w:r>
      <w:r w:rsidRPr="00A241BD">
        <w:rPr>
          <w:lang w:val="fr-FR"/>
        </w:rPr>
        <w:t xml:space="preserve"> génomique appliquée à un épiderme humain reconstitué (RHE) (</w:t>
      </w:r>
      <w:proofErr w:type="spellStart"/>
      <w:r w:rsidRPr="00A241BD">
        <w:rPr>
          <w:lang w:val="fr-FR"/>
        </w:rPr>
        <w:t>Cottrez</w:t>
      </w:r>
      <w:proofErr w:type="spellEnd"/>
      <w:r w:rsidRPr="00A241BD">
        <w:rPr>
          <w:lang w:val="fr-FR"/>
        </w:rPr>
        <w:t xml:space="preserve"> </w:t>
      </w:r>
      <w:r>
        <w:rPr>
          <w:lang w:val="fr-FR"/>
        </w:rPr>
        <w:t>et coll.</w:t>
      </w:r>
      <w:r w:rsidRPr="00A241BD">
        <w:rPr>
          <w:lang w:val="fr-FR"/>
        </w:rPr>
        <w:t>, 2015</w:t>
      </w:r>
      <w:r>
        <w:rPr>
          <w:lang w:val="fr-FR"/>
        </w:rPr>
        <w:t> ;</w:t>
      </w:r>
      <w:r w:rsidRPr="00A241BD">
        <w:rPr>
          <w:lang w:val="fr-FR"/>
        </w:rPr>
        <w:t xml:space="preserve"> </w:t>
      </w:r>
      <w:proofErr w:type="spellStart"/>
      <w:r w:rsidRPr="00A241BD">
        <w:rPr>
          <w:lang w:val="fr-FR"/>
        </w:rPr>
        <w:t>Cottrez</w:t>
      </w:r>
      <w:proofErr w:type="spellEnd"/>
      <w:r w:rsidRPr="00A241BD">
        <w:rPr>
          <w:lang w:val="fr-FR"/>
        </w:rPr>
        <w:t xml:space="preserve"> </w:t>
      </w:r>
      <w:r>
        <w:rPr>
          <w:lang w:val="fr-FR"/>
        </w:rPr>
        <w:t>et coll.</w:t>
      </w:r>
      <w:r w:rsidRPr="00A241BD">
        <w:rPr>
          <w:lang w:val="fr-FR"/>
        </w:rPr>
        <w:t>, 2016)</w:t>
      </w:r>
      <w:r>
        <w:rPr>
          <w:lang w:val="fr-FR"/>
        </w:rPr>
        <w:t> ;</w:t>
      </w:r>
    </w:p>
    <w:p w14:paraId="4D89BFDD" w14:textId="77777777" w:rsidR="00B178A7" w:rsidRPr="00A241BD" w:rsidRDefault="00B178A7" w:rsidP="005466FB">
      <w:pPr>
        <w:pStyle w:val="SingleTxtG"/>
        <w:ind w:left="2835" w:hanging="567"/>
        <w:rPr>
          <w:lang w:val="fr-FR"/>
        </w:rPr>
      </w:pPr>
      <w:r w:rsidRPr="00A241BD">
        <w:rPr>
          <w:lang w:val="fr-FR"/>
        </w:rPr>
        <w:t>c)</w:t>
      </w:r>
      <w:r w:rsidRPr="00A241BD">
        <w:rPr>
          <w:lang w:val="fr-FR"/>
        </w:rPr>
        <w:tab/>
        <w:t xml:space="preserve">Le test de sensibilisation épidermique </w:t>
      </w:r>
      <w:proofErr w:type="spellStart"/>
      <w:r w:rsidRPr="00A241BD">
        <w:rPr>
          <w:lang w:val="fr-FR"/>
        </w:rPr>
        <w:t>EpisensA</w:t>
      </w:r>
      <w:proofErr w:type="spellEnd"/>
      <w:r>
        <w:rPr>
          <w:lang w:val="fr-FR"/>
        </w:rPr>
        <w:t xml:space="preserve"> </w:t>
      </w:r>
      <w:r w:rsidRPr="00A241BD">
        <w:rPr>
          <w:lang w:val="fr-FR"/>
        </w:rPr>
        <w:t>est basé sur la mesure de l</w:t>
      </w:r>
      <w:r>
        <w:rPr>
          <w:lang w:val="fr-FR"/>
        </w:rPr>
        <w:t xml:space="preserve">a </w:t>
      </w:r>
      <w:r w:rsidRPr="00A241BD">
        <w:rPr>
          <w:lang w:val="fr-FR"/>
        </w:rPr>
        <w:t>r</w:t>
      </w:r>
      <w:r>
        <w:rPr>
          <w:lang w:val="fr-FR"/>
        </w:rPr>
        <w:t>é</w:t>
      </w:r>
      <w:r w:rsidRPr="00A241BD">
        <w:rPr>
          <w:lang w:val="fr-FR"/>
        </w:rPr>
        <w:t xml:space="preserve">gulation </w:t>
      </w:r>
      <w:r>
        <w:rPr>
          <w:lang w:val="fr-FR"/>
        </w:rPr>
        <w:t xml:space="preserve">positive </w:t>
      </w:r>
      <w:r w:rsidRPr="00A241BD">
        <w:rPr>
          <w:lang w:val="fr-FR"/>
        </w:rPr>
        <w:t>de quatre gènes dans un épiderme humain reconstruit (</w:t>
      </w:r>
      <w:proofErr w:type="spellStart"/>
      <w:r w:rsidRPr="00A241BD">
        <w:rPr>
          <w:lang w:val="fr-FR"/>
        </w:rPr>
        <w:t>RhE</w:t>
      </w:r>
      <w:proofErr w:type="spellEnd"/>
      <w:r w:rsidRPr="00A241BD">
        <w:rPr>
          <w:lang w:val="fr-FR"/>
        </w:rPr>
        <w:t xml:space="preserve">) pour discriminer les sensibilisateurs des non-sensibilisateurs (Saito </w:t>
      </w:r>
      <w:r>
        <w:rPr>
          <w:lang w:val="fr-FR"/>
        </w:rPr>
        <w:t>et coll.</w:t>
      </w:r>
      <w:r w:rsidRPr="00A241BD">
        <w:rPr>
          <w:lang w:val="fr-FR"/>
        </w:rPr>
        <w:t>, 2017).</w:t>
      </w:r>
    </w:p>
    <w:p w14:paraId="38924D90" w14:textId="77777777" w:rsidR="00B178A7" w:rsidRPr="00A241BD" w:rsidRDefault="00B178A7" w:rsidP="004915E5">
      <w:pPr>
        <w:pStyle w:val="SingleTxtG"/>
        <w:keepNext/>
        <w:ind w:left="2268" w:hanging="1134"/>
        <w:jc w:val="left"/>
        <w:rPr>
          <w:i/>
          <w:iCs/>
          <w:lang w:val="fr-FR"/>
        </w:rPr>
      </w:pPr>
      <w:r w:rsidRPr="00A241BD">
        <w:rPr>
          <w:lang w:val="fr-FR"/>
        </w:rPr>
        <w:t>3.4.5.3.7</w:t>
      </w:r>
      <w:r>
        <w:rPr>
          <w:lang w:val="fr-FR"/>
        </w:rPr>
        <w:tab/>
      </w:r>
      <w:r w:rsidRPr="00A241BD">
        <w:rPr>
          <w:bCs/>
          <w:i/>
          <w:iCs/>
          <w:lang w:val="fr-FR"/>
        </w:rPr>
        <w:t xml:space="preserve">Orientations </w:t>
      </w:r>
      <w:r w:rsidRPr="00A241BD">
        <w:rPr>
          <w:i/>
          <w:iCs/>
          <w:lang w:val="fr-FR"/>
        </w:rPr>
        <w:t>sur l</w:t>
      </w:r>
      <w:r>
        <w:rPr>
          <w:i/>
          <w:iCs/>
          <w:lang w:val="fr-FR"/>
        </w:rPr>
        <w:t>’</w:t>
      </w:r>
      <w:r w:rsidRPr="00A241BD">
        <w:rPr>
          <w:i/>
          <w:iCs/>
          <w:lang w:val="fr-FR"/>
        </w:rPr>
        <w:t>évaluation d</w:t>
      </w:r>
      <w:r>
        <w:rPr>
          <w:i/>
          <w:iCs/>
          <w:lang w:val="fr-FR"/>
        </w:rPr>
        <w:t>e</w:t>
      </w:r>
      <w:r w:rsidRPr="000A748D">
        <w:rPr>
          <w:lang w:val="fr-FR"/>
        </w:rPr>
        <w:t xml:space="preserve"> </w:t>
      </w:r>
      <w:r w:rsidRPr="000A748D">
        <w:rPr>
          <w:i/>
          <w:iCs/>
          <w:lang w:val="fr-FR"/>
        </w:rPr>
        <w:t>la force probante des données</w:t>
      </w:r>
    </w:p>
    <w:p w14:paraId="5FB663B4" w14:textId="66C85025" w:rsidR="00B178A7" w:rsidRPr="00A241BD" w:rsidRDefault="00B178A7" w:rsidP="005466FB">
      <w:pPr>
        <w:pStyle w:val="SingleTxtG"/>
        <w:ind w:left="2268"/>
        <w:rPr>
          <w:lang w:val="fr-FR"/>
        </w:rPr>
      </w:pPr>
      <w:r w:rsidRPr="00A241BD">
        <w:rPr>
          <w:lang w:val="fr-FR"/>
        </w:rPr>
        <w:t>Dans certaines situations où plusieurs résultats de méthodes</w:t>
      </w:r>
      <w:r w:rsidRPr="000A24D6">
        <w:rPr>
          <w:lang w:val="fr-FR"/>
        </w:rPr>
        <w:t xml:space="preserve"> </w:t>
      </w:r>
      <w:r>
        <w:rPr>
          <w:lang w:val="fr-FR"/>
        </w:rPr>
        <w:t>fondées ou</w:t>
      </w:r>
      <w:r w:rsidRPr="000A24D6">
        <w:rPr>
          <w:lang w:val="fr-FR"/>
        </w:rPr>
        <w:t xml:space="preserve"> non sur des essais</w:t>
      </w:r>
      <w:r w:rsidRPr="00A241BD">
        <w:rPr>
          <w:lang w:val="fr-FR"/>
        </w:rPr>
        <w:t xml:space="preserve"> sont disponibles et en désaccord les uns avec les autres en ce qui concerne </w:t>
      </w:r>
      <w:r>
        <w:rPr>
          <w:lang w:val="fr-FR"/>
        </w:rPr>
        <w:t>le classement qui en découle</w:t>
      </w:r>
      <w:r w:rsidRPr="00A241BD">
        <w:rPr>
          <w:lang w:val="fr-FR"/>
        </w:rPr>
        <w:t xml:space="preserve">, </w:t>
      </w:r>
      <w:r>
        <w:rPr>
          <w:lang w:val="fr-FR"/>
        </w:rPr>
        <w:t>la méthode</w:t>
      </w:r>
      <w:r w:rsidRPr="00A241BD">
        <w:rPr>
          <w:lang w:val="fr-FR"/>
        </w:rPr>
        <w:t xml:space="preserve"> de </w:t>
      </w:r>
      <w:r>
        <w:rPr>
          <w:lang w:val="fr-FR"/>
        </w:rPr>
        <w:t xml:space="preserve">classement </w:t>
      </w:r>
      <w:r w:rsidRPr="00A241BD">
        <w:rPr>
          <w:lang w:val="fr-FR"/>
        </w:rPr>
        <w:t xml:space="preserve">par </w:t>
      </w:r>
      <w:r>
        <w:rPr>
          <w:lang w:val="fr-FR"/>
        </w:rPr>
        <w:t>étapes</w:t>
      </w:r>
      <w:r w:rsidRPr="00A55B2B">
        <w:rPr>
          <w:lang w:val="fr-FR"/>
        </w:rPr>
        <w:t xml:space="preserve"> </w:t>
      </w:r>
      <w:r>
        <w:rPr>
          <w:rFonts w:eastAsiaTheme="minorEastAsia"/>
          <w:lang w:val="fr-FR"/>
        </w:rPr>
        <w:t>en ce qui concerne</w:t>
      </w:r>
      <w:r w:rsidRPr="00A241BD">
        <w:rPr>
          <w:lang w:val="fr-FR"/>
        </w:rPr>
        <w:t xml:space="preserve"> la sensibilisation cutanée nécessite une évaluation d</w:t>
      </w:r>
      <w:r>
        <w:rPr>
          <w:lang w:val="fr-FR"/>
        </w:rPr>
        <w:t>e</w:t>
      </w:r>
      <w:r w:rsidRPr="00840DC4">
        <w:rPr>
          <w:bCs/>
          <w:lang w:val="fr-FR"/>
        </w:rPr>
        <w:t xml:space="preserve"> </w:t>
      </w:r>
      <w:r w:rsidRPr="00A241BD">
        <w:rPr>
          <w:bCs/>
          <w:lang w:val="fr-FR"/>
        </w:rPr>
        <w:t>l</w:t>
      </w:r>
      <w:r>
        <w:rPr>
          <w:bCs/>
          <w:lang w:val="fr-FR"/>
        </w:rPr>
        <w:t>a</w:t>
      </w:r>
      <w:r w:rsidRPr="00A241BD">
        <w:rPr>
          <w:bCs/>
          <w:lang w:val="fr-FR"/>
        </w:rPr>
        <w:t xml:space="preserve"> </w:t>
      </w:r>
      <w:r w:rsidRPr="0063183B">
        <w:rPr>
          <w:bCs/>
          <w:lang w:val="fr-FR"/>
        </w:rPr>
        <w:t>force probante des données</w:t>
      </w:r>
      <w:r w:rsidRPr="00A241BD">
        <w:rPr>
          <w:lang w:val="fr-FR"/>
        </w:rPr>
        <w:t>.</w:t>
      </w:r>
      <w:r>
        <w:rPr>
          <w:lang w:val="fr-FR"/>
        </w:rPr>
        <w:t> ».</w:t>
      </w:r>
    </w:p>
    <w:p w14:paraId="731BDAC9" w14:textId="29496F2E" w:rsidR="00B178A7" w:rsidRPr="00A241BD" w:rsidRDefault="00B178A7" w:rsidP="00876D61">
      <w:pPr>
        <w:pStyle w:val="SingleTxtG"/>
        <w:rPr>
          <w:lang w:val="fr-FR"/>
        </w:rPr>
      </w:pPr>
      <w:r w:rsidRPr="00045808">
        <w:rPr>
          <w:i/>
          <w:iCs/>
          <w:lang w:val="fr-FR"/>
        </w:rPr>
        <w:t>Après le paragraphe 3.4.5.3.7</w:t>
      </w:r>
      <w:r w:rsidR="00DF7CF3">
        <w:rPr>
          <w:lang w:val="fr-FR"/>
        </w:rPr>
        <w:t xml:space="preserve">, </w:t>
      </w:r>
      <w:r w:rsidR="004915E5">
        <w:rPr>
          <w:lang w:val="fr-FR"/>
        </w:rPr>
        <w:t>a</w:t>
      </w:r>
      <w:r>
        <w:rPr>
          <w:lang w:val="fr-FR"/>
        </w:rPr>
        <w:t>jouter</w:t>
      </w:r>
      <w:r w:rsidRPr="00A241BD">
        <w:rPr>
          <w:lang w:val="fr-FR"/>
        </w:rPr>
        <w:t xml:space="preserve"> le</w:t>
      </w:r>
      <w:r>
        <w:rPr>
          <w:lang w:val="fr-FR"/>
        </w:rPr>
        <w:t xml:space="preserve"> </w:t>
      </w:r>
      <w:r w:rsidRPr="00A241BD">
        <w:rPr>
          <w:lang w:val="fr-FR"/>
        </w:rPr>
        <w:t xml:space="preserve">nouveau tableau 3.4.6, </w:t>
      </w:r>
      <w:r>
        <w:rPr>
          <w:lang w:val="fr-FR"/>
        </w:rPr>
        <w:t>ainsi conçu :</w:t>
      </w:r>
    </w:p>
    <w:p w14:paraId="54740C57" w14:textId="77777777" w:rsidR="00CE20CF" w:rsidRDefault="00CE20CF" w:rsidP="00AC3823">
      <w:pPr>
        <w:sectPr w:rsidR="00CE20CF" w:rsidSect="00664A4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14:paraId="61FAFA58" w14:textId="510FC7D8" w:rsidR="009E4B6D" w:rsidRPr="000C4435" w:rsidRDefault="009E4B6D" w:rsidP="000C4435">
      <w:pPr>
        <w:pStyle w:val="SingleTxtG"/>
        <w:ind w:left="2268" w:hanging="1134"/>
        <w:rPr>
          <w:b/>
          <w:lang w:val="fr-FR"/>
        </w:rPr>
      </w:pPr>
      <w:r>
        <w:rPr>
          <w:bCs/>
          <w:lang w:val="fr-FR"/>
        </w:rPr>
        <w:lastRenderedPageBreak/>
        <w:t>« </w:t>
      </w:r>
      <w:r w:rsidRPr="00A241BD">
        <w:rPr>
          <w:b/>
          <w:lang w:val="fr-FR"/>
        </w:rPr>
        <w:t>Tableau 3.4.6</w:t>
      </w:r>
      <w:r w:rsidR="000C4435">
        <w:rPr>
          <w:b/>
          <w:lang w:val="fr-FR"/>
        </w:rPr>
        <w:tab/>
      </w:r>
      <w:r w:rsidRPr="00A241BD">
        <w:rPr>
          <w:b/>
          <w:lang w:val="fr-FR"/>
        </w:rPr>
        <w:t xml:space="preserve">Critères pour les </w:t>
      </w:r>
      <w:r>
        <w:rPr>
          <w:b/>
          <w:lang w:val="fr-FR"/>
        </w:rPr>
        <w:t>méthodes définies</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7"/>
        <w:gridCol w:w="6421"/>
        <w:gridCol w:w="6200"/>
      </w:tblGrid>
      <w:tr w:rsidR="00521A81" w:rsidRPr="001E1F69" w14:paraId="79DA57ED" w14:textId="77777777" w:rsidTr="00F64E73">
        <w:trPr>
          <w:trHeight w:val="718"/>
        </w:trPr>
        <w:tc>
          <w:tcPr>
            <w:tcW w:w="1157" w:type="dxa"/>
            <w:vMerge w:val="restart"/>
            <w:tcBorders>
              <w:top w:val="single" w:sz="4" w:space="0" w:color="auto"/>
              <w:left w:val="single" w:sz="4" w:space="0" w:color="auto"/>
              <w:right w:val="single" w:sz="4" w:space="0" w:color="auto"/>
            </w:tcBorders>
            <w:tcMar>
              <w:top w:w="57" w:type="dxa"/>
              <w:left w:w="57" w:type="dxa"/>
              <w:bottom w:w="57" w:type="dxa"/>
              <w:right w:w="57" w:type="dxa"/>
            </w:tcMar>
            <w:hideMark/>
          </w:tcPr>
          <w:p w14:paraId="7462EF70" w14:textId="77777777" w:rsidR="00521A81" w:rsidRPr="001E1F69" w:rsidRDefault="00521A81" w:rsidP="001E1F69">
            <w:pPr>
              <w:spacing w:before="60" w:after="60" w:line="240" w:lineRule="auto"/>
              <w:ind w:left="57" w:right="57"/>
              <w:contextualSpacing/>
              <w:rPr>
                <w:b/>
                <w:sz w:val="18"/>
                <w:szCs w:val="18"/>
              </w:rPr>
            </w:pPr>
            <w:r w:rsidRPr="001E1F69">
              <w:rPr>
                <w:b/>
                <w:sz w:val="18"/>
                <w:szCs w:val="18"/>
              </w:rPr>
              <w:t>Catégorie</w:t>
            </w:r>
          </w:p>
        </w:tc>
        <w:tc>
          <w:tcPr>
            <w:tcW w:w="6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A3C54C2" w14:textId="0EA9266A" w:rsidR="00521A81" w:rsidRPr="001E1F69" w:rsidRDefault="00521A81" w:rsidP="001E1F69">
            <w:pPr>
              <w:spacing w:before="60" w:after="60" w:line="240" w:lineRule="auto"/>
              <w:ind w:left="57" w:right="57"/>
              <w:jc w:val="center"/>
              <w:rPr>
                <w:b/>
                <w:sz w:val="18"/>
                <w:szCs w:val="18"/>
              </w:rPr>
            </w:pPr>
            <w:r w:rsidRPr="001E1F69">
              <w:rPr>
                <w:b/>
                <w:sz w:val="18"/>
                <w:szCs w:val="18"/>
                <w:lang w:val="fr-FR"/>
              </w:rPr>
              <w:t xml:space="preserve">Ligne directrice 497 de l’OCDE sur les méthodes définies </w:t>
            </w:r>
            <w:r w:rsidR="004915E5">
              <w:rPr>
                <w:b/>
                <w:sz w:val="18"/>
                <w:szCs w:val="18"/>
                <w:lang w:val="fr-FR"/>
              </w:rPr>
              <w:br/>
            </w:r>
            <w:r w:rsidRPr="001E1F69">
              <w:rPr>
                <w:b/>
                <w:sz w:val="18"/>
                <w:szCs w:val="18"/>
                <w:lang w:val="fr-FR"/>
              </w:rPr>
              <w:t>en ce qui concerne la</w:t>
            </w:r>
            <w:r w:rsidR="004915E5">
              <w:rPr>
                <w:b/>
                <w:sz w:val="18"/>
                <w:szCs w:val="18"/>
                <w:lang w:val="fr-FR"/>
              </w:rPr>
              <w:t xml:space="preserve"> </w:t>
            </w:r>
            <w:r w:rsidRPr="001E1F69">
              <w:rPr>
                <w:b/>
                <w:sz w:val="18"/>
                <w:szCs w:val="18"/>
                <w:lang w:val="fr-FR"/>
              </w:rPr>
              <w:t>sensibilisation de la peau</w:t>
            </w:r>
            <w:r w:rsidRPr="001E1F69">
              <w:rPr>
                <w:b/>
                <w:sz w:val="18"/>
                <w:szCs w:val="18"/>
                <w:lang w:val="fr-FR"/>
              </w:rPr>
              <w:br/>
              <w:t xml:space="preserve">Méthode </w:t>
            </w:r>
            <w:r w:rsidRPr="001E1F69">
              <w:rPr>
                <w:b/>
                <w:sz w:val="18"/>
                <w:szCs w:val="18"/>
              </w:rPr>
              <w:t>définie « 2 sur 3 » (2o3)</w:t>
            </w:r>
          </w:p>
        </w:tc>
        <w:tc>
          <w:tcPr>
            <w:tcW w:w="6200" w:type="dxa"/>
            <w:tcBorders>
              <w:top w:val="single" w:sz="4" w:space="0" w:color="auto"/>
              <w:left w:val="single" w:sz="4" w:space="0" w:color="auto"/>
              <w:bottom w:val="single" w:sz="4" w:space="0" w:color="auto"/>
              <w:right w:val="single" w:sz="4" w:space="0" w:color="auto"/>
            </w:tcBorders>
          </w:tcPr>
          <w:p w14:paraId="44A7F121" w14:textId="08155DD3" w:rsidR="00521A81" w:rsidRPr="001E1F69" w:rsidRDefault="00521A81" w:rsidP="001E1F69">
            <w:pPr>
              <w:spacing w:before="60" w:after="60" w:line="240" w:lineRule="auto"/>
              <w:ind w:left="57" w:right="57"/>
              <w:jc w:val="center"/>
              <w:rPr>
                <w:b/>
                <w:sz w:val="18"/>
                <w:szCs w:val="18"/>
                <w:lang w:val="fr-FR"/>
              </w:rPr>
            </w:pPr>
            <w:r w:rsidRPr="001E1F69">
              <w:rPr>
                <w:b/>
                <w:sz w:val="18"/>
                <w:szCs w:val="18"/>
                <w:lang w:val="fr-FR"/>
              </w:rPr>
              <w:t xml:space="preserve">Ligne directrice 497 de l’OCDE sur les méthodes définies </w:t>
            </w:r>
            <w:r w:rsidR="00885D1D">
              <w:rPr>
                <w:b/>
                <w:sz w:val="18"/>
                <w:szCs w:val="18"/>
                <w:lang w:val="fr-FR"/>
              </w:rPr>
              <w:br/>
            </w:r>
            <w:r w:rsidRPr="001E1F69">
              <w:rPr>
                <w:b/>
                <w:sz w:val="18"/>
                <w:szCs w:val="18"/>
                <w:lang w:val="fr-FR"/>
              </w:rPr>
              <w:t>en ce qui concerne la</w:t>
            </w:r>
            <w:r w:rsidR="00885D1D">
              <w:rPr>
                <w:b/>
                <w:sz w:val="18"/>
                <w:szCs w:val="18"/>
                <w:lang w:val="fr-FR"/>
              </w:rPr>
              <w:t xml:space="preserve"> </w:t>
            </w:r>
            <w:r w:rsidRPr="001E1F69">
              <w:rPr>
                <w:b/>
                <w:sz w:val="18"/>
                <w:szCs w:val="18"/>
                <w:lang w:val="fr-FR"/>
              </w:rPr>
              <w:t>sensibilisation de la peau</w:t>
            </w:r>
            <w:r w:rsidRPr="001E1F69">
              <w:rPr>
                <w:b/>
                <w:sz w:val="18"/>
                <w:szCs w:val="18"/>
                <w:lang w:val="fr-FR"/>
              </w:rPr>
              <w:br/>
              <w:t xml:space="preserve">Méthode définie de stratégie d’essai intégrée ITSv1 </w:t>
            </w:r>
            <w:r w:rsidRPr="001E1F69">
              <w:rPr>
                <w:b/>
                <w:sz w:val="18"/>
                <w:szCs w:val="18"/>
                <w:lang w:val="fr-FR"/>
              </w:rPr>
              <w:br/>
              <w:t>et méthode définie de stratégie d’essai intégrée ITSv2</w:t>
            </w:r>
          </w:p>
        </w:tc>
      </w:tr>
      <w:tr w:rsidR="00521A81" w:rsidRPr="001E1F69" w14:paraId="6F33DE25" w14:textId="77777777" w:rsidTr="00F64E73">
        <w:tc>
          <w:tcPr>
            <w:tcW w:w="1157" w:type="dxa"/>
            <w:vMerge/>
            <w:tcBorders>
              <w:left w:val="single" w:sz="4" w:space="0" w:color="auto"/>
              <w:right w:val="single" w:sz="4" w:space="0" w:color="auto"/>
            </w:tcBorders>
            <w:vAlign w:val="center"/>
            <w:hideMark/>
          </w:tcPr>
          <w:p w14:paraId="486C103D" w14:textId="77777777" w:rsidR="00521A81" w:rsidRPr="001E1F69" w:rsidRDefault="00521A81" w:rsidP="001E1F69">
            <w:pPr>
              <w:spacing w:before="60" w:after="60" w:line="240" w:lineRule="auto"/>
              <w:ind w:left="57" w:right="57"/>
              <w:rPr>
                <w:sz w:val="18"/>
                <w:szCs w:val="18"/>
                <w:lang w:val="fr-FR"/>
              </w:rPr>
            </w:pPr>
          </w:p>
        </w:tc>
        <w:tc>
          <w:tcPr>
            <w:tcW w:w="6421"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66D6DB47" w14:textId="3A242B72" w:rsidR="00521A81" w:rsidRPr="001E1F69" w:rsidRDefault="00521A81" w:rsidP="001E1F69">
            <w:pPr>
              <w:spacing w:before="60" w:after="60" w:line="240" w:lineRule="auto"/>
              <w:ind w:left="57" w:right="57"/>
              <w:rPr>
                <w:sz w:val="18"/>
                <w:szCs w:val="18"/>
                <w:lang w:val="fr-FR"/>
              </w:rPr>
            </w:pPr>
            <w:r w:rsidRPr="001E1F69">
              <w:rPr>
                <w:b/>
                <w:bCs/>
                <w:sz w:val="18"/>
                <w:szCs w:val="18"/>
                <w:lang w:val="fr-FR"/>
              </w:rPr>
              <w:t xml:space="preserve">2o3 </w:t>
            </w:r>
            <w:r w:rsidRPr="001E1F69">
              <w:rPr>
                <w:sz w:val="18"/>
                <w:szCs w:val="18"/>
                <w:lang w:val="fr-FR"/>
              </w:rPr>
              <w:t xml:space="preserve">Méthode définie de détermination des risques de sensibilisation cutanée, fondée sur des essais </w:t>
            </w:r>
            <w:r w:rsidRPr="001E1F69">
              <w:rPr>
                <w:i/>
                <w:iCs/>
                <w:sz w:val="18"/>
                <w:szCs w:val="18"/>
                <w:lang w:val="fr-FR"/>
              </w:rPr>
              <w:t xml:space="preserve">in </w:t>
            </w:r>
            <w:proofErr w:type="spellStart"/>
            <w:r w:rsidRPr="001E1F69">
              <w:rPr>
                <w:i/>
                <w:iCs/>
                <w:sz w:val="18"/>
                <w:szCs w:val="18"/>
                <w:lang w:val="fr-FR"/>
              </w:rPr>
              <w:t>chemico</w:t>
            </w:r>
            <w:proofErr w:type="spellEnd"/>
            <w:r w:rsidRPr="001E1F69">
              <w:rPr>
                <w:i/>
                <w:iCs/>
                <w:sz w:val="18"/>
                <w:szCs w:val="18"/>
                <w:lang w:val="fr-FR"/>
              </w:rPr>
              <w:t xml:space="preserve"> </w:t>
            </w:r>
            <w:r w:rsidRPr="001E1F69">
              <w:rPr>
                <w:sz w:val="18"/>
                <w:szCs w:val="18"/>
                <w:lang w:val="fr-FR"/>
              </w:rPr>
              <w:t xml:space="preserve">(événement clé 1 </w:t>
            </w:r>
            <w:r w:rsidR="00885D1D">
              <w:rPr>
                <w:sz w:val="18"/>
                <w:szCs w:val="18"/>
                <w:lang w:val="fr-FR"/>
              </w:rPr>
              <w:t>−</w:t>
            </w:r>
            <w:r w:rsidRPr="001E1F69">
              <w:rPr>
                <w:sz w:val="18"/>
                <w:szCs w:val="18"/>
                <w:lang w:val="fr-FR"/>
              </w:rPr>
              <w:t xml:space="preserve"> essai de réactivité peptidique directe (KE1-DPRA)) et </w:t>
            </w:r>
            <w:r w:rsidRPr="001E1F69">
              <w:rPr>
                <w:i/>
                <w:iCs/>
                <w:sz w:val="18"/>
                <w:szCs w:val="18"/>
                <w:lang w:val="fr-FR"/>
              </w:rPr>
              <w:t xml:space="preserve">in vitro </w:t>
            </w:r>
            <w:r w:rsidRPr="001E1F69">
              <w:rPr>
                <w:sz w:val="18"/>
                <w:szCs w:val="18"/>
                <w:lang w:val="fr-FR"/>
              </w:rPr>
              <w:t xml:space="preserve">(événement clé 2 </w:t>
            </w:r>
            <w:r w:rsidR="00885D1D">
              <w:rPr>
                <w:sz w:val="18"/>
                <w:szCs w:val="18"/>
                <w:lang w:val="fr-FR"/>
              </w:rPr>
              <w:t>−</w:t>
            </w:r>
            <w:r w:rsidRPr="001E1F69">
              <w:rPr>
                <w:sz w:val="18"/>
                <w:szCs w:val="18"/>
                <w:lang w:val="fr-FR"/>
              </w:rPr>
              <w:t xml:space="preserve"> annexe IA des Ligne directrice 442D de l’OCDE, événement clé 3 </w:t>
            </w:r>
            <w:r w:rsidR="00885D1D">
              <w:rPr>
                <w:sz w:val="18"/>
                <w:szCs w:val="18"/>
                <w:lang w:val="fr-FR"/>
              </w:rPr>
              <w:t>−</w:t>
            </w:r>
            <w:r w:rsidRPr="001E1F69">
              <w:rPr>
                <w:sz w:val="18"/>
                <w:szCs w:val="18"/>
                <w:lang w:val="fr-FR"/>
              </w:rPr>
              <w:t xml:space="preserve"> essai d’activation de la lignée cellulaire humaine (KE3-h-CLAT))</w:t>
            </w:r>
          </w:p>
        </w:tc>
        <w:tc>
          <w:tcPr>
            <w:tcW w:w="6200" w:type="dxa"/>
            <w:tcBorders>
              <w:top w:val="single" w:sz="4" w:space="0" w:color="auto"/>
              <w:left w:val="single" w:sz="4" w:space="0" w:color="auto"/>
              <w:bottom w:val="nil"/>
              <w:right w:val="single" w:sz="4" w:space="0" w:color="auto"/>
            </w:tcBorders>
          </w:tcPr>
          <w:p w14:paraId="5BA71E8A" w14:textId="77777777" w:rsidR="00521A81" w:rsidRPr="001E1F69" w:rsidRDefault="00521A81" w:rsidP="001E1F69">
            <w:pPr>
              <w:spacing w:before="60" w:after="60" w:line="240" w:lineRule="auto"/>
              <w:ind w:left="57" w:right="57"/>
              <w:rPr>
                <w:sz w:val="18"/>
                <w:szCs w:val="18"/>
                <w:lang w:val="fr-FR"/>
              </w:rPr>
            </w:pPr>
            <w:r w:rsidRPr="001E1F69">
              <w:rPr>
                <w:b/>
                <w:bCs/>
                <w:sz w:val="18"/>
                <w:szCs w:val="18"/>
                <w:lang w:val="fr-FR"/>
              </w:rPr>
              <w:t xml:space="preserve">ITSv1 </w:t>
            </w:r>
            <w:r w:rsidRPr="001E1F69">
              <w:rPr>
                <w:sz w:val="18"/>
                <w:szCs w:val="18"/>
                <w:lang w:val="fr-FR"/>
              </w:rPr>
              <w:t>Méthode définie fondée</w:t>
            </w:r>
            <w:r w:rsidRPr="001E1F69">
              <w:rPr>
                <w:b/>
                <w:bCs/>
                <w:sz w:val="18"/>
                <w:szCs w:val="18"/>
                <w:lang w:val="fr-FR"/>
              </w:rPr>
              <w:t xml:space="preserve"> </w:t>
            </w:r>
            <w:r w:rsidRPr="001E1F69">
              <w:rPr>
                <w:sz w:val="18"/>
                <w:szCs w:val="18"/>
                <w:lang w:val="fr-FR"/>
              </w:rPr>
              <w:t xml:space="preserve">sur des données </w:t>
            </w:r>
            <w:r w:rsidRPr="001E1F69">
              <w:rPr>
                <w:i/>
                <w:iCs/>
                <w:sz w:val="18"/>
                <w:szCs w:val="18"/>
                <w:lang w:val="fr-FR"/>
              </w:rPr>
              <w:t xml:space="preserve">in </w:t>
            </w:r>
            <w:proofErr w:type="spellStart"/>
            <w:r w:rsidRPr="001E1F69">
              <w:rPr>
                <w:i/>
                <w:iCs/>
                <w:sz w:val="18"/>
                <w:szCs w:val="18"/>
                <w:lang w:val="fr-FR"/>
              </w:rPr>
              <w:t>chemico</w:t>
            </w:r>
            <w:proofErr w:type="spellEnd"/>
            <w:r w:rsidRPr="001E1F69">
              <w:rPr>
                <w:i/>
                <w:iCs/>
                <w:sz w:val="18"/>
                <w:szCs w:val="18"/>
                <w:lang w:val="fr-FR"/>
              </w:rPr>
              <w:t xml:space="preserve"> </w:t>
            </w:r>
            <w:r w:rsidRPr="001E1F69">
              <w:rPr>
                <w:sz w:val="18"/>
                <w:szCs w:val="18"/>
                <w:lang w:val="fr-FR"/>
              </w:rPr>
              <w:t xml:space="preserve">(KE1-DPRA) ou </w:t>
            </w:r>
            <w:r w:rsidRPr="001E1F69">
              <w:rPr>
                <w:i/>
                <w:iCs/>
                <w:sz w:val="18"/>
                <w:szCs w:val="18"/>
                <w:lang w:val="fr-FR"/>
              </w:rPr>
              <w:t xml:space="preserve">in vitro </w:t>
            </w:r>
            <w:r w:rsidRPr="001E1F69">
              <w:rPr>
                <w:sz w:val="18"/>
                <w:szCs w:val="18"/>
                <w:lang w:val="fr-FR"/>
              </w:rPr>
              <w:t xml:space="preserve">(KE3-h-CLAT), ou sur des prédictions </w:t>
            </w:r>
            <w:r w:rsidRPr="001E1F69">
              <w:rPr>
                <w:i/>
                <w:iCs/>
                <w:sz w:val="18"/>
                <w:szCs w:val="18"/>
                <w:lang w:val="fr-FR"/>
              </w:rPr>
              <w:t xml:space="preserve">in silico </w:t>
            </w:r>
            <w:r w:rsidRPr="001E1F69">
              <w:rPr>
                <w:sz w:val="18"/>
                <w:szCs w:val="18"/>
                <w:lang w:val="fr-FR"/>
              </w:rPr>
              <w:t>(Derek Nexus)</w:t>
            </w:r>
          </w:p>
          <w:p w14:paraId="3813EB3A" w14:textId="7EA7B2E7" w:rsidR="00521A81" w:rsidRPr="001E1F69" w:rsidRDefault="00521A81" w:rsidP="001E1F69">
            <w:pPr>
              <w:spacing w:before="60" w:after="60" w:line="240" w:lineRule="auto"/>
              <w:ind w:left="57" w:right="57"/>
              <w:rPr>
                <w:sz w:val="18"/>
                <w:szCs w:val="18"/>
                <w:lang w:val="fr-FR"/>
              </w:rPr>
            </w:pPr>
            <w:r w:rsidRPr="001E1F69">
              <w:rPr>
                <w:b/>
                <w:bCs/>
                <w:sz w:val="18"/>
                <w:szCs w:val="18"/>
                <w:lang w:val="fr-FR"/>
              </w:rPr>
              <w:t xml:space="preserve">ITSv2 </w:t>
            </w:r>
            <w:r w:rsidRPr="001E1F69">
              <w:rPr>
                <w:sz w:val="18"/>
                <w:szCs w:val="18"/>
                <w:lang w:val="fr-FR"/>
              </w:rPr>
              <w:t>Méthode définie fondée</w:t>
            </w:r>
            <w:r w:rsidRPr="001E1F69">
              <w:rPr>
                <w:b/>
                <w:bCs/>
                <w:sz w:val="18"/>
                <w:szCs w:val="18"/>
                <w:lang w:val="fr-FR"/>
              </w:rPr>
              <w:t xml:space="preserve"> </w:t>
            </w:r>
            <w:r w:rsidRPr="001E1F69">
              <w:rPr>
                <w:sz w:val="18"/>
                <w:szCs w:val="18"/>
                <w:lang w:val="fr-FR"/>
              </w:rPr>
              <w:t xml:space="preserve">sur des données </w:t>
            </w:r>
            <w:r w:rsidRPr="001E1F69">
              <w:rPr>
                <w:i/>
                <w:sz w:val="18"/>
                <w:szCs w:val="18"/>
                <w:lang w:val="fr-FR"/>
              </w:rPr>
              <w:t xml:space="preserve">in </w:t>
            </w:r>
            <w:proofErr w:type="spellStart"/>
            <w:r w:rsidRPr="001E1F69">
              <w:rPr>
                <w:i/>
                <w:sz w:val="18"/>
                <w:szCs w:val="18"/>
                <w:lang w:val="fr-FR"/>
              </w:rPr>
              <w:t>chemico</w:t>
            </w:r>
            <w:proofErr w:type="spellEnd"/>
            <w:r w:rsidRPr="001E1F69">
              <w:rPr>
                <w:i/>
                <w:sz w:val="18"/>
                <w:szCs w:val="18"/>
                <w:lang w:val="fr-FR"/>
              </w:rPr>
              <w:t xml:space="preserve"> </w:t>
            </w:r>
            <w:r w:rsidRPr="001E1F69">
              <w:rPr>
                <w:sz w:val="18"/>
                <w:szCs w:val="18"/>
                <w:lang w:val="fr-FR"/>
              </w:rPr>
              <w:t xml:space="preserve">(KE1-DPRA) ou </w:t>
            </w:r>
            <w:r w:rsidRPr="001E1F69">
              <w:rPr>
                <w:i/>
                <w:sz w:val="18"/>
                <w:szCs w:val="18"/>
                <w:lang w:val="fr-FR"/>
              </w:rPr>
              <w:t xml:space="preserve">in vitro </w:t>
            </w:r>
            <w:r w:rsidRPr="001E1F69">
              <w:rPr>
                <w:sz w:val="18"/>
                <w:szCs w:val="18"/>
                <w:lang w:val="fr-FR"/>
              </w:rPr>
              <w:t xml:space="preserve">(KE3 -h-CLAT), ou sur des prédictions </w:t>
            </w:r>
            <w:r w:rsidRPr="001E1F69">
              <w:rPr>
                <w:i/>
                <w:iCs/>
                <w:sz w:val="18"/>
                <w:szCs w:val="18"/>
                <w:lang w:val="fr-FR"/>
              </w:rPr>
              <w:t>in silico</w:t>
            </w:r>
            <w:r w:rsidRPr="001E1F69">
              <w:rPr>
                <w:sz w:val="18"/>
                <w:szCs w:val="18"/>
                <w:lang w:val="fr-FR"/>
              </w:rPr>
              <w:t xml:space="preserve"> (OECD QSAR Toolbox)</w:t>
            </w:r>
          </w:p>
        </w:tc>
      </w:tr>
      <w:tr w:rsidR="00521A81" w:rsidRPr="001E1F69" w14:paraId="6BB27EC7" w14:textId="77777777" w:rsidTr="00F64E73">
        <w:trPr>
          <w:trHeight w:val="353"/>
        </w:trPr>
        <w:tc>
          <w:tcPr>
            <w:tcW w:w="1157" w:type="dxa"/>
            <w:vMerge/>
            <w:tcBorders>
              <w:left w:val="single" w:sz="4" w:space="0" w:color="auto"/>
              <w:bottom w:val="single" w:sz="4" w:space="0" w:color="auto"/>
              <w:right w:val="single" w:sz="4" w:space="0" w:color="auto"/>
            </w:tcBorders>
            <w:tcMar>
              <w:top w:w="57" w:type="dxa"/>
              <w:left w:w="57" w:type="dxa"/>
              <w:bottom w:w="57" w:type="dxa"/>
              <w:right w:w="57" w:type="dxa"/>
            </w:tcMar>
          </w:tcPr>
          <w:p w14:paraId="58162DE3" w14:textId="77777777" w:rsidR="00521A81" w:rsidRPr="001E1F69" w:rsidRDefault="00521A81" w:rsidP="001E1F69">
            <w:pPr>
              <w:spacing w:before="60" w:after="60" w:line="240" w:lineRule="auto"/>
              <w:ind w:left="57" w:right="57"/>
              <w:jc w:val="center"/>
              <w:rPr>
                <w:b/>
                <w:bCs/>
                <w:sz w:val="18"/>
                <w:szCs w:val="18"/>
              </w:rPr>
            </w:pPr>
          </w:p>
        </w:tc>
        <w:tc>
          <w:tcPr>
            <w:tcW w:w="6421"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65EB453D" w14:textId="03002396" w:rsidR="00521A81" w:rsidRPr="001E1F69" w:rsidRDefault="00521A81" w:rsidP="001E1F69">
            <w:pPr>
              <w:spacing w:before="60" w:after="60" w:line="240" w:lineRule="auto"/>
              <w:ind w:left="57" w:right="57"/>
              <w:rPr>
                <w:sz w:val="18"/>
                <w:szCs w:val="18"/>
                <w:lang w:val="fr-FR"/>
              </w:rPr>
            </w:pPr>
            <w:r w:rsidRPr="001E1F69">
              <w:rPr>
                <w:sz w:val="18"/>
                <w:szCs w:val="18"/>
                <w:lang w:val="fr-FR"/>
              </w:rPr>
              <w:t xml:space="preserve">Des essais sont effectués pour deux événements clés et, si ces essais donnent des résultats cohérents, le produit chimique est classé comme sensibilisant ou non sensibilisant. Si les deux premiers essais donnent des résultats discordants, on procède à l’essai concernant l’événement clé restant. Le résultat global est basé sur les deux résultats concordants en tenant compte de la confiance dans les prédictions obtenues, comme décrit dans la </w:t>
            </w:r>
            <w:r w:rsidRPr="001E1F69">
              <w:rPr>
                <w:bCs/>
                <w:sz w:val="18"/>
                <w:szCs w:val="18"/>
                <w:lang w:val="fr-FR"/>
              </w:rPr>
              <w:t>Ligne directrice.</w:t>
            </w:r>
          </w:p>
        </w:tc>
        <w:tc>
          <w:tcPr>
            <w:tcW w:w="6200" w:type="dxa"/>
            <w:tcBorders>
              <w:top w:val="nil"/>
              <w:left w:val="single" w:sz="4" w:space="0" w:color="auto"/>
              <w:bottom w:val="single" w:sz="4" w:space="0" w:color="auto"/>
              <w:right w:val="single" w:sz="4" w:space="0" w:color="auto"/>
            </w:tcBorders>
          </w:tcPr>
          <w:p w14:paraId="0DCC24F5" w14:textId="26F32438" w:rsidR="00521A81" w:rsidRPr="001E1F69" w:rsidRDefault="00521A81" w:rsidP="001E1F69">
            <w:pPr>
              <w:spacing w:before="60" w:after="60" w:line="240" w:lineRule="auto"/>
              <w:ind w:left="57" w:right="57"/>
              <w:rPr>
                <w:sz w:val="18"/>
                <w:szCs w:val="18"/>
                <w:lang w:val="fr-FR"/>
              </w:rPr>
            </w:pPr>
            <w:r w:rsidRPr="001E1F69">
              <w:rPr>
                <w:sz w:val="18"/>
                <w:szCs w:val="18"/>
                <w:lang w:val="fr-FR"/>
              </w:rPr>
              <w:t>Les résultats quantitatifs des essais h-CLAT et DPRA sont convertis en un indice allant de</w:t>
            </w:r>
            <w:r w:rsidR="00BF3175">
              <w:rPr>
                <w:sz w:val="18"/>
                <w:szCs w:val="18"/>
                <w:lang w:val="fr-FR"/>
              </w:rPr>
              <w:t xml:space="preserve"> </w:t>
            </w:r>
            <w:r w:rsidRPr="001E1F69">
              <w:rPr>
                <w:sz w:val="18"/>
                <w:szCs w:val="18"/>
                <w:lang w:val="fr-FR"/>
              </w:rPr>
              <w:t xml:space="preserve">0 à 3. Pour la prédiction </w:t>
            </w:r>
            <w:r w:rsidRPr="001E1F69">
              <w:rPr>
                <w:i/>
                <w:sz w:val="18"/>
                <w:szCs w:val="18"/>
                <w:lang w:val="fr-FR"/>
              </w:rPr>
              <w:t xml:space="preserve">in silico </w:t>
            </w:r>
            <w:r w:rsidRPr="001E1F69">
              <w:rPr>
                <w:sz w:val="18"/>
                <w:szCs w:val="18"/>
                <w:lang w:val="fr-FR"/>
              </w:rPr>
              <w:t xml:space="preserve">(Derek ou test QSAR </w:t>
            </w:r>
            <w:proofErr w:type="spellStart"/>
            <w:r w:rsidRPr="001E1F69">
              <w:rPr>
                <w:sz w:val="18"/>
                <w:szCs w:val="18"/>
                <w:lang w:val="fr-FR"/>
              </w:rPr>
              <w:t>ToolBox</w:t>
            </w:r>
            <w:proofErr w:type="spellEnd"/>
            <w:r w:rsidRPr="001E1F69">
              <w:rPr>
                <w:sz w:val="18"/>
                <w:szCs w:val="18"/>
                <w:lang w:val="fr-FR"/>
              </w:rPr>
              <w:t xml:space="preserve"> de l’OCDE), un résultat positif se voit attribuer un indice de 1 ; un résultat négatif se voit attribuer un indice de 0. Une fois que ces indices ont été évalués, un indice total de la batterie allant de 0 à</w:t>
            </w:r>
            <w:r w:rsidR="00BF3175">
              <w:rPr>
                <w:sz w:val="18"/>
                <w:szCs w:val="18"/>
                <w:lang w:val="fr-FR"/>
              </w:rPr>
              <w:t xml:space="preserve"> </w:t>
            </w:r>
            <w:r w:rsidRPr="001E1F69">
              <w:rPr>
                <w:sz w:val="18"/>
                <w:szCs w:val="18"/>
                <w:lang w:val="fr-FR"/>
              </w:rPr>
              <w:t>7, calculé en additionnant les scores individuels, est utilisé pour prédire la capacité de sensibilisation (détermination du danger ; catégorie 1 du SGH ou</w:t>
            </w:r>
            <w:r w:rsidR="000A15C2">
              <w:rPr>
                <w:sz w:val="18"/>
                <w:szCs w:val="18"/>
                <w:lang w:val="fr-FR"/>
              </w:rPr>
              <w:t xml:space="preserve"> </w:t>
            </w:r>
            <w:r w:rsidRPr="001E1F69">
              <w:rPr>
                <w:sz w:val="18"/>
                <w:szCs w:val="18"/>
                <w:lang w:val="fr-FR"/>
              </w:rPr>
              <w:t>non-classification) et l’activité sensibilisante (catégories</w:t>
            </w:r>
            <w:r w:rsidR="001231A3">
              <w:rPr>
                <w:sz w:val="18"/>
                <w:szCs w:val="18"/>
                <w:lang w:val="fr-FR"/>
              </w:rPr>
              <w:t> </w:t>
            </w:r>
            <w:r w:rsidRPr="001E1F69">
              <w:rPr>
                <w:sz w:val="18"/>
                <w:szCs w:val="18"/>
                <w:lang w:val="fr-FR"/>
              </w:rPr>
              <w:t>1A ou 1B du SGH ou non-classification).</w:t>
            </w:r>
          </w:p>
        </w:tc>
      </w:tr>
      <w:tr w:rsidR="009E4B6D" w:rsidRPr="001E1F69" w14:paraId="341559E1" w14:textId="77777777" w:rsidTr="00521A81">
        <w:trPr>
          <w:trHeight w:val="353"/>
        </w:trPr>
        <w:tc>
          <w:tcPr>
            <w:tcW w:w="11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DE159F" w14:textId="77777777" w:rsidR="009E4B6D" w:rsidRPr="001E1F69" w:rsidRDefault="009E4B6D" w:rsidP="001E1F69">
            <w:pPr>
              <w:spacing w:before="60" w:after="60" w:line="240" w:lineRule="auto"/>
              <w:ind w:left="57" w:right="57"/>
              <w:jc w:val="center"/>
              <w:rPr>
                <w:b/>
                <w:bCs/>
                <w:sz w:val="18"/>
                <w:szCs w:val="18"/>
              </w:rPr>
            </w:pPr>
            <w:r w:rsidRPr="001E1F69">
              <w:rPr>
                <w:b/>
                <w:bCs/>
                <w:sz w:val="18"/>
                <w:szCs w:val="18"/>
              </w:rPr>
              <w:t>1</w:t>
            </w:r>
          </w:p>
        </w:tc>
        <w:tc>
          <w:tcPr>
            <w:tcW w:w="6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F0490E" w14:textId="77777777" w:rsidR="009E4B6D" w:rsidRPr="001E1F69" w:rsidRDefault="009E4B6D" w:rsidP="001E1F69">
            <w:pPr>
              <w:spacing w:before="60" w:after="60" w:line="240" w:lineRule="auto"/>
              <w:ind w:left="57" w:right="57"/>
              <w:rPr>
                <w:sz w:val="18"/>
                <w:szCs w:val="18"/>
                <w:lang w:val="fr-FR"/>
              </w:rPr>
            </w:pPr>
            <w:r w:rsidRPr="001E1F69">
              <w:rPr>
                <w:sz w:val="18"/>
                <w:szCs w:val="18"/>
                <w:lang w:val="fr-FR"/>
              </w:rPr>
              <w:t xml:space="preserve">2 prédictions positives sur 3 ou 3 sur 3 </w:t>
            </w:r>
          </w:p>
        </w:tc>
        <w:tc>
          <w:tcPr>
            <w:tcW w:w="6200" w:type="dxa"/>
            <w:tcBorders>
              <w:top w:val="single" w:sz="4" w:space="0" w:color="auto"/>
              <w:left w:val="single" w:sz="4" w:space="0" w:color="auto"/>
              <w:bottom w:val="single" w:sz="4" w:space="0" w:color="auto"/>
              <w:right w:val="single" w:sz="4" w:space="0" w:color="auto"/>
            </w:tcBorders>
          </w:tcPr>
          <w:p w14:paraId="422F8530" w14:textId="72F95903" w:rsidR="009E4B6D" w:rsidRPr="001E1F69" w:rsidRDefault="009E4B6D" w:rsidP="001E1F69">
            <w:pPr>
              <w:spacing w:before="60" w:after="60" w:line="240" w:lineRule="auto"/>
              <w:ind w:left="57" w:right="57"/>
              <w:rPr>
                <w:sz w:val="18"/>
                <w:szCs w:val="18"/>
                <w:lang w:val="fr-FR"/>
              </w:rPr>
            </w:pPr>
            <w:r w:rsidRPr="001E1F69">
              <w:rPr>
                <w:sz w:val="18"/>
                <w:szCs w:val="18"/>
                <w:lang w:val="fr-FR"/>
              </w:rPr>
              <w:t>Indice total de la batterie ≥2</w:t>
            </w:r>
          </w:p>
        </w:tc>
      </w:tr>
      <w:tr w:rsidR="009E4B6D" w:rsidRPr="001E1F69" w14:paraId="3E2A49DB" w14:textId="77777777" w:rsidTr="00521A81">
        <w:trPr>
          <w:trHeight w:val="20"/>
        </w:trPr>
        <w:tc>
          <w:tcPr>
            <w:tcW w:w="11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225E59B" w14:textId="77777777" w:rsidR="009E4B6D" w:rsidRPr="001E1F69" w:rsidRDefault="009E4B6D" w:rsidP="001E1F69">
            <w:pPr>
              <w:spacing w:before="60" w:after="60" w:line="240" w:lineRule="auto"/>
              <w:ind w:left="57" w:right="57"/>
              <w:jc w:val="center"/>
              <w:rPr>
                <w:b/>
                <w:bCs/>
                <w:sz w:val="18"/>
                <w:szCs w:val="18"/>
              </w:rPr>
            </w:pPr>
            <w:r w:rsidRPr="001E1F69">
              <w:rPr>
                <w:b/>
                <w:bCs/>
                <w:sz w:val="18"/>
                <w:szCs w:val="18"/>
              </w:rPr>
              <w:t>1A</w:t>
            </w:r>
          </w:p>
        </w:tc>
        <w:tc>
          <w:tcPr>
            <w:tcW w:w="6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E62F1E" w14:textId="77777777" w:rsidR="009E4B6D" w:rsidRPr="001E1F69" w:rsidRDefault="009E4B6D" w:rsidP="001E1F69">
            <w:pPr>
              <w:spacing w:before="60" w:after="60" w:line="240" w:lineRule="auto"/>
              <w:ind w:left="57" w:right="57"/>
              <w:rPr>
                <w:sz w:val="18"/>
                <w:szCs w:val="18"/>
              </w:rPr>
            </w:pPr>
            <w:r w:rsidRPr="001E1F69">
              <w:rPr>
                <w:sz w:val="18"/>
                <w:szCs w:val="18"/>
              </w:rPr>
              <w:t>Sans objet</w:t>
            </w:r>
          </w:p>
        </w:tc>
        <w:tc>
          <w:tcPr>
            <w:tcW w:w="6200" w:type="dxa"/>
            <w:tcBorders>
              <w:top w:val="single" w:sz="4" w:space="0" w:color="auto"/>
              <w:left w:val="single" w:sz="4" w:space="0" w:color="auto"/>
              <w:bottom w:val="single" w:sz="4" w:space="0" w:color="auto"/>
              <w:right w:val="single" w:sz="4" w:space="0" w:color="auto"/>
            </w:tcBorders>
          </w:tcPr>
          <w:p w14:paraId="03AA7A81" w14:textId="77777777" w:rsidR="009E4B6D" w:rsidRPr="001E1F69" w:rsidRDefault="009E4B6D" w:rsidP="001E1F69">
            <w:pPr>
              <w:spacing w:before="60" w:after="60" w:line="240" w:lineRule="auto"/>
              <w:ind w:left="57" w:right="57"/>
              <w:rPr>
                <w:sz w:val="18"/>
                <w:szCs w:val="18"/>
                <w:lang w:val="fr-FR"/>
              </w:rPr>
            </w:pPr>
            <w:r w:rsidRPr="001E1F69">
              <w:rPr>
                <w:sz w:val="18"/>
                <w:szCs w:val="18"/>
                <w:lang w:val="fr-FR"/>
              </w:rPr>
              <w:t>Indice total de la batterie 6-7</w:t>
            </w:r>
          </w:p>
        </w:tc>
      </w:tr>
      <w:tr w:rsidR="009E4B6D" w:rsidRPr="001E1F69" w14:paraId="576ADB6A" w14:textId="77777777" w:rsidTr="00521A81">
        <w:trPr>
          <w:trHeight w:val="20"/>
        </w:trPr>
        <w:tc>
          <w:tcPr>
            <w:tcW w:w="11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76029BA" w14:textId="77777777" w:rsidR="009E4B6D" w:rsidRPr="001E1F69" w:rsidRDefault="009E4B6D" w:rsidP="001E1F69">
            <w:pPr>
              <w:spacing w:before="60" w:after="60" w:line="240" w:lineRule="auto"/>
              <w:ind w:left="57" w:right="57"/>
              <w:jc w:val="center"/>
              <w:rPr>
                <w:b/>
                <w:bCs/>
                <w:sz w:val="18"/>
                <w:szCs w:val="18"/>
              </w:rPr>
            </w:pPr>
            <w:r w:rsidRPr="001E1F69">
              <w:rPr>
                <w:b/>
                <w:bCs/>
                <w:sz w:val="18"/>
                <w:szCs w:val="18"/>
              </w:rPr>
              <w:t>1B</w:t>
            </w:r>
          </w:p>
        </w:tc>
        <w:tc>
          <w:tcPr>
            <w:tcW w:w="6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F2DB63D" w14:textId="77777777" w:rsidR="009E4B6D" w:rsidRPr="001E1F69" w:rsidRDefault="009E4B6D" w:rsidP="001E1F69">
            <w:pPr>
              <w:spacing w:before="60" w:after="60" w:line="240" w:lineRule="auto"/>
              <w:ind w:left="57" w:right="57"/>
              <w:rPr>
                <w:sz w:val="18"/>
                <w:szCs w:val="18"/>
              </w:rPr>
            </w:pPr>
            <w:r w:rsidRPr="001E1F69">
              <w:rPr>
                <w:sz w:val="18"/>
                <w:szCs w:val="18"/>
              </w:rPr>
              <w:t>Sans objet</w:t>
            </w:r>
          </w:p>
        </w:tc>
        <w:tc>
          <w:tcPr>
            <w:tcW w:w="6200" w:type="dxa"/>
            <w:tcBorders>
              <w:top w:val="single" w:sz="4" w:space="0" w:color="auto"/>
              <w:left w:val="single" w:sz="4" w:space="0" w:color="auto"/>
              <w:bottom w:val="single" w:sz="4" w:space="0" w:color="auto"/>
              <w:right w:val="single" w:sz="4" w:space="0" w:color="auto"/>
            </w:tcBorders>
          </w:tcPr>
          <w:p w14:paraId="57B50AC4" w14:textId="77777777" w:rsidR="009E4B6D" w:rsidRPr="001E1F69" w:rsidRDefault="009E4B6D" w:rsidP="001E1F69">
            <w:pPr>
              <w:spacing w:before="60" w:after="60" w:line="240" w:lineRule="auto"/>
              <w:ind w:left="57" w:right="57"/>
              <w:rPr>
                <w:sz w:val="18"/>
                <w:szCs w:val="18"/>
                <w:lang w:val="fr-FR"/>
              </w:rPr>
            </w:pPr>
            <w:r w:rsidRPr="001E1F69">
              <w:rPr>
                <w:sz w:val="18"/>
                <w:szCs w:val="18"/>
                <w:lang w:val="fr-FR"/>
              </w:rPr>
              <w:t>Indice total de la batterie 2-5</w:t>
            </w:r>
          </w:p>
        </w:tc>
      </w:tr>
      <w:tr w:rsidR="009E4B6D" w:rsidRPr="001E1F69" w14:paraId="0CB6C487" w14:textId="77777777" w:rsidTr="00521A81">
        <w:trPr>
          <w:trHeight w:val="20"/>
        </w:trPr>
        <w:tc>
          <w:tcPr>
            <w:tcW w:w="11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706606" w14:textId="77777777" w:rsidR="009E4B6D" w:rsidRPr="001E1F69" w:rsidRDefault="009E4B6D" w:rsidP="001E1F69">
            <w:pPr>
              <w:spacing w:before="60" w:after="60" w:line="240" w:lineRule="auto"/>
              <w:ind w:left="57" w:right="57"/>
              <w:jc w:val="center"/>
              <w:rPr>
                <w:b/>
                <w:bCs/>
                <w:sz w:val="18"/>
                <w:szCs w:val="18"/>
              </w:rPr>
            </w:pPr>
            <w:r w:rsidRPr="001E1F69">
              <w:rPr>
                <w:b/>
                <w:bCs/>
                <w:sz w:val="18"/>
                <w:szCs w:val="18"/>
              </w:rPr>
              <w:t>Substance non classée</w:t>
            </w:r>
          </w:p>
        </w:tc>
        <w:tc>
          <w:tcPr>
            <w:tcW w:w="6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06B8F7" w14:textId="77777777" w:rsidR="009E4B6D" w:rsidRPr="001E1F69" w:rsidRDefault="009E4B6D" w:rsidP="001E1F69">
            <w:pPr>
              <w:spacing w:before="60" w:after="60" w:line="240" w:lineRule="auto"/>
              <w:ind w:left="57" w:right="57"/>
              <w:rPr>
                <w:sz w:val="18"/>
                <w:szCs w:val="18"/>
                <w:lang w:val="fr-FR"/>
              </w:rPr>
            </w:pPr>
            <w:r w:rsidRPr="001E1F69">
              <w:rPr>
                <w:sz w:val="18"/>
                <w:szCs w:val="18"/>
                <w:lang w:val="fr-FR"/>
              </w:rPr>
              <w:t>2 prédictions négatives sur 3 ou 3 sur 3</w:t>
            </w:r>
          </w:p>
        </w:tc>
        <w:tc>
          <w:tcPr>
            <w:tcW w:w="6200" w:type="dxa"/>
            <w:tcBorders>
              <w:top w:val="single" w:sz="4" w:space="0" w:color="auto"/>
              <w:left w:val="single" w:sz="4" w:space="0" w:color="auto"/>
              <w:bottom w:val="single" w:sz="4" w:space="0" w:color="auto"/>
              <w:right w:val="single" w:sz="4" w:space="0" w:color="auto"/>
            </w:tcBorders>
          </w:tcPr>
          <w:p w14:paraId="24F2ABD5" w14:textId="62D8B82E" w:rsidR="009E4B6D" w:rsidRPr="001E1F69" w:rsidRDefault="009E4B6D" w:rsidP="001E1F69">
            <w:pPr>
              <w:spacing w:before="60" w:after="60" w:line="240" w:lineRule="auto"/>
              <w:ind w:left="57" w:right="57"/>
              <w:rPr>
                <w:sz w:val="18"/>
                <w:szCs w:val="18"/>
                <w:lang w:val="fr-FR"/>
              </w:rPr>
            </w:pPr>
            <w:r w:rsidRPr="001E1F69">
              <w:rPr>
                <w:sz w:val="18"/>
                <w:szCs w:val="18"/>
                <w:lang w:val="fr-FR"/>
              </w:rPr>
              <w:t>Indice total de la batterie &lt;2</w:t>
            </w:r>
          </w:p>
        </w:tc>
      </w:tr>
    </w:tbl>
    <w:p w14:paraId="5A9E20B8" w14:textId="77777777" w:rsidR="009E4B6D" w:rsidRDefault="009E4B6D" w:rsidP="009E4B6D">
      <w:pPr>
        <w:spacing w:after="200" w:line="276" w:lineRule="auto"/>
        <w:rPr>
          <w:rFonts w:eastAsia="Times New Roman"/>
          <w:lang w:val="fr-FR"/>
        </w:rPr>
      </w:pPr>
    </w:p>
    <w:p w14:paraId="7F5A1D17" w14:textId="77777777" w:rsidR="009E4B6D" w:rsidRPr="00804AB9" w:rsidRDefault="009E4B6D" w:rsidP="009E4B6D">
      <w:pPr>
        <w:suppressAutoHyphens w:val="0"/>
        <w:kinsoku/>
        <w:overflowPunct/>
        <w:autoSpaceDE/>
        <w:autoSpaceDN/>
        <w:adjustRightInd/>
        <w:snapToGrid/>
        <w:spacing w:after="200" w:line="276" w:lineRule="auto"/>
        <w:rPr>
          <w:rFonts w:eastAsia="Times New Roman"/>
          <w:lang w:val="fr-FR"/>
        </w:rPr>
      </w:pPr>
      <w:r w:rsidRPr="00A241BD">
        <w:rPr>
          <w:rFonts w:eastAsia="Times New Roman"/>
          <w:iCs/>
          <w:lang w:val="fr-FR"/>
        </w:rPr>
        <w:br w:type="page"/>
      </w:r>
    </w:p>
    <w:p w14:paraId="3F1AEAED" w14:textId="65E612E0" w:rsidR="009E4B6D" w:rsidRPr="00A241BD" w:rsidRDefault="009E4B6D" w:rsidP="000C4435">
      <w:pPr>
        <w:pStyle w:val="SingleTxtG"/>
        <w:rPr>
          <w:lang w:val="fr-FR"/>
        </w:rPr>
      </w:pPr>
      <w:r w:rsidRPr="00045808">
        <w:rPr>
          <w:i/>
          <w:lang w:val="fr-FR"/>
        </w:rPr>
        <w:lastRenderedPageBreak/>
        <w:t>Après le tableau 3.4.6</w:t>
      </w:r>
      <w:r w:rsidR="000C4435">
        <w:rPr>
          <w:lang w:val="fr-FR"/>
        </w:rPr>
        <w:t>, a</w:t>
      </w:r>
      <w:r>
        <w:rPr>
          <w:lang w:val="fr-FR"/>
        </w:rPr>
        <w:t>jouter</w:t>
      </w:r>
      <w:r w:rsidRPr="00A241BD">
        <w:rPr>
          <w:lang w:val="fr-FR"/>
        </w:rPr>
        <w:t xml:space="preserve"> le nouveau tableau 3.4.7</w:t>
      </w:r>
      <w:r>
        <w:rPr>
          <w:lang w:val="fr-FR"/>
        </w:rPr>
        <w:t>, ainsi conçu :</w:t>
      </w:r>
      <w:r w:rsidRPr="00A241BD">
        <w:rPr>
          <w:lang w:val="fr-FR"/>
        </w:rPr>
        <w:t xml:space="preserve"> </w:t>
      </w:r>
    </w:p>
    <w:p w14:paraId="06B34B69" w14:textId="2E96A64D" w:rsidR="009E4B6D" w:rsidRPr="00A241BD" w:rsidRDefault="009E4B6D" w:rsidP="000C4435">
      <w:pPr>
        <w:pStyle w:val="SingleTxtG"/>
        <w:ind w:left="2268" w:hanging="1134"/>
        <w:rPr>
          <w:lang w:val="fr-FR"/>
        </w:rPr>
      </w:pPr>
      <w:r>
        <w:rPr>
          <w:bCs/>
          <w:lang w:val="fr-FR"/>
        </w:rPr>
        <w:t>« </w:t>
      </w:r>
      <w:r w:rsidRPr="000C4435">
        <w:rPr>
          <w:b/>
          <w:bCs/>
          <w:lang w:val="fr-FR"/>
        </w:rPr>
        <w:t>Tableau 3.4.7</w:t>
      </w:r>
      <w:r w:rsidR="000C4435">
        <w:rPr>
          <w:b/>
          <w:bCs/>
          <w:lang w:val="fr-FR"/>
        </w:rPr>
        <w:tab/>
      </w:r>
      <w:r w:rsidRPr="000C4435">
        <w:rPr>
          <w:b/>
          <w:bCs/>
          <w:lang w:val="fr-FR"/>
        </w:rPr>
        <w:t xml:space="preserve"> Critères pour les différentes méthodes </w:t>
      </w:r>
      <w:r w:rsidRPr="000C4435">
        <w:rPr>
          <w:b/>
          <w:bCs/>
          <w:i/>
          <w:lang w:val="fr-FR"/>
        </w:rPr>
        <w:t xml:space="preserve">in </w:t>
      </w:r>
      <w:proofErr w:type="spellStart"/>
      <w:r w:rsidRPr="000C4435">
        <w:rPr>
          <w:b/>
          <w:bCs/>
          <w:i/>
          <w:lang w:val="fr-FR"/>
        </w:rPr>
        <w:t>chemico</w:t>
      </w:r>
      <w:proofErr w:type="spellEnd"/>
      <w:r w:rsidRPr="000C4435">
        <w:rPr>
          <w:b/>
          <w:bCs/>
          <w:i/>
          <w:lang w:val="fr-FR"/>
        </w:rPr>
        <w:t>/in vitro</w:t>
      </w:r>
      <w:r w:rsidRPr="00A241BD">
        <w:rPr>
          <w:i/>
          <w:lang w:val="fr-FR"/>
        </w:rPr>
        <w:t xml:space="preserve"> </w:t>
      </w:r>
    </w:p>
    <w:tbl>
      <w:tblPr>
        <w:tblW w:w="13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2"/>
        <w:gridCol w:w="1366"/>
        <w:gridCol w:w="59"/>
        <w:gridCol w:w="1301"/>
        <w:gridCol w:w="1149"/>
        <w:gridCol w:w="2029"/>
        <w:gridCol w:w="1572"/>
        <w:gridCol w:w="1421"/>
        <w:gridCol w:w="1480"/>
        <w:gridCol w:w="1270"/>
        <w:gridCol w:w="1270"/>
      </w:tblGrid>
      <w:tr w:rsidR="009E4B6D" w:rsidRPr="000C4435" w14:paraId="05031C5E" w14:textId="77777777" w:rsidTr="00E81D4E">
        <w:trPr>
          <w:jc w:val="center"/>
        </w:trPr>
        <w:tc>
          <w:tcPr>
            <w:tcW w:w="862"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60AF4C" w14:textId="77777777" w:rsidR="009E4B6D" w:rsidRPr="00016E1D" w:rsidRDefault="009E4B6D" w:rsidP="00016E1D">
            <w:pPr>
              <w:ind w:left="170" w:hanging="170"/>
              <w:rPr>
                <w:sz w:val="18"/>
                <w:szCs w:val="18"/>
              </w:rPr>
            </w:pPr>
            <w:r w:rsidRPr="00016E1D">
              <w:rPr>
                <w:sz w:val="18"/>
                <w:szCs w:val="18"/>
              </w:rPr>
              <w:t>Catégorie</w:t>
            </w:r>
          </w:p>
        </w:tc>
        <w:tc>
          <w:tcPr>
            <w:tcW w:w="3875"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331BA45" w14:textId="77777777" w:rsidR="009E4B6D" w:rsidRPr="00C22727" w:rsidRDefault="009E4B6D" w:rsidP="000C4435">
            <w:pPr>
              <w:keepNext/>
              <w:keepLines/>
              <w:spacing w:before="60" w:after="60" w:line="240" w:lineRule="auto"/>
              <w:ind w:left="57" w:right="57"/>
              <w:jc w:val="center"/>
              <w:rPr>
                <w:b/>
                <w:sz w:val="18"/>
                <w:szCs w:val="18"/>
                <w:lang w:val="fr-FR"/>
              </w:rPr>
            </w:pPr>
            <w:r w:rsidRPr="00C22727">
              <w:rPr>
                <w:b/>
                <w:sz w:val="18"/>
                <w:szCs w:val="18"/>
                <w:lang w:val="fr-FR"/>
              </w:rPr>
              <w:t xml:space="preserve">Ligne directrice 442C de l’OCDE </w:t>
            </w:r>
          </w:p>
          <w:p w14:paraId="65C3C3BA" w14:textId="670A6898" w:rsidR="009E4B6D" w:rsidRPr="00C22727" w:rsidRDefault="009E4B6D" w:rsidP="000C4435">
            <w:pPr>
              <w:keepNext/>
              <w:keepLines/>
              <w:spacing w:before="60" w:after="60" w:line="240" w:lineRule="auto"/>
              <w:ind w:left="57" w:right="57"/>
              <w:jc w:val="center"/>
              <w:rPr>
                <w:b/>
                <w:sz w:val="18"/>
                <w:szCs w:val="18"/>
                <w:lang w:val="fr-FR"/>
              </w:rPr>
            </w:pPr>
            <w:r w:rsidRPr="00C22727">
              <w:rPr>
                <w:b/>
                <w:sz w:val="18"/>
                <w:szCs w:val="18"/>
                <w:lang w:val="fr-FR"/>
              </w:rPr>
              <w:t xml:space="preserve">Ligne directrice fondée sur les événements clés pour les essais de sensibilisation cutanée </w:t>
            </w:r>
            <w:r w:rsidRPr="00C22727">
              <w:rPr>
                <w:b/>
                <w:i/>
                <w:sz w:val="18"/>
                <w:szCs w:val="18"/>
                <w:lang w:val="fr-FR"/>
              </w:rPr>
              <w:t>in </w:t>
            </w:r>
            <w:proofErr w:type="spellStart"/>
            <w:r w:rsidRPr="00C22727">
              <w:rPr>
                <w:b/>
                <w:i/>
                <w:sz w:val="18"/>
                <w:szCs w:val="18"/>
                <w:lang w:val="fr-FR"/>
              </w:rPr>
              <w:t>chemico</w:t>
            </w:r>
            <w:proofErr w:type="spellEnd"/>
            <w:r w:rsidRPr="00C22727">
              <w:rPr>
                <w:b/>
                <w:sz w:val="18"/>
                <w:szCs w:val="18"/>
                <w:lang w:val="fr-FR"/>
              </w:rPr>
              <w:t xml:space="preserve"> portant sur l’événement clé relatif </w:t>
            </w:r>
            <w:r w:rsidR="00140956">
              <w:rPr>
                <w:b/>
                <w:sz w:val="18"/>
                <w:szCs w:val="18"/>
                <w:lang w:val="fr-FR"/>
              </w:rPr>
              <w:br/>
            </w:r>
            <w:r w:rsidRPr="00C22727">
              <w:rPr>
                <w:b/>
                <w:sz w:val="18"/>
                <w:szCs w:val="18"/>
                <w:lang w:val="fr-FR"/>
              </w:rPr>
              <w:t>à l’établissement d’une liaison covalente avec les protéines, dans la voie toxicologique impliquée dans les effets indésirables</w:t>
            </w:r>
          </w:p>
        </w:tc>
        <w:tc>
          <w:tcPr>
            <w:tcW w:w="3601" w:type="dxa"/>
            <w:gridSpan w:val="2"/>
            <w:tcBorders>
              <w:top w:val="single" w:sz="4" w:space="0" w:color="auto"/>
              <w:left w:val="single" w:sz="4" w:space="0" w:color="auto"/>
              <w:bottom w:val="single" w:sz="4" w:space="0" w:color="auto"/>
              <w:right w:val="single" w:sz="4" w:space="0" w:color="auto"/>
            </w:tcBorders>
          </w:tcPr>
          <w:p w14:paraId="2238AE88" w14:textId="77777777" w:rsidR="009E4B6D" w:rsidRPr="00C22727" w:rsidRDefault="009E4B6D" w:rsidP="000C4435">
            <w:pPr>
              <w:keepNext/>
              <w:keepLines/>
              <w:spacing w:before="60" w:after="60" w:line="240" w:lineRule="auto"/>
              <w:ind w:left="57" w:right="57"/>
              <w:jc w:val="center"/>
              <w:rPr>
                <w:b/>
                <w:sz w:val="18"/>
                <w:szCs w:val="18"/>
                <w:lang w:val="fr-FR"/>
              </w:rPr>
            </w:pPr>
            <w:r w:rsidRPr="00C22727">
              <w:rPr>
                <w:b/>
                <w:sz w:val="18"/>
                <w:szCs w:val="18"/>
                <w:lang w:val="fr-FR"/>
              </w:rPr>
              <w:t>Ligne directrice 442D de l’OCDE</w:t>
            </w:r>
          </w:p>
          <w:p w14:paraId="6CC4BC5C" w14:textId="08958F54" w:rsidR="009E4B6D" w:rsidRPr="00C22727" w:rsidRDefault="009E4B6D" w:rsidP="00BF1D70">
            <w:pPr>
              <w:keepNext/>
              <w:keepLines/>
              <w:spacing w:before="60" w:after="60" w:line="240" w:lineRule="auto"/>
              <w:ind w:left="57" w:right="57"/>
              <w:jc w:val="center"/>
              <w:rPr>
                <w:b/>
                <w:sz w:val="18"/>
                <w:szCs w:val="18"/>
                <w:lang w:val="fr-FR"/>
              </w:rPr>
            </w:pPr>
            <w:r w:rsidRPr="00C22727">
              <w:rPr>
                <w:b/>
                <w:sz w:val="18"/>
                <w:szCs w:val="18"/>
                <w:lang w:val="fr-FR"/>
              </w:rPr>
              <w:t xml:space="preserve">Ligne directrice fondée sur les événements clés pour les essais de sensibilisation cutanée </w:t>
            </w:r>
            <w:r w:rsidRPr="00C22727">
              <w:rPr>
                <w:b/>
                <w:i/>
                <w:sz w:val="18"/>
                <w:szCs w:val="18"/>
                <w:lang w:val="fr-FR"/>
              </w:rPr>
              <w:t xml:space="preserve">in vitro </w:t>
            </w:r>
            <w:r w:rsidRPr="00C22727">
              <w:rPr>
                <w:b/>
                <w:sz w:val="18"/>
                <w:szCs w:val="18"/>
                <w:lang w:val="fr-FR"/>
              </w:rPr>
              <w:t xml:space="preserve">portant sur l’événement clé relatif </w:t>
            </w:r>
            <w:r w:rsidR="00C22727">
              <w:rPr>
                <w:b/>
                <w:sz w:val="18"/>
                <w:szCs w:val="18"/>
                <w:lang w:val="fr-FR"/>
              </w:rPr>
              <w:br/>
            </w:r>
            <w:r w:rsidRPr="00C22727">
              <w:rPr>
                <w:b/>
                <w:sz w:val="18"/>
                <w:szCs w:val="18"/>
                <w:lang w:val="fr-FR"/>
              </w:rPr>
              <w:t xml:space="preserve">à l’activation des kératinocytes </w:t>
            </w:r>
            <w:r w:rsidR="001231A3">
              <w:rPr>
                <w:b/>
                <w:sz w:val="18"/>
                <w:szCs w:val="18"/>
                <w:lang w:val="fr-FR"/>
              </w:rPr>
              <w:br/>
            </w:r>
            <w:r w:rsidRPr="00C22727">
              <w:rPr>
                <w:b/>
                <w:sz w:val="18"/>
                <w:szCs w:val="18"/>
                <w:lang w:val="fr-FR"/>
              </w:rPr>
              <w:t xml:space="preserve">dans la voie toxicologique impliquée </w:t>
            </w:r>
            <w:r w:rsidR="00C22727">
              <w:rPr>
                <w:b/>
                <w:sz w:val="18"/>
                <w:szCs w:val="18"/>
                <w:lang w:val="fr-FR"/>
              </w:rPr>
              <w:br/>
            </w:r>
            <w:r w:rsidRPr="00C22727">
              <w:rPr>
                <w:b/>
                <w:sz w:val="18"/>
                <w:szCs w:val="18"/>
                <w:lang w:val="fr-FR"/>
              </w:rPr>
              <w:t>dans les effets indésirables</w:t>
            </w:r>
            <w:r w:rsidR="00BF1D70">
              <w:rPr>
                <w:b/>
                <w:sz w:val="18"/>
                <w:szCs w:val="18"/>
                <w:lang w:val="fr-FR"/>
              </w:rPr>
              <w:br/>
            </w:r>
            <w:r w:rsidRPr="00C22727">
              <w:rPr>
                <w:b/>
                <w:sz w:val="18"/>
                <w:szCs w:val="18"/>
                <w:lang w:val="fr-FR"/>
              </w:rPr>
              <w:t xml:space="preserve">Méthodes d’essai ARE-Nrf2 luciférase </w:t>
            </w:r>
          </w:p>
        </w:tc>
        <w:tc>
          <w:tcPr>
            <w:tcW w:w="5441" w:type="dxa"/>
            <w:gridSpan w:val="4"/>
            <w:tcBorders>
              <w:top w:val="single" w:sz="4" w:space="0" w:color="auto"/>
              <w:left w:val="single" w:sz="4" w:space="0" w:color="auto"/>
              <w:bottom w:val="single" w:sz="4" w:space="0" w:color="auto"/>
              <w:right w:val="single" w:sz="4" w:space="0" w:color="auto"/>
            </w:tcBorders>
          </w:tcPr>
          <w:p w14:paraId="527B073D" w14:textId="77777777" w:rsidR="009E4B6D" w:rsidRPr="00C22727" w:rsidRDefault="009E4B6D" w:rsidP="000C4435">
            <w:pPr>
              <w:keepNext/>
              <w:keepLines/>
              <w:spacing w:before="60" w:after="60" w:line="240" w:lineRule="auto"/>
              <w:ind w:left="57" w:right="57"/>
              <w:jc w:val="center"/>
              <w:rPr>
                <w:b/>
                <w:sz w:val="18"/>
                <w:szCs w:val="18"/>
                <w:lang w:val="fr-FR"/>
              </w:rPr>
            </w:pPr>
            <w:r w:rsidRPr="00C22727">
              <w:rPr>
                <w:b/>
                <w:sz w:val="18"/>
                <w:szCs w:val="18"/>
                <w:lang w:val="fr-FR"/>
              </w:rPr>
              <w:t>Ligne directrice 442E de l’OCDE</w:t>
            </w:r>
          </w:p>
          <w:p w14:paraId="54D185B4" w14:textId="6CA83BA4" w:rsidR="009E4B6D" w:rsidRPr="00C22727" w:rsidRDefault="009E4B6D" w:rsidP="000C4435">
            <w:pPr>
              <w:keepNext/>
              <w:keepLines/>
              <w:spacing w:before="60" w:after="60" w:line="240" w:lineRule="auto"/>
              <w:ind w:left="57" w:right="57"/>
              <w:jc w:val="center"/>
              <w:rPr>
                <w:b/>
                <w:sz w:val="18"/>
                <w:szCs w:val="18"/>
                <w:lang w:val="fr-FR"/>
              </w:rPr>
            </w:pPr>
            <w:r w:rsidRPr="00C22727">
              <w:rPr>
                <w:b/>
                <w:sz w:val="18"/>
                <w:szCs w:val="18"/>
                <w:lang w:val="fr-FR"/>
              </w:rPr>
              <w:t>Tests de sensibilisation cutanée</w:t>
            </w:r>
            <w:r w:rsidRPr="00C22727">
              <w:rPr>
                <w:b/>
                <w:i/>
                <w:iCs/>
                <w:sz w:val="18"/>
                <w:szCs w:val="18"/>
                <w:lang w:val="fr-FR"/>
              </w:rPr>
              <w:t xml:space="preserve"> in vitro</w:t>
            </w:r>
            <w:r w:rsidRPr="00C22727">
              <w:rPr>
                <w:b/>
                <w:sz w:val="18"/>
                <w:szCs w:val="18"/>
                <w:lang w:val="fr-FR"/>
              </w:rPr>
              <w:t xml:space="preserve"> portant sur l’événement clé relatif à l’activation des cellules dendritiques </w:t>
            </w:r>
            <w:r w:rsidR="00BF1D70">
              <w:rPr>
                <w:b/>
                <w:sz w:val="18"/>
                <w:szCs w:val="18"/>
                <w:lang w:val="fr-FR"/>
              </w:rPr>
              <w:br/>
            </w:r>
            <w:r w:rsidRPr="00C22727">
              <w:rPr>
                <w:b/>
                <w:sz w:val="18"/>
                <w:szCs w:val="18"/>
                <w:lang w:val="fr-FR"/>
              </w:rPr>
              <w:t>dans la voie toxicologique impliquée dans les effets indésirables</w:t>
            </w:r>
          </w:p>
        </w:tc>
      </w:tr>
      <w:tr w:rsidR="00E81D4E" w:rsidRPr="000C4435" w14:paraId="31C6E00B" w14:textId="77777777" w:rsidTr="00E81D4E">
        <w:trPr>
          <w:jc w:val="center"/>
        </w:trPr>
        <w:tc>
          <w:tcPr>
            <w:tcW w:w="862"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363EAAF" w14:textId="77777777" w:rsidR="009E4B6D" w:rsidRPr="000C4435" w:rsidRDefault="009E4B6D" w:rsidP="00521A81">
            <w:pPr>
              <w:spacing w:before="60" w:after="60" w:line="240" w:lineRule="auto"/>
              <w:ind w:left="-32" w:right="-22"/>
              <w:jc w:val="center"/>
              <w:rPr>
                <w:sz w:val="18"/>
                <w:szCs w:val="18"/>
                <w:lang w:val="fr-FR"/>
              </w:rPr>
            </w:pPr>
          </w:p>
        </w:tc>
        <w:tc>
          <w:tcPr>
            <w:tcW w:w="142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2F1FAF" w14:textId="77777777" w:rsidR="009E4B6D" w:rsidRPr="000C4435" w:rsidRDefault="009E4B6D" w:rsidP="000C4435">
            <w:pPr>
              <w:spacing w:before="60" w:after="60" w:line="240" w:lineRule="auto"/>
              <w:ind w:left="57" w:right="57"/>
              <w:jc w:val="center"/>
              <w:rPr>
                <w:b/>
                <w:sz w:val="18"/>
                <w:szCs w:val="18"/>
                <w:lang w:val="fr-FR"/>
              </w:rPr>
            </w:pPr>
            <w:r w:rsidRPr="000C4435">
              <w:rPr>
                <w:b/>
                <w:sz w:val="18"/>
                <w:szCs w:val="18"/>
                <w:lang w:val="fr-FR"/>
              </w:rPr>
              <w:t xml:space="preserve">Méthode décrite à l’annexe I </w:t>
            </w:r>
          </w:p>
          <w:p w14:paraId="29DF2377" w14:textId="77777777" w:rsidR="009E4B6D" w:rsidRPr="000C4435" w:rsidRDefault="009E4B6D" w:rsidP="000C4435">
            <w:pPr>
              <w:spacing w:before="60" w:after="60" w:line="240" w:lineRule="auto"/>
              <w:ind w:left="57" w:right="57"/>
              <w:jc w:val="center"/>
              <w:rPr>
                <w:b/>
                <w:bCs/>
                <w:sz w:val="18"/>
                <w:szCs w:val="18"/>
                <w:lang w:val="fr-FR"/>
              </w:rPr>
            </w:pPr>
            <w:r w:rsidRPr="000C4435">
              <w:rPr>
                <w:b/>
                <w:bCs/>
                <w:sz w:val="18"/>
                <w:szCs w:val="18"/>
                <w:lang w:val="fr-FR"/>
              </w:rPr>
              <w:t>Essai de liaison directe sur la réactivité peptidique</w:t>
            </w:r>
          </w:p>
          <w:p w14:paraId="70604A1E" w14:textId="77777777" w:rsidR="009E4B6D" w:rsidRPr="000C4435" w:rsidRDefault="009E4B6D" w:rsidP="000C4435">
            <w:pPr>
              <w:spacing w:before="60" w:after="60" w:line="240" w:lineRule="auto"/>
              <w:ind w:left="57" w:right="57"/>
              <w:jc w:val="center"/>
              <w:rPr>
                <w:sz w:val="18"/>
                <w:szCs w:val="18"/>
                <w:lang w:val="fr-FR"/>
              </w:rPr>
            </w:pPr>
            <w:r w:rsidRPr="000C4435">
              <w:rPr>
                <w:b/>
                <w:bCs/>
                <w:sz w:val="18"/>
                <w:szCs w:val="18"/>
                <w:lang w:val="fr-FR"/>
              </w:rPr>
              <w:t>(DPRA)</w:t>
            </w:r>
            <w:r w:rsidRPr="000C4435">
              <w:rPr>
                <w:b/>
                <w:bCs/>
                <w:sz w:val="18"/>
                <w:szCs w:val="18"/>
                <w:vertAlign w:val="superscript"/>
                <w:lang w:val="fr-FR"/>
              </w:rPr>
              <w:t>a</w:t>
            </w:r>
          </w:p>
        </w:tc>
        <w:tc>
          <w:tcPr>
            <w:tcW w:w="1301" w:type="dxa"/>
            <w:tcBorders>
              <w:top w:val="single" w:sz="4" w:space="0" w:color="auto"/>
              <w:left w:val="single" w:sz="4" w:space="0" w:color="auto"/>
              <w:bottom w:val="single" w:sz="4" w:space="0" w:color="auto"/>
              <w:right w:val="single" w:sz="4" w:space="0" w:color="auto"/>
            </w:tcBorders>
          </w:tcPr>
          <w:p w14:paraId="39086273" w14:textId="77777777" w:rsidR="009E4B6D" w:rsidRPr="000C4435" w:rsidRDefault="009E4B6D" w:rsidP="000C4435">
            <w:pPr>
              <w:spacing w:before="60" w:after="60" w:line="240" w:lineRule="auto"/>
              <w:ind w:left="57" w:right="57"/>
              <w:jc w:val="center"/>
              <w:rPr>
                <w:b/>
                <w:sz w:val="18"/>
                <w:szCs w:val="18"/>
                <w:lang w:val="fr-FR"/>
              </w:rPr>
            </w:pPr>
            <w:r w:rsidRPr="000C4435">
              <w:rPr>
                <w:b/>
                <w:sz w:val="18"/>
                <w:szCs w:val="18"/>
                <w:lang w:val="fr-FR"/>
              </w:rPr>
              <w:t xml:space="preserve">Méthode décrite à l’annexe II </w:t>
            </w:r>
          </w:p>
          <w:p w14:paraId="11B5B1DE" w14:textId="77777777" w:rsidR="009E4B6D" w:rsidRPr="000C4435" w:rsidRDefault="009E4B6D" w:rsidP="000C4435">
            <w:pPr>
              <w:spacing w:before="60" w:after="60" w:line="240" w:lineRule="auto"/>
              <w:ind w:left="57" w:right="57"/>
              <w:jc w:val="center"/>
              <w:rPr>
                <w:b/>
                <w:bCs/>
                <w:sz w:val="18"/>
                <w:szCs w:val="18"/>
                <w:lang w:val="fr-FR"/>
              </w:rPr>
            </w:pPr>
            <w:r w:rsidRPr="000C4435">
              <w:rPr>
                <w:b/>
                <w:bCs/>
                <w:sz w:val="18"/>
                <w:szCs w:val="18"/>
                <w:lang w:val="fr-FR"/>
              </w:rPr>
              <w:t>Essai de réactivité à des dérivés d’acides aminés (ADRA)</w:t>
            </w:r>
            <w:r w:rsidRPr="000C4435">
              <w:rPr>
                <w:b/>
                <w:bCs/>
                <w:sz w:val="18"/>
                <w:szCs w:val="18"/>
                <w:vertAlign w:val="superscript"/>
                <w:lang w:val="fr-FR"/>
              </w:rPr>
              <w:t>a</w:t>
            </w:r>
          </w:p>
        </w:tc>
        <w:tc>
          <w:tcPr>
            <w:tcW w:w="1149" w:type="dxa"/>
            <w:tcBorders>
              <w:top w:val="single" w:sz="4" w:space="0" w:color="auto"/>
              <w:left w:val="single" w:sz="4" w:space="0" w:color="auto"/>
              <w:bottom w:val="single" w:sz="4" w:space="0" w:color="auto"/>
              <w:right w:val="single" w:sz="4" w:space="0" w:color="auto"/>
            </w:tcBorders>
          </w:tcPr>
          <w:p w14:paraId="02754E32" w14:textId="77777777" w:rsidR="009E4B6D" w:rsidRPr="000C4435" w:rsidRDefault="009E4B6D" w:rsidP="000C4435">
            <w:pPr>
              <w:spacing w:before="60" w:after="60" w:line="240" w:lineRule="auto"/>
              <w:ind w:left="57" w:right="57"/>
              <w:jc w:val="center"/>
              <w:rPr>
                <w:b/>
                <w:sz w:val="18"/>
                <w:szCs w:val="18"/>
                <w:lang w:val="fr-FR"/>
              </w:rPr>
            </w:pPr>
            <w:r w:rsidRPr="000C4435">
              <w:rPr>
                <w:b/>
                <w:sz w:val="18"/>
                <w:szCs w:val="18"/>
                <w:lang w:val="fr-FR"/>
              </w:rPr>
              <w:t>Méthode décrite à l’annexe III</w:t>
            </w:r>
          </w:p>
          <w:p w14:paraId="69457EA5" w14:textId="77777777" w:rsidR="009E4B6D" w:rsidRPr="000C4435" w:rsidRDefault="009E4B6D" w:rsidP="000C4435">
            <w:pPr>
              <w:spacing w:before="60" w:after="60" w:line="240" w:lineRule="auto"/>
              <w:ind w:left="57" w:right="57"/>
              <w:jc w:val="center"/>
              <w:rPr>
                <w:sz w:val="18"/>
                <w:szCs w:val="18"/>
                <w:lang w:val="fr-FR"/>
              </w:rPr>
            </w:pPr>
            <w:bookmarkStart w:id="33" w:name="_Hlk117081828"/>
            <w:r w:rsidRPr="000C4435">
              <w:rPr>
                <w:b/>
                <w:bCs/>
                <w:sz w:val="18"/>
                <w:szCs w:val="18"/>
                <w:lang w:val="fr-FR"/>
              </w:rPr>
              <w:t xml:space="preserve">Essai cinétique de liaison directe sur la réactivité peptidique </w:t>
            </w:r>
            <w:bookmarkEnd w:id="33"/>
            <w:r w:rsidRPr="000C4435">
              <w:rPr>
                <w:b/>
                <w:bCs/>
                <w:sz w:val="18"/>
                <w:szCs w:val="18"/>
                <w:lang w:val="fr-FR"/>
              </w:rPr>
              <w:t>(</w:t>
            </w:r>
            <w:proofErr w:type="spellStart"/>
            <w:r w:rsidRPr="000C4435">
              <w:rPr>
                <w:b/>
                <w:bCs/>
                <w:sz w:val="18"/>
                <w:szCs w:val="18"/>
                <w:lang w:val="fr-FR"/>
              </w:rPr>
              <w:t>kDPRA</w:t>
            </w:r>
            <w:proofErr w:type="spellEnd"/>
            <w:r w:rsidRPr="000C4435">
              <w:rPr>
                <w:b/>
                <w:bCs/>
                <w:sz w:val="18"/>
                <w:szCs w:val="18"/>
                <w:lang w:val="fr-FR"/>
              </w:rPr>
              <w:t>)</w:t>
            </w:r>
            <w:r w:rsidRPr="000C4435">
              <w:rPr>
                <w:b/>
                <w:bCs/>
                <w:sz w:val="18"/>
                <w:szCs w:val="18"/>
                <w:vertAlign w:val="superscript"/>
                <w:lang w:val="fr-FR"/>
              </w:rPr>
              <w:t>b</w:t>
            </w:r>
          </w:p>
        </w:tc>
        <w:tc>
          <w:tcPr>
            <w:tcW w:w="2029" w:type="dxa"/>
            <w:tcBorders>
              <w:top w:val="single" w:sz="4" w:space="0" w:color="auto"/>
              <w:left w:val="single" w:sz="4" w:space="0" w:color="auto"/>
              <w:bottom w:val="single" w:sz="4" w:space="0" w:color="auto"/>
              <w:right w:val="single" w:sz="4" w:space="0" w:color="auto"/>
            </w:tcBorders>
          </w:tcPr>
          <w:p w14:paraId="08EA94C4" w14:textId="40F934DB" w:rsidR="009E4B6D" w:rsidRPr="000C4435" w:rsidRDefault="009E4B6D" w:rsidP="000C4435">
            <w:pPr>
              <w:spacing w:before="60" w:after="60" w:line="240" w:lineRule="auto"/>
              <w:ind w:left="57" w:right="57"/>
              <w:jc w:val="center"/>
              <w:rPr>
                <w:b/>
                <w:sz w:val="18"/>
                <w:szCs w:val="18"/>
                <w:lang w:val="fr-FR"/>
              </w:rPr>
            </w:pPr>
            <w:r w:rsidRPr="000C4435">
              <w:rPr>
                <w:b/>
                <w:sz w:val="18"/>
                <w:szCs w:val="18"/>
                <w:lang w:val="fr-FR"/>
              </w:rPr>
              <w:t>Méthode décrite à l’annexe 1A</w:t>
            </w:r>
            <w:r w:rsidRPr="00D54738">
              <w:rPr>
                <w:b/>
                <w:i/>
                <w:iCs/>
                <w:sz w:val="18"/>
                <w:szCs w:val="18"/>
                <w:vertAlign w:val="superscript"/>
                <w:lang w:val="fr-FR"/>
              </w:rPr>
              <w:t>a</w:t>
            </w:r>
          </w:p>
        </w:tc>
        <w:tc>
          <w:tcPr>
            <w:tcW w:w="1572" w:type="dxa"/>
            <w:tcBorders>
              <w:top w:val="single" w:sz="4" w:space="0" w:color="auto"/>
              <w:left w:val="single" w:sz="4" w:space="0" w:color="auto"/>
              <w:bottom w:val="single" w:sz="4" w:space="0" w:color="auto"/>
              <w:right w:val="single" w:sz="4" w:space="0" w:color="auto"/>
            </w:tcBorders>
          </w:tcPr>
          <w:p w14:paraId="3C63C94F" w14:textId="336D90E6" w:rsidR="009E4B6D" w:rsidRPr="000C4435" w:rsidRDefault="009E4B6D" w:rsidP="000C4435">
            <w:pPr>
              <w:spacing w:before="60" w:after="60" w:line="240" w:lineRule="auto"/>
              <w:ind w:left="57" w:right="57"/>
              <w:jc w:val="center"/>
              <w:rPr>
                <w:b/>
                <w:sz w:val="18"/>
                <w:szCs w:val="18"/>
                <w:lang w:val="fr-FR"/>
              </w:rPr>
            </w:pPr>
            <w:r w:rsidRPr="000C4435">
              <w:rPr>
                <w:b/>
                <w:sz w:val="18"/>
                <w:szCs w:val="18"/>
                <w:lang w:val="fr-FR"/>
              </w:rPr>
              <w:t>Méthode décrite à l’annexe 1B</w:t>
            </w:r>
            <w:r w:rsidR="00C22727">
              <w:rPr>
                <w:b/>
                <w:sz w:val="18"/>
                <w:szCs w:val="18"/>
                <w:lang w:val="fr-FR"/>
              </w:rPr>
              <w:br/>
            </w:r>
            <w:proofErr w:type="spellStart"/>
            <w:r w:rsidRPr="000C4435">
              <w:rPr>
                <w:b/>
                <w:sz w:val="18"/>
                <w:szCs w:val="18"/>
                <w:lang w:val="fr-FR"/>
              </w:rPr>
              <w:t>Lusens</w:t>
            </w:r>
            <w:r w:rsidRPr="00D54738">
              <w:rPr>
                <w:b/>
                <w:bCs/>
                <w:i/>
                <w:iCs/>
                <w:sz w:val="18"/>
                <w:szCs w:val="18"/>
                <w:vertAlign w:val="superscript"/>
                <w:lang w:val="fr-FR"/>
              </w:rPr>
              <w:t>a</w:t>
            </w:r>
            <w:proofErr w:type="spellEnd"/>
          </w:p>
        </w:tc>
        <w:tc>
          <w:tcPr>
            <w:tcW w:w="1421" w:type="dxa"/>
            <w:tcBorders>
              <w:top w:val="single" w:sz="4" w:space="0" w:color="auto"/>
              <w:left w:val="single" w:sz="4" w:space="0" w:color="auto"/>
              <w:bottom w:val="single" w:sz="4" w:space="0" w:color="auto"/>
              <w:right w:val="single" w:sz="4" w:space="0" w:color="auto"/>
            </w:tcBorders>
          </w:tcPr>
          <w:p w14:paraId="5B2EBB02" w14:textId="77777777" w:rsidR="009E4B6D" w:rsidRPr="000C4435" w:rsidRDefault="009E4B6D" w:rsidP="000C4435">
            <w:pPr>
              <w:spacing w:before="60" w:after="60" w:line="240" w:lineRule="auto"/>
              <w:ind w:left="57" w:right="57"/>
              <w:jc w:val="center"/>
              <w:rPr>
                <w:b/>
                <w:sz w:val="18"/>
                <w:szCs w:val="18"/>
                <w:lang w:val="fr-FR"/>
              </w:rPr>
            </w:pPr>
            <w:r w:rsidRPr="000C4435">
              <w:rPr>
                <w:b/>
                <w:sz w:val="18"/>
                <w:szCs w:val="18"/>
                <w:lang w:val="fr-FR"/>
              </w:rPr>
              <w:t>Méthode décrite à l’annexe I</w:t>
            </w:r>
          </w:p>
          <w:p w14:paraId="7F922A3E" w14:textId="3252B7C6" w:rsidR="009E4B6D" w:rsidRPr="000C4435" w:rsidRDefault="009E4B6D" w:rsidP="00C22727">
            <w:pPr>
              <w:spacing w:before="60" w:after="60" w:line="240" w:lineRule="auto"/>
              <w:ind w:left="57" w:right="57"/>
              <w:jc w:val="center"/>
              <w:rPr>
                <w:b/>
                <w:sz w:val="18"/>
                <w:szCs w:val="18"/>
              </w:rPr>
            </w:pPr>
            <w:r w:rsidRPr="000C4435">
              <w:rPr>
                <w:b/>
                <w:sz w:val="18"/>
                <w:szCs w:val="18"/>
                <w:lang w:val="fr-FR"/>
              </w:rPr>
              <w:t xml:space="preserve">Test d’activation de la lignée cellulaire humaine </w:t>
            </w:r>
            <w:r w:rsidR="00C22727">
              <w:rPr>
                <w:b/>
                <w:sz w:val="18"/>
                <w:szCs w:val="18"/>
                <w:lang w:val="fr-FR"/>
              </w:rPr>
              <w:br/>
            </w:r>
            <w:r w:rsidRPr="000C4435">
              <w:rPr>
                <w:b/>
                <w:sz w:val="18"/>
                <w:szCs w:val="18"/>
              </w:rPr>
              <w:t>(h-</w:t>
            </w:r>
            <w:proofErr w:type="gramStart"/>
            <w:r w:rsidRPr="000C4435">
              <w:rPr>
                <w:b/>
                <w:sz w:val="18"/>
                <w:szCs w:val="18"/>
              </w:rPr>
              <w:t>CLAT)</w:t>
            </w:r>
            <w:r w:rsidRPr="00C10E82">
              <w:rPr>
                <w:b/>
                <w:bCs/>
                <w:i/>
                <w:iCs/>
                <w:sz w:val="18"/>
                <w:szCs w:val="18"/>
                <w:vertAlign w:val="superscript"/>
              </w:rPr>
              <w:t>a</w:t>
            </w:r>
            <w:proofErr w:type="gramEnd"/>
          </w:p>
        </w:tc>
        <w:tc>
          <w:tcPr>
            <w:tcW w:w="1480" w:type="dxa"/>
            <w:tcBorders>
              <w:top w:val="single" w:sz="4" w:space="0" w:color="auto"/>
              <w:left w:val="single" w:sz="4" w:space="0" w:color="auto"/>
              <w:bottom w:val="single" w:sz="4" w:space="0" w:color="auto"/>
              <w:right w:val="single" w:sz="4" w:space="0" w:color="auto"/>
            </w:tcBorders>
          </w:tcPr>
          <w:p w14:paraId="256B7619" w14:textId="77777777" w:rsidR="009E4B6D" w:rsidRPr="000C4435" w:rsidRDefault="009E4B6D" w:rsidP="000C4435">
            <w:pPr>
              <w:spacing w:before="60" w:after="60" w:line="240" w:lineRule="auto"/>
              <w:ind w:left="57" w:right="57"/>
              <w:jc w:val="center"/>
              <w:rPr>
                <w:b/>
                <w:sz w:val="18"/>
                <w:szCs w:val="18"/>
                <w:lang w:val="fr-FR"/>
              </w:rPr>
            </w:pPr>
            <w:r w:rsidRPr="000C4435">
              <w:rPr>
                <w:b/>
                <w:sz w:val="18"/>
                <w:szCs w:val="18"/>
                <w:lang w:val="fr-FR"/>
              </w:rPr>
              <w:t>Méthode décrite à l’annexe II</w:t>
            </w:r>
          </w:p>
          <w:p w14:paraId="269E7460" w14:textId="548B83B7" w:rsidR="009E4B6D" w:rsidRPr="000C4435" w:rsidRDefault="009E4B6D" w:rsidP="000C4435">
            <w:pPr>
              <w:spacing w:before="60" w:after="60" w:line="240" w:lineRule="auto"/>
              <w:ind w:left="57" w:right="57"/>
              <w:jc w:val="center"/>
              <w:rPr>
                <w:b/>
                <w:sz w:val="18"/>
                <w:szCs w:val="18"/>
                <w:lang w:val="fr-FR"/>
              </w:rPr>
            </w:pPr>
            <w:r w:rsidRPr="000C4435">
              <w:rPr>
                <w:b/>
                <w:sz w:val="18"/>
                <w:szCs w:val="18"/>
                <w:lang w:val="fr-FR"/>
              </w:rPr>
              <w:t>Test d’activation de la lignée cellulaire U937</w:t>
            </w:r>
            <w:r w:rsidR="00C10E82" w:rsidRPr="00C10E82">
              <w:rPr>
                <w:b/>
                <w:bCs/>
                <w:i/>
                <w:iCs/>
                <w:sz w:val="18"/>
                <w:szCs w:val="18"/>
                <w:vertAlign w:val="superscript"/>
              </w:rPr>
              <w:t>a</w:t>
            </w:r>
          </w:p>
        </w:tc>
        <w:tc>
          <w:tcPr>
            <w:tcW w:w="1270" w:type="dxa"/>
            <w:tcBorders>
              <w:top w:val="single" w:sz="4" w:space="0" w:color="auto"/>
              <w:left w:val="single" w:sz="4" w:space="0" w:color="auto"/>
              <w:bottom w:val="single" w:sz="4" w:space="0" w:color="auto"/>
              <w:right w:val="single" w:sz="4" w:space="0" w:color="auto"/>
            </w:tcBorders>
          </w:tcPr>
          <w:p w14:paraId="27E351CE" w14:textId="77777777" w:rsidR="009E4B6D" w:rsidRPr="000C4435" w:rsidRDefault="009E4B6D" w:rsidP="000C4435">
            <w:pPr>
              <w:spacing w:before="60" w:after="60" w:line="240" w:lineRule="auto"/>
              <w:ind w:left="57" w:right="57"/>
              <w:jc w:val="center"/>
              <w:rPr>
                <w:b/>
                <w:sz w:val="18"/>
                <w:szCs w:val="18"/>
                <w:lang w:val="fr-FR"/>
              </w:rPr>
            </w:pPr>
            <w:r w:rsidRPr="000C4435">
              <w:rPr>
                <w:b/>
                <w:sz w:val="18"/>
                <w:szCs w:val="18"/>
                <w:lang w:val="fr-FR"/>
              </w:rPr>
              <w:t>Méthode décrite à l’annexe III</w:t>
            </w:r>
          </w:p>
          <w:p w14:paraId="088F4752" w14:textId="65C93E59" w:rsidR="009E4B6D" w:rsidRPr="000C4435" w:rsidRDefault="009E4B6D" w:rsidP="00C22727">
            <w:pPr>
              <w:spacing w:before="60" w:after="60" w:line="240" w:lineRule="auto"/>
              <w:ind w:left="57" w:right="57"/>
              <w:jc w:val="center"/>
              <w:rPr>
                <w:b/>
                <w:sz w:val="18"/>
                <w:szCs w:val="18"/>
              </w:rPr>
            </w:pPr>
            <w:r w:rsidRPr="000C4435">
              <w:rPr>
                <w:b/>
                <w:bCs/>
                <w:sz w:val="18"/>
                <w:szCs w:val="18"/>
                <w:lang w:val="fr-FR"/>
              </w:rPr>
              <w:t xml:space="preserve">Interleukine-8 luciférase </w:t>
            </w:r>
            <w:r w:rsidR="00C22727">
              <w:rPr>
                <w:b/>
                <w:bCs/>
                <w:sz w:val="18"/>
                <w:szCs w:val="18"/>
                <w:lang w:val="fr-FR"/>
              </w:rPr>
              <w:br/>
            </w:r>
            <w:r w:rsidRPr="000C4435">
              <w:rPr>
                <w:b/>
                <w:sz w:val="18"/>
                <w:szCs w:val="18"/>
              </w:rPr>
              <w:t xml:space="preserve">(IL-8 </w:t>
            </w:r>
            <w:proofErr w:type="gramStart"/>
            <w:r w:rsidRPr="000C4435">
              <w:rPr>
                <w:b/>
                <w:sz w:val="18"/>
                <w:szCs w:val="18"/>
              </w:rPr>
              <w:t>Luc)</w:t>
            </w:r>
            <w:r w:rsidRPr="00C10E82">
              <w:rPr>
                <w:b/>
                <w:i/>
                <w:iCs/>
                <w:sz w:val="18"/>
                <w:szCs w:val="18"/>
                <w:vertAlign w:val="superscript"/>
              </w:rPr>
              <w:t>a</w:t>
            </w:r>
            <w:proofErr w:type="gramEnd"/>
          </w:p>
        </w:tc>
        <w:tc>
          <w:tcPr>
            <w:tcW w:w="1270" w:type="dxa"/>
            <w:tcBorders>
              <w:top w:val="single" w:sz="4" w:space="0" w:color="auto"/>
              <w:left w:val="single" w:sz="4" w:space="0" w:color="auto"/>
              <w:bottom w:val="single" w:sz="4" w:space="0" w:color="auto"/>
              <w:right w:val="single" w:sz="4" w:space="0" w:color="auto"/>
            </w:tcBorders>
          </w:tcPr>
          <w:p w14:paraId="20387AAC" w14:textId="26F7D3EB" w:rsidR="009E4B6D" w:rsidRPr="000C4435" w:rsidRDefault="009E4B6D" w:rsidP="000C4435">
            <w:pPr>
              <w:spacing w:before="60" w:after="60" w:line="240" w:lineRule="auto"/>
              <w:ind w:left="57" w:right="57"/>
              <w:jc w:val="center"/>
              <w:rPr>
                <w:b/>
                <w:sz w:val="18"/>
                <w:szCs w:val="18"/>
                <w:lang w:val="fr-FR"/>
              </w:rPr>
            </w:pPr>
            <w:r w:rsidRPr="000C4435">
              <w:rPr>
                <w:b/>
                <w:sz w:val="18"/>
                <w:szCs w:val="18"/>
                <w:lang w:val="fr-FR"/>
              </w:rPr>
              <w:t xml:space="preserve">Méthode décrite à l’annexe </w:t>
            </w:r>
            <w:proofErr w:type="spellStart"/>
            <w:r w:rsidRPr="000C4435">
              <w:rPr>
                <w:b/>
                <w:sz w:val="18"/>
                <w:szCs w:val="18"/>
                <w:lang w:val="fr-FR"/>
              </w:rPr>
              <w:t>IV</w:t>
            </w:r>
            <w:r w:rsidRPr="00C10E82">
              <w:rPr>
                <w:b/>
                <w:i/>
                <w:iCs/>
                <w:sz w:val="18"/>
                <w:szCs w:val="18"/>
                <w:vertAlign w:val="superscript"/>
                <w:lang w:val="fr-FR"/>
              </w:rPr>
              <w:t>a</w:t>
            </w:r>
            <w:proofErr w:type="spellEnd"/>
            <w:r w:rsidRPr="00C10E82">
              <w:rPr>
                <w:b/>
                <w:i/>
                <w:iCs/>
                <w:sz w:val="18"/>
                <w:szCs w:val="18"/>
                <w:vertAlign w:val="superscript"/>
                <w:lang w:val="fr-FR"/>
              </w:rPr>
              <w:t xml:space="preserve"> </w:t>
            </w:r>
          </w:p>
        </w:tc>
      </w:tr>
      <w:tr w:rsidR="009E4B6D" w:rsidRPr="000C4435" w14:paraId="7898A261" w14:textId="77777777" w:rsidTr="00E81D4E">
        <w:trPr>
          <w:trHeight w:val="2076"/>
          <w:jc w:val="center"/>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358DCB61" w14:textId="77777777" w:rsidR="009E4B6D" w:rsidRPr="000C4435" w:rsidRDefault="009E4B6D" w:rsidP="00521A81">
            <w:pPr>
              <w:spacing w:before="60" w:after="60" w:line="240" w:lineRule="auto"/>
              <w:ind w:left="-32" w:right="-22"/>
              <w:rPr>
                <w:sz w:val="18"/>
                <w:szCs w:val="18"/>
                <w:lang w:val="fr-FR"/>
              </w:rPr>
            </w:pPr>
          </w:p>
        </w:tc>
        <w:tc>
          <w:tcPr>
            <w:tcW w:w="3875"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BC029B9" w14:textId="77777777" w:rsidR="009E4B6D" w:rsidRPr="000C4435" w:rsidRDefault="009E4B6D" w:rsidP="000C4435">
            <w:pPr>
              <w:spacing w:before="60" w:after="60" w:line="240" w:lineRule="auto"/>
              <w:ind w:left="57" w:right="57"/>
              <w:rPr>
                <w:sz w:val="18"/>
                <w:szCs w:val="18"/>
                <w:lang w:val="fr-FR"/>
              </w:rPr>
            </w:pPr>
            <w:r w:rsidRPr="000C4435">
              <w:rPr>
                <w:sz w:val="18"/>
                <w:szCs w:val="18"/>
                <w:lang w:val="fr-FR"/>
              </w:rPr>
              <w:t xml:space="preserve">Méthodes : méthodes </w:t>
            </w:r>
            <w:r w:rsidRPr="000C4435">
              <w:rPr>
                <w:i/>
                <w:iCs/>
                <w:sz w:val="18"/>
                <w:szCs w:val="18"/>
                <w:lang w:val="fr-FR"/>
              </w:rPr>
              <w:t xml:space="preserve">in </w:t>
            </w:r>
            <w:proofErr w:type="spellStart"/>
            <w:r w:rsidRPr="000C4435">
              <w:rPr>
                <w:i/>
                <w:iCs/>
                <w:sz w:val="18"/>
                <w:szCs w:val="18"/>
                <w:lang w:val="fr-FR"/>
              </w:rPr>
              <w:t>chemico</w:t>
            </w:r>
            <w:proofErr w:type="spellEnd"/>
            <w:r w:rsidRPr="000C4435">
              <w:rPr>
                <w:i/>
                <w:iCs/>
                <w:sz w:val="18"/>
                <w:szCs w:val="18"/>
                <w:lang w:val="fr-FR"/>
              </w:rPr>
              <w:t xml:space="preserve"> </w:t>
            </w:r>
            <w:r w:rsidRPr="000C4435">
              <w:rPr>
                <w:sz w:val="18"/>
                <w:szCs w:val="18"/>
                <w:lang w:val="fr-FR"/>
              </w:rPr>
              <w:t xml:space="preserve">utilisant le processus d’hapténisation en quantifiant la réactivité des produits chimiques testés vis-à-vis de peptides synthétiques modèles contenant de la lysine ou de la cystéine (DPRA et </w:t>
            </w:r>
            <w:proofErr w:type="spellStart"/>
            <w:r w:rsidRPr="000C4435">
              <w:rPr>
                <w:sz w:val="18"/>
                <w:szCs w:val="18"/>
                <w:lang w:val="fr-FR"/>
              </w:rPr>
              <w:t>kDPRA</w:t>
            </w:r>
            <w:proofErr w:type="spellEnd"/>
            <w:r w:rsidRPr="000C4435">
              <w:rPr>
                <w:sz w:val="18"/>
                <w:szCs w:val="18"/>
                <w:lang w:val="fr-FR"/>
              </w:rPr>
              <w:t xml:space="preserve">) ou vis-à-vis de dérivés d’acides aminés synthétiques modèles contenant de la N-(2-(1-naphtyl) </w:t>
            </w:r>
            <w:proofErr w:type="spellStart"/>
            <w:proofErr w:type="gramStart"/>
            <w:r w:rsidRPr="000C4435">
              <w:rPr>
                <w:sz w:val="18"/>
                <w:szCs w:val="18"/>
                <w:lang w:val="fr-FR"/>
              </w:rPr>
              <w:t>acétyl</w:t>
            </w:r>
            <w:proofErr w:type="spellEnd"/>
            <w:r w:rsidRPr="000C4435">
              <w:rPr>
                <w:sz w:val="18"/>
                <w:szCs w:val="18"/>
                <w:lang w:val="fr-FR"/>
              </w:rPr>
              <w:t>)-</w:t>
            </w:r>
            <w:proofErr w:type="gramEnd"/>
            <w:r w:rsidRPr="000C4435">
              <w:rPr>
                <w:sz w:val="18"/>
                <w:szCs w:val="18"/>
                <w:lang w:val="fr-FR"/>
              </w:rPr>
              <w:t>L-cystéine (NAC) ou de l’</w:t>
            </w:r>
            <w:r w:rsidRPr="000C4435">
              <w:rPr>
                <w:sz w:val="18"/>
                <w:szCs w:val="18"/>
              </w:rPr>
              <w:t>α</w:t>
            </w:r>
            <w:r w:rsidRPr="000C4435">
              <w:rPr>
                <w:sz w:val="18"/>
                <w:szCs w:val="18"/>
                <w:lang w:val="fr-FR"/>
              </w:rPr>
              <w:t xml:space="preserve">-N-(2-(1-naphtyl) </w:t>
            </w:r>
            <w:proofErr w:type="spellStart"/>
            <w:r w:rsidRPr="000C4435">
              <w:rPr>
                <w:sz w:val="18"/>
                <w:szCs w:val="18"/>
                <w:lang w:val="fr-FR"/>
              </w:rPr>
              <w:t>acétyl</w:t>
            </w:r>
            <w:proofErr w:type="spellEnd"/>
            <w:r w:rsidRPr="000C4435">
              <w:rPr>
                <w:sz w:val="18"/>
                <w:szCs w:val="18"/>
                <w:lang w:val="fr-FR"/>
              </w:rPr>
              <w:t xml:space="preserve">)-L-lysine (NAL) (ADRA). </w:t>
            </w:r>
          </w:p>
          <w:p w14:paraId="360D5DBF" w14:textId="045B9059" w:rsidR="009E4B6D" w:rsidRPr="000C4435" w:rsidRDefault="009E4B6D" w:rsidP="000C4435">
            <w:pPr>
              <w:spacing w:before="60" w:after="60" w:line="240" w:lineRule="auto"/>
              <w:ind w:left="57" w:right="57"/>
              <w:rPr>
                <w:sz w:val="18"/>
                <w:szCs w:val="18"/>
                <w:lang w:val="fr-FR"/>
              </w:rPr>
            </w:pPr>
            <w:r w:rsidRPr="000C4435">
              <w:rPr>
                <w:sz w:val="18"/>
                <w:szCs w:val="18"/>
                <w:lang w:val="fr-FR"/>
              </w:rPr>
              <w:t>Les critères sont fondés sur la moyenne du pourcentage de</w:t>
            </w:r>
            <w:r w:rsidR="00E31AF4">
              <w:rPr>
                <w:sz w:val="18"/>
                <w:szCs w:val="18"/>
                <w:lang w:val="fr-FR"/>
              </w:rPr>
              <w:t xml:space="preserve"> </w:t>
            </w:r>
            <w:r w:rsidRPr="000C4435">
              <w:rPr>
                <w:sz w:val="18"/>
                <w:szCs w:val="18"/>
                <w:lang w:val="fr-FR"/>
              </w:rPr>
              <w:t xml:space="preserve">déplétion des peptides de cystéine et de lysine (DPRA), les </w:t>
            </w:r>
            <w:r w:rsidRPr="000C4435">
              <w:rPr>
                <w:bCs/>
                <w:sz w:val="18"/>
                <w:szCs w:val="18"/>
                <w:lang w:val="fr-FR"/>
              </w:rPr>
              <w:t xml:space="preserve">taux </w:t>
            </w:r>
            <w:r w:rsidRPr="000C4435">
              <w:rPr>
                <w:sz w:val="18"/>
                <w:szCs w:val="18"/>
                <w:lang w:val="fr-FR"/>
              </w:rPr>
              <w:t xml:space="preserve">cinétiques </w:t>
            </w:r>
            <w:r w:rsidRPr="000C4435">
              <w:rPr>
                <w:bCs/>
                <w:sz w:val="18"/>
                <w:szCs w:val="18"/>
                <w:lang w:val="fr-FR"/>
              </w:rPr>
              <w:t xml:space="preserve">de </w:t>
            </w:r>
            <w:r w:rsidRPr="000C4435">
              <w:rPr>
                <w:sz w:val="18"/>
                <w:szCs w:val="18"/>
                <w:lang w:val="fr-FR"/>
              </w:rPr>
              <w:t xml:space="preserve">déplétion de la </w:t>
            </w:r>
            <w:r w:rsidRPr="000C4435">
              <w:rPr>
                <w:bCs/>
                <w:sz w:val="18"/>
                <w:szCs w:val="18"/>
                <w:lang w:val="fr-FR"/>
              </w:rPr>
              <w:t xml:space="preserve">cystéine </w:t>
            </w:r>
            <w:r w:rsidRPr="000C4435">
              <w:rPr>
                <w:sz w:val="18"/>
                <w:szCs w:val="18"/>
                <w:lang w:val="fr-FR"/>
              </w:rPr>
              <w:t>(</w:t>
            </w:r>
            <w:proofErr w:type="spellStart"/>
            <w:r w:rsidRPr="000C4435">
              <w:rPr>
                <w:sz w:val="18"/>
                <w:szCs w:val="18"/>
                <w:lang w:val="fr-FR"/>
              </w:rPr>
              <w:t>kDPRA</w:t>
            </w:r>
            <w:proofErr w:type="spellEnd"/>
            <w:r w:rsidRPr="000C4435">
              <w:rPr>
                <w:sz w:val="18"/>
                <w:szCs w:val="18"/>
                <w:lang w:val="fr-FR"/>
              </w:rPr>
              <w:t>) et</w:t>
            </w:r>
            <w:r w:rsidR="00E31AF4">
              <w:rPr>
                <w:sz w:val="18"/>
                <w:szCs w:val="18"/>
                <w:lang w:val="fr-FR"/>
              </w:rPr>
              <w:t xml:space="preserve"> </w:t>
            </w:r>
            <w:r w:rsidRPr="000C4435">
              <w:rPr>
                <w:sz w:val="18"/>
                <w:szCs w:val="18"/>
                <w:lang w:val="fr-FR"/>
              </w:rPr>
              <w:t>la</w:t>
            </w:r>
            <w:r w:rsidR="00E31AF4">
              <w:rPr>
                <w:sz w:val="18"/>
                <w:szCs w:val="18"/>
                <w:lang w:val="fr-FR"/>
              </w:rPr>
              <w:t xml:space="preserve"> </w:t>
            </w:r>
            <w:r w:rsidRPr="000C4435">
              <w:rPr>
                <w:sz w:val="18"/>
                <w:szCs w:val="18"/>
                <w:lang w:val="fr-FR"/>
              </w:rPr>
              <w:t>valeur moyenne du pourcentage de déplétion de la NAC et</w:t>
            </w:r>
            <w:r w:rsidR="00BA7B31">
              <w:rPr>
                <w:sz w:val="18"/>
                <w:szCs w:val="18"/>
                <w:lang w:val="fr-FR"/>
              </w:rPr>
              <w:t xml:space="preserve"> </w:t>
            </w:r>
            <w:r w:rsidRPr="000C4435">
              <w:rPr>
                <w:sz w:val="18"/>
                <w:szCs w:val="18"/>
                <w:lang w:val="fr-FR"/>
              </w:rPr>
              <w:t>de la NAL (ADRA). Des modèles de prédiction fondés sur</w:t>
            </w:r>
            <w:r w:rsidR="00BA7B31">
              <w:rPr>
                <w:sz w:val="18"/>
                <w:szCs w:val="18"/>
                <w:lang w:val="fr-FR"/>
              </w:rPr>
              <w:t xml:space="preserve"> </w:t>
            </w:r>
            <w:r w:rsidRPr="000C4435">
              <w:rPr>
                <w:sz w:val="18"/>
                <w:szCs w:val="18"/>
                <w:lang w:val="fr-FR"/>
              </w:rPr>
              <w:t>la valeur de déplétion en pourcentage de la cystéine ou</w:t>
            </w:r>
            <w:r w:rsidR="00BA7B31">
              <w:rPr>
                <w:sz w:val="18"/>
                <w:szCs w:val="18"/>
                <w:lang w:val="fr-FR"/>
              </w:rPr>
              <w:t xml:space="preserve"> </w:t>
            </w:r>
            <w:r w:rsidRPr="000C4435">
              <w:rPr>
                <w:sz w:val="18"/>
                <w:szCs w:val="18"/>
                <w:lang w:val="fr-FR"/>
              </w:rPr>
              <w:t>de la NAC uniquement, dans le cas où le peptide de</w:t>
            </w:r>
            <w:r w:rsidR="00BA7B31">
              <w:rPr>
                <w:sz w:val="18"/>
                <w:szCs w:val="18"/>
                <w:lang w:val="fr-FR"/>
              </w:rPr>
              <w:t xml:space="preserve"> </w:t>
            </w:r>
            <w:r w:rsidRPr="000C4435">
              <w:rPr>
                <w:sz w:val="18"/>
                <w:szCs w:val="18"/>
                <w:lang w:val="fr-FR"/>
              </w:rPr>
              <w:t>lysine ou la NAL n’ayant pas réagi ne peut pas être mesuré de manière fiable, peuvent être appliqués pour la</w:t>
            </w:r>
            <w:r w:rsidR="00BA7B31">
              <w:rPr>
                <w:sz w:val="18"/>
                <w:szCs w:val="18"/>
                <w:lang w:val="fr-FR"/>
              </w:rPr>
              <w:t xml:space="preserve"> </w:t>
            </w:r>
            <w:r w:rsidRPr="000C4435">
              <w:rPr>
                <w:sz w:val="18"/>
                <w:szCs w:val="18"/>
                <w:lang w:val="fr-FR"/>
              </w:rPr>
              <w:t>DPRA et l’ADRA.</w:t>
            </w:r>
          </w:p>
        </w:tc>
        <w:tc>
          <w:tcPr>
            <w:tcW w:w="3601" w:type="dxa"/>
            <w:gridSpan w:val="2"/>
            <w:tcBorders>
              <w:top w:val="single" w:sz="4" w:space="0" w:color="auto"/>
              <w:left w:val="single" w:sz="4" w:space="0" w:color="auto"/>
              <w:bottom w:val="single" w:sz="4" w:space="0" w:color="auto"/>
              <w:right w:val="single" w:sz="4" w:space="0" w:color="auto"/>
            </w:tcBorders>
          </w:tcPr>
          <w:p w14:paraId="39D2436D" w14:textId="5E3CB560" w:rsidR="009E4B6D" w:rsidRPr="000C4435" w:rsidRDefault="009E4B6D" w:rsidP="000C4435">
            <w:pPr>
              <w:spacing w:before="60" w:after="60" w:line="240" w:lineRule="auto"/>
              <w:ind w:left="57" w:right="57"/>
              <w:rPr>
                <w:sz w:val="18"/>
                <w:szCs w:val="18"/>
                <w:lang w:val="fr-FR"/>
              </w:rPr>
            </w:pPr>
            <w:r w:rsidRPr="000C4435">
              <w:rPr>
                <w:sz w:val="18"/>
                <w:szCs w:val="18"/>
                <w:lang w:val="fr-FR"/>
              </w:rPr>
              <w:t>Méthodes : méthodes cellulaires utilisant le processus d’activation des kératinocytes, en évaluant, à l’aide de</w:t>
            </w:r>
            <w:r w:rsidR="00BA7B31">
              <w:rPr>
                <w:sz w:val="18"/>
                <w:szCs w:val="18"/>
                <w:lang w:val="fr-FR"/>
              </w:rPr>
              <w:t xml:space="preserve"> </w:t>
            </w:r>
            <w:r w:rsidRPr="000C4435">
              <w:rPr>
                <w:sz w:val="18"/>
                <w:szCs w:val="18"/>
                <w:lang w:val="fr-FR"/>
              </w:rPr>
              <w:t>la luciférase, l’activation des gènes dépendant de</w:t>
            </w:r>
            <w:r w:rsidR="00BA7B31">
              <w:rPr>
                <w:sz w:val="18"/>
                <w:szCs w:val="18"/>
                <w:lang w:val="fr-FR"/>
              </w:rPr>
              <w:t xml:space="preserve"> </w:t>
            </w:r>
            <w:r w:rsidRPr="000C4435">
              <w:rPr>
                <w:sz w:val="18"/>
                <w:szCs w:val="18"/>
                <w:lang w:val="fr-FR"/>
              </w:rPr>
              <w:t>l’élément de réaction antioxydant (ARE) causée par</w:t>
            </w:r>
            <w:r w:rsidR="00BA7B31">
              <w:rPr>
                <w:sz w:val="18"/>
                <w:szCs w:val="18"/>
                <w:lang w:val="fr-FR"/>
              </w:rPr>
              <w:t xml:space="preserve"> </w:t>
            </w:r>
            <w:r w:rsidRPr="000C4435">
              <w:rPr>
                <w:sz w:val="18"/>
                <w:szCs w:val="18"/>
                <w:lang w:val="fr-FR"/>
              </w:rPr>
              <w:t>le facteur de transcription Nrf2 (</w:t>
            </w:r>
            <w:proofErr w:type="spellStart"/>
            <w:r w:rsidRPr="000C4435">
              <w:rPr>
                <w:sz w:val="18"/>
                <w:szCs w:val="18"/>
                <w:lang w:val="fr-FR"/>
              </w:rPr>
              <w:t>nuclear</w:t>
            </w:r>
            <w:proofErr w:type="spellEnd"/>
            <w:r w:rsidRPr="000C4435">
              <w:rPr>
                <w:sz w:val="18"/>
                <w:szCs w:val="18"/>
                <w:lang w:val="fr-FR"/>
              </w:rPr>
              <w:t xml:space="preserve"> factor (</w:t>
            </w:r>
            <w:proofErr w:type="spellStart"/>
            <w:r w:rsidRPr="000C4435">
              <w:rPr>
                <w:sz w:val="18"/>
                <w:szCs w:val="18"/>
                <w:lang w:val="fr-FR"/>
              </w:rPr>
              <w:t>erythroid-derived</w:t>
            </w:r>
            <w:proofErr w:type="spellEnd"/>
            <w:r w:rsidRPr="000C4435">
              <w:rPr>
                <w:sz w:val="18"/>
                <w:szCs w:val="18"/>
                <w:lang w:val="fr-FR"/>
              </w:rPr>
              <w:t xml:space="preserve"> </w:t>
            </w:r>
            <w:proofErr w:type="gramStart"/>
            <w:r w:rsidRPr="000C4435">
              <w:rPr>
                <w:sz w:val="18"/>
                <w:szCs w:val="18"/>
                <w:lang w:val="fr-FR"/>
              </w:rPr>
              <w:t>2)-</w:t>
            </w:r>
            <w:proofErr w:type="gramEnd"/>
            <w:r w:rsidRPr="000C4435">
              <w:rPr>
                <w:sz w:val="18"/>
                <w:szCs w:val="18"/>
                <w:lang w:val="fr-FR"/>
              </w:rPr>
              <w:t>like 2) après exposition des cellules au produit chimique testé.</w:t>
            </w:r>
          </w:p>
          <w:p w14:paraId="52717AAC" w14:textId="5A541ABC" w:rsidR="009E4B6D" w:rsidRPr="000C4435" w:rsidRDefault="009E4B6D" w:rsidP="000C4435">
            <w:pPr>
              <w:spacing w:before="60" w:after="60" w:line="240" w:lineRule="auto"/>
              <w:ind w:left="57" w:right="57"/>
              <w:rPr>
                <w:sz w:val="18"/>
                <w:szCs w:val="18"/>
                <w:lang w:val="fr-FR"/>
              </w:rPr>
            </w:pPr>
            <w:r w:rsidRPr="000C4435">
              <w:rPr>
                <w:sz w:val="18"/>
                <w:szCs w:val="18"/>
                <w:lang w:val="fr-FR"/>
              </w:rPr>
              <w:t>La viabilité cellulaire est mesurée quantitativement en</w:t>
            </w:r>
            <w:r w:rsidR="00BA7B31">
              <w:rPr>
                <w:sz w:val="18"/>
                <w:szCs w:val="18"/>
                <w:lang w:val="fr-FR"/>
              </w:rPr>
              <w:t xml:space="preserve"> </w:t>
            </w:r>
            <w:r w:rsidRPr="000C4435">
              <w:rPr>
                <w:sz w:val="18"/>
                <w:szCs w:val="18"/>
                <w:lang w:val="fr-FR"/>
              </w:rPr>
              <w:t>parallèle par conversion enzymatique du colorant bromure de 3-(4,5-diméthylthiazol-2-</w:t>
            </w:r>
            <w:proofErr w:type="gramStart"/>
            <w:r w:rsidRPr="000C4435">
              <w:rPr>
                <w:sz w:val="18"/>
                <w:szCs w:val="18"/>
                <w:lang w:val="fr-FR"/>
              </w:rPr>
              <w:t>yl)-</w:t>
            </w:r>
            <w:proofErr w:type="gramEnd"/>
            <w:r w:rsidRPr="000C4435">
              <w:rPr>
                <w:sz w:val="18"/>
                <w:szCs w:val="18"/>
                <w:lang w:val="fr-FR"/>
              </w:rPr>
              <w:t xml:space="preserve">2,5-diphényltétrazolium (MTT). </w:t>
            </w:r>
          </w:p>
          <w:p w14:paraId="667BFCA9" w14:textId="2CAA2CC0" w:rsidR="009E4B6D" w:rsidRPr="000C4435" w:rsidRDefault="009E4B6D" w:rsidP="000C4435">
            <w:pPr>
              <w:spacing w:before="60" w:after="60" w:line="240" w:lineRule="auto"/>
              <w:ind w:left="57" w:right="57"/>
              <w:rPr>
                <w:sz w:val="18"/>
                <w:szCs w:val="18"/>
                <w:lang w:val="fr-FR"/>
              </w:rPr>
            </w:pPr>
            <w:r w:rsidRPr="000C4435">
              <w:rPr>
                <w:sz w:val="18"/>
                <w:szCs w:val="18"/>
                <w:lang w:val="fr-FR"/>
              </w:rPr>
              <w:t>Les critères reposent sur l’induction du gène de</w:t>
            </w:r>
            <w:r w:rsidR="00B7119F">
              <w:rPr>
                <w:sz w:val="18"/>
                <w:szCs w:val="18"/>
                <w:lang w:val="fr-FR"/>
              </w:rPr>
              <w:t xml:space="preserve"> </w:t>
            </w:r>
            <w:r w:rsidRPr="000C4435">
              <w:rPr>
                <w:sz w:val="18"/>
                <w:szCs w:val="18"/>
                <w:lang w:val="fr-FR"/>
              </w:rPr>
              <w:t>la</w:t>
            </w:r>
            <w:r w:rsidR="00B7119F">
              <w:rPr>
                <w:sz w:val="18"/>
                <w:szCs w:val="18"/>
                <w:lang w:val="fr-FR"/>
              </w:rPr>
              <w:t xml:space="preserve"> </w:t>
            </w:r>
            <w:r w:rsidRPr="000C4435">
              <w:rPr>
                <w:sz w:val="18"/>
                <w:szCs w:val="18"/>
                <w:lang w:val="fr-FR"/>
              </w:rPr>
              <w:t>luciférase au-dessus d’un seuil donné, quantifié à</w:t>
            </w:r>
            <w:r w:rsidR="00B7119F">
              <w:rPr>
                <w:sz w:val="18"/>
                <w:szCs w:val="18"/>
                <w:lang w:val="fr-FR"/>
              </w:rPr>
              <w:t xml:space="preserve"> </w:t>
            </w:r>
            <w:r w:rsidRPr="000C4435">
              <w:rPr>
                <w:sz w:val="18"/>
                <w:szCs w:val="18"/>
                <w:lang w:val="fr-FR"/>
              </w:rPr>
              <w:t xml:space="preserve">des concentrations </w:t>
            </w:r>
            <w:proofErr w:type="spellStart"/>
            <w:r w:rsidRPr="000C4435">
              <w:rPr>
                <w:sz w:val="18"/>
                <w:szCs w:val="18"/>
                <w:lang w:val="fr-FR"/>
              </w:rPr>
              <w:t>subtoxiques</w:t>
            </w:r>
            <w:proofErr w:type="spellEnd"/>
            <w:r w:rsidRPr="000C4435">
              <w:rPr>
                <w:sz w:val="18"/>
                <w:szCs w:val="18"/>
                <w:lang w:val="fr-FR"/>
              </w:rPr>
              <w:t>. Les</w:t>
            </w:r>
            <w:r w:rsidR="00B7119F">
              <w:rPr>
                <w:sz w:val="18"/>
                <w:szCs w:val="18"/>
                <w:lang w:val="fr-FR"/>
              </w:rPr>
              <w:t> </w:t>
            </w:r>
            <w:r w:rsidRPr="000C4435">
              <w:rPr>
                <w:sz w:val="18"/>
                <w:szCs w:val="18"/>
                <w:lang w:val="fr-FR"/>
              </w:rPr>
              <w:t>critères doivent</w:t>
            </w:r>
            <w:r w:rsidR="00B7119F">
              <w:rPr>
                <w:sz w:val="18"/>
                <w:szCs w:val="18"/>
                <w:lang w:val="fr-FR"/>
              </w:rPr>
              <w:t xml:space="preserve"> </w:t>
            </w:r>
            <w:r w:rsidRPr="000C4435">
              <w:rPr>
                <w:sz w:val="18"/>
                <w:szCs w:val="18"/>
                <w:lang w:val="fr-FR"/>
              </w:rPr>
              <w:t>être remplis dans 2 répétitions sur 2 ou dans 2 répétitions sur 3.</w:t>
            </w:r>
          </w:p>
        </w:tc>
        <w:tc>
          <w:tcPr>
            <w:tcW w:w="5441" w:type="dxa"/>
            <w:gridSpan w:val="4"/>
            <w:tcBorders>
              <w:top w:val="single" w:sz="4" w:space="0" w:color="auto"/>
              <w:left w:val="single" w:sz="4" w:space="0" w:color="auto"/>
              <w:bottom w:val="single" w:sz="4" w:space="0" w:color="auto"/>
              <w:right w:val="single" w:sz="4" w:space="0" w:color="auto"/>
            </w:tcBorders>
          </w:tcPr>
          <w:p w14:paraId="3D98D9FA" w14:textId="77777777" w:rsidR="009E4B6D" w:rsidRPr="000C4435" w:rsidRDefault="009E4B6D" w:rsidP="000C4435">
            <w:pPr>
              <w:spacing w:before="60" w:after="60" w:line="240" w:lineRule="auto"/>
              <w:ind w:left="57" w:right="57"/>
              <w:rPr>
                <w:sz w:val="18"/>
                <w:szCs w:val="18"/>
                <w:lang w:val="fr-FR"/>
              </w:rPr>
            </w:pPr>
            <w:r w:rsidRPr="000C4435">
              <w:rPr>
                <w:sz w:val="18"/>
                <w:szCs w:val="18"/>
                <w:lang w:val="fr-FR"/>
              </w:rPr>
              <w:t>Méthodes : méthodes cellulaires utilisant le processus d’activation des monocytes ou des cellules dendritiques, soit en quantifiant la modification de l’expression d’un ou plusieurs marqueurs de surface cellulaire (par exemple, le groupe de différenciation 54 (CD54), le groupe de différenciation 86 (CD86)), soit la modification de l’expression de l’IL-8, soit les schémas transcriptionnels d’une signature génomique de biomarqueur spécifique du point final, après exposition des cellules au produit chimique testé.</w:t>
            </w:r>
          </w:p>
          <w:p w14:paraId="11760B35" w14:textId="6092C36E" w:rsidR="009E4B6D" w:rsidRPr="000C4435" w:rsidRDefault="009E4B6D" w:rsidP="000C4435">
            <w:pPr>
              <w:spacing w:before="60" w:after="60" w:line="240" w:lineRule="auto"/>
              <w:ind w:left="57" w:right="57"/>
              <w:rPr>
                <w:sz w:val="18"/>
                <w:szCs w:val="18"/>
                <w:lang w:val="fr-FR"/>
              </w:rPr>
            </w:pPr>
            <w:r w:rsidRPr="000C4435">
              <w:rPr>
                <w:sz w:val="18"/>
                <w:szCs w:val="18"/>
                <w:lang w:val="fr-FR"/>
              </w:rPr>
              <w:t xml:space="preserve">Les critères doivent être respectés dans 2 répétitions sur 2 ou dans au moins 2 répétitions sur 3 pour les méthodes d’essai décrites aux annexes I, II et III ou dans </w:t>
            </w:r>
            <w:r w:rsidR="00C35E18">
              <w:rPr>
                <w:sz w:val="18"/>
                <w:szCs w:val="18"/>
                <w:lang w:val="fr-FR"/>
              </w:rPr>
              <w:t>3</w:t>
            </w:r>
            <w:r w:rsidRPr="000C4435">
              <w:rPr>
                <w:sz w:val="18"/>
                <w:szCs w:val="18"/>
                <w:lang w:val="fr-FR"/>
              </w:rPr>
              <w:t xml:space="preserve"> répétitions biologiques valides pour la méthode d’essai décrite à l’annexe IV.</w:t>
            </w:r>
          </w:p>
        </w:tc>
      </w:tr>
      <w:tr w:rsidR="00E81D4E" w:rsidRPr="000C4435" w14:paraId="5DEB7CA5" w14:textId="77777777" w:rsidTr="00E81D4E">
        <w:trPr>
          <w:trHeight w:val="1454"/>
          <w:jc w:val="center"/>
        </w:trPr>
        <w:tc>
          <w:tcPr>
            <w:tcW w:w="8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29A50F0" w14:textId="77777777" w:rsidR="009E4B6D" w:rsidRPr="000C4435" w:rsidRDefault="009E4B6D" w:rsidP="00210BB9">
            <w:pPr>
              <w:keepNext/>
              <w:keepLines/>
              <w:spacing w:before="60" w:after="60" w:line="220" w:lineRule="atLeast"/>
              <w:ind w:left="-32" w:right="-22"/>
              <w:jc w:val="center"/>
              <w:rPr>
                <w:b/>
                <w:bCs/>
                <w:sz w:val="18"/>
                <w:szCs w:val="18"/>
              </w:rPr>
            </w:pPr>
            <w:r w:rsidRPr="000C4435">
              <w:rPr>
                <w:b/>
                <w:bCs/>
                <w:sz w:val="18"/>
                <w:szCs w:val="18"/>
              </w:rPr>
              <w:lastRenderedPageBreak/>
              <w:t>1</w:t>
            </w:r>
          </w:p>
        </w:tc>
        <w:tc>
          <w:tcPr>
            <w:tcW w:w="13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46312B9" w14:textId="38BADC68" w:rsidR="009E4B6D" w:rsidRPr="000C4435" w:rsidRDefault="009E4B6D" w:rsidP="00210BB9">
            <w:pPr>
              <w:keepNext/>
              <w:keepLines/>
              <w:tabs>
                <w:tab w:val="left" w:pos="294"/>
              </w:tabs>
              <w:spacing w:before="60" w:after="60" w:line="220" w:lineRule="atLeast"/>
              <w:ind w:left="57" w:right="57"/>
              <w:rPr>
                <w:sz w:val="18"/>
                <w:szCs w:val="18"/>
              </w:rPr>
            </w:pPr>
            <w:r w:rsidRPr="000C4435">
              <w:rPr>
                <w:sz w:val="18"/>
                <w:szCs w:val="18"/>
                <w:lang w:val="fr-FR"/>
              </w:rPr>
              <w:t xml:space="preserve">Déplétion moyenne en cystéine/lysine &gt;6,38 % </w:t>
            </w:r>
            <w:r w:rsidRPr="000C4435">
              <w:rPr>
                <w:sz w:val="18"/>
                <w:szCs w:val="18"/>
                <w:lang w:val="fr-FR"/>
              </w:rPr>
              <w:br/>
              <w:t>ou</w:t>
            </w:r>
            <w:r w:rsidR="00EE4117">
              <w:rPr>
                <w:sz w:val="18"/>
                <w:szCs w:val="18"/>
                <w:lang w:val="fr-FR"/>
              </w:rPr>
              <w:br/>
            </w:r>
            <w:r w:rsidRPr="000C4435">
              <w:rPr>
                <w:sz w:val="18"/>
                <w:szCs w:val="18"/>
                <w:lang w:val="fr-FR"/>
              </w:rPr>
              <w:t xml:space="preserve">Déplétion moyenne </w:t>
            </w:r>
            <w:r w:rsidRPr="000C4435">
              <w:rPr>
                <w:sz w:val="18"/>
                <w:szCs w:val="18"/>
              </w:rPr>
              <w:t>en cystéine &gt;13,89 %</w:t>
            </w:r>
          </w:p>
        </w:tc>
        <w:tc>
          <w:tcPr>
            <w:tcW w:w="1360" w:type="dxa"/>
            <w:gridSpan w:val="2"/>
            <w:tcBorders>
              <w:top w:val="single" w:sz="4" w:space="0" w:color="auto"/>
              <w:left w:val="single" w:sz="4" w:space="0" w:color="auto"/>
              <w:bottom w:val="single" w:sz="4" w:space="0" w:color="auto"/>
              <w:right w:val="single" w:sz="4" w:space="0" w:color="auto"/>
            </w:tcBorders>
          </w:tcPr>
          <w:p w14:paraId="50A89205" w14:textId="4C725E56" w:rsidR="009E4B6D" w:rsidRPr="000E12C1" w:rsidRDefault="009E4B6D" w:rsidP="00210BB9">
            <w:pPr>
              <w:keepNext/>
              <w:keepLines/>
              <w:tabs>
                <w:tab w:val="left" w:pos="294"/>
              </w:tabs>
              <w:spacing w:before="60" w:after="60" w:line="220" w:lineRule="atLeast"/>
              <w:ind w:left="57" w:right="57"/>
              <w:rPr>
                <w:sz w:val="18"/>
                <w:szCs w:val="18"/>
              </w:rPr>
            </w:pPr>
            <w:r w:rsidRPr="000C4435">
              <w:rPr>
                <w:sz w:val="18"/>
                <w:szCs w:val="18"/>
                <w:lang w:val="fr-FR"/>
              </w:rPr>
              <w:t>Déplétion moyenne en NAC et en NAL ≥4,9 %</w:t>
            </w:r>
            <w:r w:rsidR="00210BB9">
              <w:rPr>
                <w:sz w:val="18"/>
                <w:szCs w:val="18"/>
                <w:lang w:val="fr-FR"/>
              </w:rPr>
              <w:br/>
            </w:r>
            <w:r w:rsidRPr="000C4435">
              <w:rPr>
                <w:sz w:val="18"/>
                <w:szCs w:val="18"/>
                <w:lang w:val="fr-FR"/>
              </w:rPr>
              <w:t>ou</w:t>
            </w:r>
            <w:r w:rsidR="00EE4117">
              <w:rPr>
                <w:sz w:val="18"/>
                <w:szCs w:val="18"/>
                <w:lang w:val="fr-FR"/>
              </w:rPr>
              <w:br/>
            </w:r>
            <w:r w:rsidRPr="000E12C1">
              <w:rPr>
                <w:sz w:val="18"/>
                <w:szCs w:val="18"/>
              </w:rPr>
              <w:t>Déplétion moyenne en NAC ≥5,6 %</w:t>
            </w:r>
          </w:p>
        </w:tc>
        <w:tc>
          <w:tcPr>
            <w:tcW w:w="1149" w:type="dxa"/>
            <w:tcBorders>
              <w:top w:val="single" w:sz="4" w:space="0" w:color="auto"/>
              <w:left w:val="single" w:sz="4" w:space="0" w:color="auto"/>
              <w:bottom w:val="single" w:sz="4" w:space="0" w:color="auto"/>
              <w:right w:val="single" w:sz="4" w:space="0" w:color="auto"/>
            </w:tcBorders>
          </w:tcPr>
          <w:p w14:paraId="6DF6ACDE" w14:textId="77777777" w:rsidR="009E4B6D" w:rsidRPr="000C4435" w:rsidRDefault="009E4B6D" w:rsidP="00210BB9">
            <w:pPr>
              <w:keepNext/>
              <w:keepLines/>
              <w:tabs>
                <w:tab w:val="left" w:pos="294"/>
              </w:tabs>
              <w:spacing w:before="60" w:after="60" w:line="220" w:lineRule="atLeast"/>
              <w:ind w:left="57" w:right="57"/>
              <w:rPr>
                <w:sz w:val="18"/>
                <w:szCs w:val="18"/>
              </w:rPr>
            </w:pPr>
            <w:r w:rsidRPr="000C4435">
              <w:rPr>
                <w:sz w:val="18"/>
                <w:szCs w:val="18"/>
              </w:rPr>
              <w:t>Sans objet</w:t>
            </w:r>
          </w:p>
        </w:tc>
        <w:tc>
          <w:tcPr>
            <w:tcW w:w="2029" w:type="dxa"/>
            <w:tcBorders>
              <w:top w:val="single" w:sz="4" w:space="0" w:color="auto"/>
              <w:left w:val="single" w:sz="4" w:space="0" w:color="auto"/>
              <w:bottom w:val="single" w:sz="4" w:space="0" w:color="auto"/>
              <w:right w:val="single" w:sz="4" w:space="0" w:color="auto"/>
            </w:tcBorders>
          </w:tcPr>
          <w:p w14:paraId="2B52C5CC" w14:textId="77777777" w:rsidR="009E4B6D" w:rsidRPr="000C4435" w:rsidRDefault="009E4B6D" w:rsidP="00B34BC1">
            <w:pPr>
              <w:keepNext/>
              <w:keepLines/>
              <w:spacing w:before="60" w:after="60" w:line="220" w:lineRule="atLeast"/>
              <w:ind w:left="58" w:right="4"/>
              <w:rPr>
                <w:sz w:val="18"/>
                <w:szCs w:val="18"/>
                <w:lang w:val="fr-FR"/>
              </w:rPr>
            </w:pPr>
            <w:r w:rsidRPr="000C4435">
              <w:rPr>
                <w:sz w:val="18"/>
                <w:szCs w:val="18"/>
                <w:lang w:val="fr-FR"/>
              </w:rPr>
              <w:t>Les quatre conditions suivantes sont toutes remplies dans 2 répétitions sur 2 ou dans les mêmes 2 répétitions sur 3 :</w:t>
            </w:r>
          </w:p>
          <w:p w14:paraId="217AF469" w14:textId="3E7DB1D8" w:rsidR="009E4B6D" w:rsidRPr="00016E1D" w:rsidRDefault="009E4B6D" w:rsidP="00210BB9">
            <w:pPr>
              <w:spacing w:line="220" w:lineRule="atLeast"/>
              <w:ind w:left="170" w:hanging="170"/>
              <w:rPr>
                <w:sz w:val="18"/>
                <w:szCs w:val="18"/>
              </w:rPr>
            </w:pPr>
            <w:r w:rsidRPr="00016E1D">
              <w:rPr>
                <w:sz w:val="18"/>
                <w:szCs w:val="18"/>
              </w:rPr>
              <w:t>1.</w:t>
            </w:r>
            <w:r w:rsidRPr="00016E1D">
              <w:rPr>
                <w:sz w:val="18"/>
                <w:szCs w:val="18"/>
              </w:rPr>
              <w:tab/>
              <w:t xml:space="preserve">Imax </w:t>
            </w:r>
            <w:r w:rsidR="00047E5C" w:rsidRPr="000C4435">
              <w:rPr>
                <w:sz w:val="18"/>
                <w:szCs w:val="18"/>
                <w:lang w:val="fr-FR"/>
              </w:rPr>
              <w:t>≥</w:t>
            </w:r>
            <w:r w:rsidRPr="00016E1D">
              <w:rPr>
                <w:sz w:val="18"/>
                <w:szCs w:val="18"/>
              </w:rPr>
              <w:t>1,5 fois et statistiquement significativement différent du témoin solvant</w:t>
            </w:r>
          </w:p>
          <w:p w14:paraId="04FF16B2" w14:textId="1A3ECFE0" w:rsidR="009E4B6D" w:rsidRPr="00016E1D" w:rsidRDefault="009E4B6D" w:rsidP="00210BB9">
            <w:pPr>
              <w:spacing w:line="220" w:lineRule="atLeast"/>
              <w:ind w:left="170" w:hanging="170"/>
              <w:rPr>
                <w:sz w:val="18"/>
                <w:szCs w:val="18"/>
              </w:rPr>
            </w:pPr>
            <w:r w:rsidRPr="00016E1D">
              <w:rPr>
                <w:sz w:val="18"/>
                <w:szCs w:val="18"/>
              </w:rPr>
              <w:t>2.</w:t>
            </w:r>
            <w:r w:rsidRPr="00016E1D">
              <w:rPr>
                <w:sz w:val="18"/>
                <w:szCs w:val="18"/>
              </w:rPr>
              <w:tab/>
              <w:t xml:space="preserve">Viabilité cellulaire &gt;70 % à la concentration la plus faible, accompagnée d’une induction de l’activité de la luciférase </w:t>
            </w:r>
            <w:r w:rsidR="00047E5C" w:rsidRPr="000C4435">
              <w:rPr>
                <w:sz w:val="18"/>
                <w:szCs w:val="18"/>
                <w:lang w:val="fr-FR"/>
              </w:rPr>
              <w:t>≥</w:t>
            </w:r>
            <w:r w:rsidRPr="00016E1D">
              <w:rPr>
                <w:sz w:val="18"/>
                <w:szCs w:val="18"/>
              </w:rPr>
              <w:t>1,5 fois</w:t>
            </w:r>
          </w:p>
          <w:p w14:paraId="49166722" w14:textId="43950E0A" w:rsidR="009E4B6D" w:rsidRPr="00016E1D" w:rsidRDefault="009E4B6D" w:rsidP="00210BB9">
            <w:pPr>
              <w:spacing w:line="220" w:lineRule="atLeast"/>
              <w:ind w:left="170" w:hanging="170"/>
              <w:rPr>
                <w:sz w:val="18"/>
                <w:szCs w:val="18"/>
              </w:rPr>
            </w:pPr>
            <w:r w:rsidRPr="00016E1D">
              <w:rPr>
                <w:sz w:val="18"/>
                <w:szCs w:val="18"/>
              </w:rPr>
              <w:t>3</w:t>
            </w:r>
            <w:r w:rsidR="00016E1D" w:rsidRPr="00016E1D">
              <w:rPr>
                <w:sz w:val="18"/>
                <w:szCs w:val="18"/>
              </w:rPr>
              <w:t>.</w:t>
            </w:r>
            <w:r w:rsidR="00016E1D">
              <w:rPr>
                <w:sz w:val="18"/>
                <w:szCs w:val="18"/>
              </w:rPr>
              <w:tab/>
            </w:r>
            <w:r w:rsidRPr="00016E1D">
              <w:rPr>
                <w:sz w:val="18"/>
                <w:szCs w:val="18"/>
              </w:rPr>
              <w:t>La valeur EC</w:t>
            </w:r>
            <w:r w:rsidRPr="003262AA">
              <w:rPr>
                <w:sz w:val="18"/>
                <w:szCs w:val="18"/>
                <w:vertAlign w:val="subscript"/>
              </w:rPr>
              <w:t>1.5</w:t>
            </w:r>
            <w:r w:rsidRPr="00016E1D">
              <w:rPr>
                <w:sz w:val="18"/>
                <w:szCs w:val="18"/>
              </w:rPr>
              <w:t xml:space="preserve"> &lt;1</w:t>
            </w:r>
            <w:r w:rsidR="003262AA">
              <w:rPr>
                <w:sz w:val="18"/>
                <w:szCs w:val="18"/>
              </w:rPr>
              <w:t> </w:t>
            </w:r>
            <w:r w:rsidRPr="00016E1D">
              <w:rPr>
                <w:sz w:val="18"/>
                <w:szCs w:val="18"/>
              </w:rPr>
              <w:t>000 µM (ou &lt;200 µg/</w:t>
            </w:r>
            <w:proofErr w:type="spellStart"/>
            <w:r w:rsidRPr="00016E1D">
              <w:rPr>
                <w:sz w:val="18"/>
                <w:szCs w:val="18"/>
              </w:rPr>
              <w:t>mL</w:t>
            </w:r>
            <w:proofErr w:type="spellEnd"/>
            <w:r w:rsidRPr="00016E1D">
              <w:rPr>
                <w:sz w:val="18"/>
                <w:szCs w:val="18"/>
              </w:rPr>
              <w:t xml:space="preserve"> pour les produits chimiques d’essai dont le poids moléculaire n’est pas défini)</w:t>
            </w:r>
          </w:p>
          <w:p w14:paraId="7B7F4D3A" w14:textId="77777777" w:rsidR="009E4B6D" w:rsidRPr="00016E1D" w:rsidRDefault="009E4B6D" w:rsidP="00210BB9">
            <w:pPr>
              <w:spacing w:line="220" w:lineRule="atLeast"/>
              <w:ind w:left="170" w:hanging="170"/>
              <w:rPr>
                <w:sz w:val="18"/>
                <w:szCs w:val="18"/>
              </w:rPr>
            </w:pPr>
            <w:r w:rsidRPr="00016E1D">
              <w:rPr>
                <w:sz w:val="18"/>
                <w:szCs w:val="18"/>
              </w:rPr>
              <w:t>4.</w:t>
            </w:r>
            <w:r w:rsidRPr="00016E1D">
              <w:rPr>
                <w:sz w:val="18"/>
                <w:szCs w:val="18"/>
              </w:rPr>
              <w:tab/>
              <w:t>Augmentation globale apparente et dépendant de la dose de l’induction de la luciférase</w:t>
            </w:r>
          </w:p>
        </w:tc>
        <w:tc>
          <w:tcPr>
            <w:tcW w:w="1572" w:type="dxa"/>
            <w:tcBorders>
              <w:top w:val="single" w:sz="4" w:space="0" w:color="auto"/>
              <w:left w:val="single" w:sz="4" w:space="0" w:color="auto"/>
              <w:bottom w:val="single" w:sz="4" w:space="0" w:color="auto"/>
              <w:right w:val="single" w:sz="4" w:space="0" w:color="auto"/>
            </w:tcBorders>
          </w:tcPr>
          <w:p w14:paraId="5DC2AE04" w14:textId="77777777" w:rsidR="009E4B6D" w:rsidRPr="000C4435" w:rsidRDefault="009E4B6D" w:rsidP="00210BB9">
            <w:pPr>
              <w:keepNext/>
              <w:keepLines/>
              <w:spacing w:before="60" w:after="60" w:line="220" w:lineRule="atLeast"/>
              <w:ind w:left="57" w:right="57"/>
              <w:rPr>
                <w:sz w:val="18"/>
                <w:szCs w:val="18"/>
                <w:lang w:val="fr-FR"/>
              </w:rPr>
            </w:pPr>
            <w:r w:rsidRPr="000C4435">
              <w:rPr>
                <w:sz w:val="18"/>
                <w:szCs w:val="18"/>
                <w:lang w:val="fr-FR"/>
              </w:rPr>
              <w:t>Les conditions suivantes sont toutes remplies en 2 de 2 ou dans les mêmes 2 de 3 répétitions :</w:t>
            </w:r>
          </w:p>
          <w:p w14:paraId="109ACAB7" w14:textId="6270847D" w:rsidR="009E4B6D" w:rsidRPr="00016E1D" w:rsidRDefault="009E4B6D" w:rsidP="004D5338">
            <w:pPr>
              <w:spacing w:line="220" w:lineRule="atLeast"/>
              <w:ind w:left="184" w:hanging="170"/>
              <w:rPr>
                <w:sz w:val="18"/>
                <w:szCs w:val="18"/>
              </w:rPr>
            </w:pPr>
            <w:r w:rsidRPr="00016E1D">
              <w:rPr>
                <w:sz w:val="18"/>
                <w:szCs w:val="18"/>
              </w:rPr>
              <w:t>1.</w:t>
            </w:r>
            <w:r w:rsidR="00016E1D">
              <w:rPr>
                <w:sz w:val="18"/>
                <w:szCs w:val="18"/>
              </w:rPr>
              <w:tab/>
            </w:r>
            <w:r w:rsidRPr="00016E1D">
              <w:rPr>
                <w:sz w:val="18"/>
                <w:szCs w:val="18"/>
              </w:rPr>
              <w:t>Une induction de la luciférase 1,5 fois par rapport au témoin solvant est observée dans</w:t>
            </w:r>
            <w:r w:rsidR="004D5338">
              <w:rPr>
                <w:sz w:val="18"/>
                <w:szCs w:val="18"/>
              </w:rPr>
              <w:t xml:space="preserve"> </w:t>
            </w:r>
            <w:r w:rsidRPr="00016E1D">
              <w:rPr>
                <w:sz w:val="18"/>
                <w:szCs w:val="18"/>
              </w:rPr>
              <w:t>au</w:t>
            </w:r>
            <w:r w:rsidR="004D5338">
              <w:rPr>
                <w:sz w:val="18"/>
                <w:szCs w:val="18"/>
              </w:rPr>
              <w:t xml:space="preserve"> </w:t>
            </w:r>
            <w:r w:rsidRPr="00016E1D">
              <w:rPr>
                <w:sz w:val="18"/>
                <w:szCs w:val="18"/>
              </w:rPr>
              <w:t xml:space="preserve">moins 2 concentrations testées consécutives non cytotoxiques (viabilité cellulaire </w:t>
            </w:r>
            <w:r w:rsidR="00047E5C" w:rsidRPr="000C4435">
              <w:rPr>
                <w:sz w:val="18"/>
                <w:szCs w:val="18"/>
                <w:lang w:val="fr-FR"/>
              </w:rPr>
              <w:t>≥</w:t>
            </w:r>
            <w:r w:rsidRPr="00016E1D">
              <w:rPr>
                <w:sz w:val="18"/>
                <w:szCs w:val="18"/>
              </w:rPr>
              <w:t>70 %)</w:t>
            </w:r>
          </w:p>
          <w:p w14:paraId="1D5F7A3E" w14:textId="11016881" w:rsidR="009E4B6D" w:rsidRPr="00016E1D" w:rsidRDefault="009E4B6D" w:rsidP="00210BB9">
            <w:pPr>
              <w:spacing w:line="220" w:lineRule="atLeast"/>
              <w:ind w:left="170" w:hanging="170"/>
              <w:rPr>
                <w:sz w:val="18"/>
                <w:szCs w:val="18"/>
              </w:rPr>
            </w:pPr>
            <w:r w:rsidRPr="00016E1D">
              <w:rPr>
                <w:sz w:val="18"/>
                <w:szCs w:val="18"/>
              </w:rPr>
              <w:t>2.</w:t>
            </w:r>
            <w:r w:rsidR="00016E1D">
              <w:rPr>
                <w:sz w:val="18"/>
                <w:szCs w:val="18"/>
              </w:rPr>
              <w:tab/>
            </w:r>
            <w:r w:rsidRPr="00016E1D">
              <w:rPr>
                <w:sz w:val="18"/>
                <w:szCs w:val="18"/>
              </w:rPr>
              <w:t xml:space="preserve">Au moins trois concentrations testées doivent être non cytotoxiques (et viabilité cellulaire </w:t>
            </w:r>
            <w:r w:rsidR="00132B41" w:rsidRPr="000C4435">
              <w:rPr>
                <w:sz w:val="18"/>
                <w:szCs w:val="18"/>
                <w:lang w:val="fr-FR"/>
              </w:rPr>
              <w:t>≥</w:t>
            </w:r>
            <w:r w:rsidRPr="00016E1D">
              <w:rPr>
                <w:sz w:val="18"/>
                <w:szCs w:val="18"/>
              </w:rPr>
              <w:t>70 %)</w:t>
            </w:r>
          </w:p>
        </w:tc>
        <w:tc>
          <w:tcPr>
            <w:tcW w:w="1421" w:type="dxa"/>
            <w:tcBorders>
              <w:top w:val="single" w:sz="4" w:space="0" w:color="auto"/>
              <w:left w:val="single" w:sz="4" w:space="0" w:color="auto"/>
              <w:bottom w:val="single" w:sz="4" w:space="0" w:color="auto"/>
              <w:right w:val="single" w:sz="4" w:space="0" w:color="auto"/>
            </w:tcBorders>
          </w:tcPr>
          <w:p w14:paraId="72E152FE" w14:textId="77777777" w:rsidR="009E4B6D" w:rsidRPr="000C4435" w:rsidRDefault="009E4B6D" w:rsidP="00610305">
            <w:pPr>
              <w:keepNext/>
              <w:keepLines/>
              <w:spacing w:before="60" w:after="60" w:line="220" w:lineRule="atLeast"/>
              <w:ind w:left="31" w:right="15"/>
              <w:rPr>
                <w:sz w:val="18"/>
                <w:szCs w:val="18"/>
                <w:lang w:val="fr-FR"/>
              </w:rPr>
            </w:pPr>
            <w:r w:rsidRPr="000C4435">
              <w:rPr>
                <w:sz w:val="18"/>
                <w:szCs w:val="18"/>
                <w:lang w:val="fr-FR"/>
              </w:rPr>
              <w:t>Au moins une des conditions suivantes est remplie dans 2 sur 2 ou au moins 2 sur 3 séries indépendantes :</w:t>
            </w:r>
          </w:p>
          <w:p w14:paraId="0F061375" w14:textId="1FD39972" w:rsidR="009E4B6D" w:rsidRPr="000C4435" w:rsidRDefault="009E4B6D" w:rsidP="00610305">
            <w:pPr>
              <w:keepNext/>
              <w:keepLines/>
              <w:spacing w:before="60" w:after="60" w:line="220" w:lineRule="atLeast"/>
              <w:ind w:left="31" w:right="15"/>
              <w:rPr>
                <w:sz w:val="18"/>
                <w:szCs w:val="18"/>
                <w:lang w:val="fr-FR"/>
              </w:rPr>
            </w:pPr>
            <w:r w:rsidRPr="000C4435">
              <w:rPr>
                <w:sz w:val="18"/>
                <w:szCs w:val="18"/>
                <w:lang w:val="fr-FR"/>
              </w:rPr>
              <w:t>L’intensité de fluorescence relative du CD86 est égale ou supérieure à 150 % à toute concentration testée (et viabilité cellulaire 50 %)</w:t>
            </w:r>
            <w:r w:rsidR="00B31692">
              <w:rPr>
                <w:sz w:val="18"/>
                <w:szCs w:val="18"/>
                <w:lang w:val="fr-FR"/>
              </w:rPr>
              <w:br/>
            </w:r>
            <w:r w:rsidRPr="000C4435">
              <w:rPr>
                <w:sz w:val="18"/>
                <w:szCs w:val="18"/>
                <w:lang w:val="fr-FR"/>
              </w:rPr>
              <w:t xml:space="preserve">ou </w:t>
            </w:r>
            <w:r w:rsidR="00B31692">
              <w:rPr>
                <w:sz w:val="18"/>
                <w:szCs w:val="18"/>
                <w:lang w:val="fr-FR"/>
              </w:rPr>
              <w:br/>
            </w:r>
            <w:r w:rsidRPr="000C4435">
              <w:rPr>
                <w:sz w:val="18"/>
                <w:szCs w:val="18"/>
                <w:lang w:val="fr-FR"/>
              </w:rPr>
              <w:t xml:space="preserve">l’intensité de fluorescence relative du CD54 </w:t>
            </w:r>
            <w:r w:rsidR="008D6E0D">
              <w:rPr>
                <w:sz w:val="18"/>
                <w:szCs w:val="18"/>
              </w:rPr>
              <w:t xml:space="preserve">est égale ou supérieure à </w:t>
            </w:r>
            <w:r w:rsidRPr="000C4435">
              <w:rPr>
                <w:sz w:val="18"/>
                <w:szCs w:val="18"/>
                <w:lang w:val="fr-FR"/>
              </w:rPr>
              <w:t>200 % à toute concentration testée (et viabilité cellulaire ≥50 %)</w:t>
            </w:r>
          </w:p>
        </w:tc>
        <w:tc>
          <w:tcPr>
            <w:tcW w:w="1480" w:type="dxa"/>
            <w:tcBorders>
              <w:top w:val="single" w:sz="4" w:space="0" w:color="auto"/>
              <w:left w:val="single" w:sz="4" w:space="0" w:color="auto"/>
              <w:bottom w:val="single" w:sz="4" w:space="0" w:color="auto"/>
              <w:right w:val="single" w:sz="4" w:space="0" w:color="auto"/>
            </w:tcBorders>
          </w:tcPr>
          <w:p w14:paraId="7725193C" w14:textId="7E51B797" w:rsidR="009E4B6D" w:rsidRPr="000C4435" w:rsidRDefault="009E4B6D" w:rsidP="008D6E0D">
            <w:pPr>
              <w:keepNext/>
              <w:keepLines/>
              <w:spacing w:before="60" w:after="60" w:line="220" w:lineRule="atLeast"/>
              <w:ind w:left="19" w:right="44"/>
              <w:rPr>
                <w:sz w:val="18"/>
                <w:szCs w:val="18"/>
                <w:lang w:val="fr-FR"/>
              </w:rPr>
            </w:pPr>
            <w:r w:rsidRPr="000C4435">
              <w:rPr>
                <w:sz w:val="18"/>
                <w:szCs w:val="18"/>
                <w:lang w:val="fr-FR"/>
              </w:rPr>
              <w:t>La condition suivante est remplie dans 2</w:t>
            </w:r>
            <w:r w:rsidR="008D6E0D">
              <w:rPr>
                <w:sz w:val="18"/>
                <w:szCs w:val="18"/>
                <w:lang w:val="fr-FR"/>
              </w:rPr>
              <w:t xml:space="preserve"> </w:t>
            </w:r>
            <w:r w:rsidRPr="000C4435">
              <w:rPr>
                <w:sz w:val="18"/>
                <w:szCs w:val="18"/>
                <w:lang w:val="fr-FR"/>
              </w:rPr>
              <w:t>de 2 ou au moins 2 de 3 séries indépendantes :</w:t>
            </w:r>
          </w:p>
          <w:p w14:paraId="654619AA" w14:textId="7B38C9E8" w:rsidR="009E4B6D" w:rsidRPr="000C4435" w:rsidRDefault="00F87F0D" w:rsidP="00210BB9">
            <w:pPr>
              <w:keepNext/>
              <w:keepLines/>
              <w:spacing w:before="60" w:after="60" w:line="220" w:lineRule="atLeast"/>
              <w:ind w:left="57" w:right="57"/>
              <w:rPr>
                <w:sz w:val="18"/>
                <w:szCs w:val="18"/>
                <w:lang w:val="fr-FR"/>
              </w:rPr>
            </w:pPr>
            <w:r>
              <w:rPr>
                <w:sz w:val="18"/>
                <w:szCs w:val="18"/>
                <w:lang w:val="fr-FR"/>
              </w:rPr>
              <w:t>L’i</w:t>
            </w:r>
            <w:r w:rsidR="009E4B6D" w:rsidRPr="000C4435">
              <w:rPr>
                <w:sz w:val="18"/>
                <w:szCs w:val="18"/>
                <w:lang w:val="fr-FR"/>
              </w:rPr>
              <w:t xml:space="preserve">ndice de stimulation du CD86 </w:t>
            </w:r>
            <w:r>
              <w:rPr>
                <w:sz w:val="18"/>
                <w:szCs w:val="18"/>
                <w:lang w:val="fr-FR"/>
              </w:rPr>
              <w:t xml:space="preserve">est égal ou supérieur à </w:t>
            </w:r>
            <w:r w:rsidR="009E4B6D" w:rsidRPr="000C4435">
              <w:rPr>
                <w:sz w:val="18"/>
                <w:szCs w:val="18"/>
                <w:lang w:val="fr-FR"/>
              </w:rPr>
              <w:t>150 % et/ou une interférence est observée</w:t>
            </w:r>
          </w:p>
        </w:tc>
        <w:tc>
          <w:tcPr>
            <w:tcW w:w="1270" w:type="dxa"/>
            <w:tcBorders>
              <w:top w:val="single" w:sz="4" w:space="0" w:color="auto"/>
              <w:left w:val="single" w:sz="4" w:space="0" w:color="auto"/>
              <w:bottom w:val="single" w:sz="4" w:space="0" w:color="auto"/>
              <w:right w:val="single" w:sz="4" w:space="0" w:color="auto"/>
            </w:tcBorders>
          </w:tcPr>
          <w:p w14:paraId="4D538D29" w14:textId="272CCFD2" w:rsidR="009E4B6D" w:rsidRPr="000C4435" w:rsidRDefault="009E4B6D" w:rsidP="00076E18">
            <w:pPr>
              <w:keepNext/>
              <w:keepLines/>
              <w:spacing w:before="60" w:after="60" w:line="220" w:lineRule="atLeast"/>
              <w:ind w:left="26" w:right="10"/>
              <w:rPr>
                <w:sz w:val="18"/>
                <w:szCs w:val="18"/>
                <w:lang w:val="fr-FR"/>
              </w:rPr>
            </w:pPr>
            <w:r w:rsidRPr="000C4435">
              <w:rPr>
                <w:sz w:val="18"/>
                <w:szCs w:val="18"/>
                <w:lang w:val="fr-FR"/>
              </w:rPr>
              <w:t xml:space="preserve">L’induction de l’activité normalisée de la luciférase reflétant l’activité du promoteur de l’interleukine-8 (Ind-IL8LA) est égale ou supérieure à 1,4 et la limite inférieure de </w:t>
            </w:r>
            <w:r w:rsidRPr="00047E5C">
              <w:rPr>
                <w:spacing w:val="-2"/>
                <w:sz w:val="18"/>
                <w:szCs w:val="18"/>
                <w:lang w:val="fr-FR"/>
              </w:rPr>
              <w:t>l’intervalle de confiance à 95 %</w:t>
            </w:r>
            <w:r w:rsidRPr="000C4435">
              <w:rPr>
                <w:sz w:val="18"/>
                <w:szCs w:val="18"/>
                <w:lang w:val="fr-FR"/>
              </w:rPr>
              <w:t xml:space="preserve"> de Ind-IL8LA est égale ou supérieure à 1,0 dans au moins 2 des 4 séries indépendantes au maximum.</w:t>
            </w:r>
          </w:p>
        </w:tc>
        <w:tc>
          <w:tcPr>
            <w:tcW w:w="1270" w:type="dxa"/>
            <w:tcBorders>
              <w:top w:val="single" w:sz="4" w:space="0" w:color="auto"/>
              <w:left w:val="single" w:sz="4" w:space="0" w:color="auto"/>
              <w:bottom w:val="single" w:sz="4" w:space="0" w:color="auto"/>
              <w:right w:val="single" w:sz="4" w:space="0" w:color="auto"/>
            </w:tcBorders>
          </w:tcPr>
          <w:p w14:paraId="195B4825" w14:textId="7D2D8474" w:rsidR="009E4B6D" w:rsidRPr="000C4435" w:rsidRDefault="009E4B6D" w:rsidP="00210BB9">
            <w:pPr>
              <w:keepNext/>
              <w:keepLines/>
              <w:spacing w:before="60" w:after="60" w:line="220" w:lineRule="atLeast"/>
              <w:ind w:left="57" w:right="57"/>
              <w:rPr>
                <w:sz w:val="18"/>
                <w:szCs w:val="18"/>
                <w:lang w:val="fr-FR"/>
              </w:rPr>
            </w:pPr>
            <w:r w:rsidRPr="000C4435">
              <w:rPr>
                <w:sz w:val="18"/>
                <w:szCs w:val="18"/>
                <w:lang w:val="fr-FR"/>
              </w:rPr>
              <w:t>Valeur de décision moyenne ≥0</w:t>
            </w:r>
          </w:p>
        </w:tc>
      </w:tr>
      <w:tr w:rsidR="00E81D4E" w:rsidRPr="000C4435" w14:paraId="391A1253" w14:textId="77777777" w:rsidTr="00E81D4E">
        <w:trPr>
          <w:trHeight w:val="20"/>
          <w:jc w:val="center"/>
        </w:trPr>
        <w:tc>
          <w:tcPr>
            <w:tcW w:w="8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2E19B18A" w14:textId="77777777" w:rsidR="009E4B6D" w:rsidRPr="000C4435" w:rsidRDefault="009E4B6D" w:rsidP="00210BB9">
            <w:pPr>
              <w:spacing w:before="40" w:after="40" w:line="220" w:lineRule="atLeast"/>
              <w:ind w:left="-32" w:right="-22"/>
              <w:jc w:val="center"/>
              <w:rPr>
                <w:b/>
                <w:bCs/>
                <w:sz w:val="18"/>
                <w:szCs w:val="18"/>
              </w:rPr>
            </w:pPr>
            <w:r w:rsidRPr="000C4435">
              <w:rPr>
                <w:b/>
                <w:bCs/>
                <w:sz w:val="18"/>
                <w:szCs w:val="18"/>
              </w:rPr>
              <w:t>1A</w:t>
            </w:r>
          </w:p>
        </w:tc>
        <w:tc>
          <w:tcPr>
            <w:tcW w:w="136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2ABCCEAE"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tcPr>
          <w:p w14:paraId="2851B0FE" w14:textId="77777777" w:rsidR="009E4B6D" w:rsidRPr="000C4435" w:rsidRDefault="009E4B6D" w:rsidP="00210BB9">
            <w:pPr>
              <w:pStyle w:val="Default"/>
              <w:spacing w:before="40" w:after="40" w:line="220" w:lineRule="atLeast"/>
              <w:ind w:left="57" w:right="57"/>
              <w:rPr>
                <w:color w:val="auto"/>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60FFDA8F" w14:textId="38E7F8D5" w:rsidR="009E4B6D" w:rsidRPr="000C4435" w:rsidRDefault="009E4B6D" w:rsidP="00210BB9">
            <w:pPr>
              <w:spacing w:before="40" w:after="40" w:line="220" w:lineRule="atLeast"/>
              <w:ind w:left="6" w:right="18"/>
              <w:rPr>
                <w:sz w:val="18"/>
                <w:szCs w:val="18"/>
              </w:rPr>
            </w:pPr>
            <w:proofErr w:type="gramStart"/>
            <w:r w:rsidRPr="000C4435">
              <w:rPr>
                <w:sz w:val="18"/>
                <w:szCs w:val="18"/>
              </w:rPr>
              <w:t>log</w:t>
            </w:r>
            <w:proofErr w:type="gramEnd"/>
            <w:r w:rsidRPr="000C4435">
              <w:rPr>
                <w:sz w:val="18"/>
                <w:szCs w:val="18"/>
              </w:rPr>
              <w:t xml:space="preserve"> </w:t>
            </w:r>
            <w:proofErr w:type="spellStart"/>
            <w:r w:rsidRPr="000C4435">
              <w:rPr>
                <w:sz w:val="18"/>
                <w:szCs w:val="18"/>
              </w:rPr>
              <w:t>kmax</w:t>
            </w:r>
            <w:proofErr w:type="spellEnd"/>
            <w:r w:rsidRPr="000C4435">
              <w:rPr>
                <w:sz w:val="18"/>
                <w:szCs w:val="18"/>
              </w:rPr>
              <w:t xml:space="preserve"> ≥-2,0</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52709B6E"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507B1FD"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53440762"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73DC1796"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D81BF4A"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5946601"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r>
      <w:tr w:rsidR="00E81D4E" w:rsidRPr="000C4435" w14:paraId="1A2BB552" w14:textId="77777777" w:rsidTr="00E81D4E">
        <w:trPr>
          <w:jc w:val="center"/>
        </w:trPr>
        <w:tc>
          <w:tcPr>
            <w:tcW w:w="8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383DCB73" w14:textId="77777777" w:rsidR="009E4B6D" w:rsidRPr="000C4435" w:rsidRDefault="009E4B6D" w:rsidP="00210BB9">
            <w:pPr>
              <w:spacing w:before="40" w:after="40" w:line="220" w:lineRule="atLeast"/>
              <w:ind w:left="-32" w:right="-22"/>
              <w:jc w:val="center"/>
              <w:rPr>
                <w:b/>
                <w:bCs/>
                <w:sz w:val="18"/>
                <w:szCs w:val="18"/>
              </w:rPr>
            </w:pPr>
            <w:r w:rsidRPr="000C4435">
              <w:rPr>
                <w:b/>
                <w:bCs/>
                <w:sz w:val="18"/>
                <w:szCs w:val="18"/>
              </w:rPr>
              <w:t>1B</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35B2D7B0" w14:textId="77777777" w:rsidR="009E4B6D" w:rsidRPr="000C4435" w:rsidRDefault="009E4B6D" w:rsidP="00210BB9">
            <w:pPr>
              <w:spacing w:before="40" w:after="40" w:line="220" w:lineRule="atLeast"/>
              <w:ind w:left="57" w:right="57"/>
              <w:rPr>
                <w:sz w:val="18"/>
                <w:szCs w:val="18"/>
              </w:rPr>
            </w:pPr>
            <w:r w:rsidRPr="000C4435">
              <w:rPr>
                <w:sz w:val="18"/>
                <w:szCs w:val="18"/>
              </w:rPr>
              <w:t xml:space="preserve">Sans objet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95DC5"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75F1872"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4639AB00"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D61F3D2"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1D38A72"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4B72F202"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13BB1238"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AB69982" w14:textId="77777777" w:rsidR="009E4B6D" w:rsidRPr="000C4435" w:rsidRDefault="009E4B6D" w:rsidP="00210BB9">
            <w:pPr>
              <w:spacing w:before="40" w:after="40" w:line="220" w:lineRule="atLeast"/>
              <w:ind w:left="57" w:right="57"/>
              <w:rPr>
                <w:sz w:val="18"/>
                <w:szCs w:val="18"/>
              </w:rPr>
            </w:pPr>
            <w:r w:rsidRPr="000C4435">
              <w:rPr>
                <w:sz w:val="18"/>
                <w:szCs w:val="18"/>
              </w:rPr>
              <w:t>Sans objet</w:t>
            </w:r>
          </w:p>
        </w:tc>
      </w:tr>
      <w:tr w:rsidR="00E81D4E" w:rsidRPr="000C4435" w14:paraId="34DD152B" w14:textId="77777777" w:rsidTr="00E81D4E">
        <w:trPr>
          <w:jc w:val="center"/>
        </w:trPr>
        <w:tc>
          <w:tcPr>
            <w:tcW w:w="8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9D7BAE5" w14:textId="77777777" w:rsidR="009E4B6D" w:rsidRPr="000C4435" w:rsidRDefault="009E4B6D" w:rsidP="00210BB9">
            <w:pPr>
              <w:spacing w:before="20" w:after="20" w:line="220" w:lineRule="atLeast"/>
              <w:ind w:left="-32" w:right="-22"/>
              <w:jc w:val="center"/>
              <w:rPr>
                <w:b/>
                <w:bCs/>
                <w:sz w:val="18"/>
                <w:szCs w:val="18"/>
              </w:rPr>
            </w:pPr>
            <w:r w:rsidRPr="000C4435">
              <w:rPr>
                <w:b/>
                <w:bCs/>
                <w:sz w:val="18"/>
                <w:szCs w:val="18"/>
              </w:rPr>
              <w:t>Substance non classée</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273E249C" w14:textId="6329F669" w:rsidR="009E4B6D" w:rsidRPr="000C4435" w:rsidRDefault="009E4B6D" w:rsidP="00210BB9">
            <w:pPr>
              <w:tabs>
                <w:tab w:val="left" w:pos="294"/>
              </w:tabs>
              <w:spacing w:before="20" w:after="20" w:line="220" w:lineRule="atLeast"/>
              <w:ind w:left="57" w:right="57"/>
              <w:rPr>
                <w:sz w:val="18"/>
                <w:szCs w:val="18"/>
                <w:lang w:val="fr-FR"/>
              </w:rPr>
            </w:pPr>
            <w:r w:rsidRPr="000C4435">
              <w:rPr>
                <w:sz w:val="18"/>
                <w:szCs w:val="18"/>
                <w:lang w:val="fr-FR"/>
              </w:rPr>
              <w:t>Déplétion moyenne en cystéine/lysine ≤6,38 %</w:t>
            </w:r>
            <w:r w:rsidR="000E12C1">
              <w:rPr>
                <w:sz w:val="18"/>
                <w:szCs w:val="18"/>
                <w:lang w:val="fr-FR"/>
              </w:rPr>
              <w:t xml:space="preserve"> </w:t>
            </w:r>
            <w:r w:rsidR="00EE4117">
              <w:rPr>
                <w:sz w:val="18"/>
                <w:szCs w:val="18"/>
                <w:lang w:val="fr-FR"/>
              </w:rPr>
              <w:br/>
            </w:r>
            <w:r w:rsidRPr="000C4435">
              <w:rPr>
                <w:sz w:val="18"/>
                <w:szCs w:val="18"/>
                <w:lang w:val="fr-FR"/>
              </w:rPr>
              <w:t xml:space="preserve">ou </w:t>
            </w:r>
            <w:r w:rsidR="00EE4117">
              <w:rPr>
                <w:sz w:val="18"/>
                <w:szCs w:val="18"/>
                <w:lang w:val="fr-FR"/>
              </w:rPr>
              <w:br/>
            </w:r>
            <w:r w:rsidRPr="000C4435">
              <w:rPr>
                <w:sz w:val="18"/>
                <w:szCs w:val="18"/>
                <w:lang w:val="fr-FR"/>
              </w:rPr>
              <w:t>Déplétion moyenne en cystéine ≤13,89 %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tcPr>
          <w:p w14:paraId="60985F71" w14:textId="68903694" w:rsidR="009E4B6D" w:rsidRPr="000C4435" w:rsidRDefault="009E4B6D" w:rsidP="00210BB9">
            <w:pPr>
              <w:tabs>
                <w:tab w:val="left" w:pos="294"/>
              </w:tabs>
              <w:spacing w:before="20" w:after="20" w:line="220" w:lineRule="atLeast"/>
              <w:ind w:left="57" w:right="57"/>
              <w:rPr>
                <w:sz w:val="18"/>
                <w:szCs w:val="18"/>
                <w:lang w:val="fr-FR"/>
              </w:rPr>
            </w:pPr>
            <w:r w:rsidRPr="000C4435">
              <w:rPr>
                <w:sz w:val="18"/>
                <w:szCs w:val="18"/>
                <w:lang w:val="fr-FR"/>
              </w:rPr>
              <w:t>Déplétion moyenne en NAC et en NAL &lt;4,9 %</w:t>
            </w:r>
            <w:r w:rsidR="000E12C1">
              <w:rPr>
                <w:sz w:val="18"/>
                <w:szCs w:val="18"/>
                <w:lang w:val="fr-FR"/>
              </w:rPr>
              <w:t xml:space="preserve"> </w:t>
            </w:r>
            <w:r w:rsidR="00EE4117">
              <w:rPr>
                <w:sz w:val="18"/>
                <w:szCs w:val="18"/>
                <w:lang w:val="fr-FR"/>
              </w:rPr>
              <w:br/>
            </w:r>
            <w:r w:rsidRPr="000C4435">
              <w:rPr>
                <w:sz w:val="18"/>
                <w:szCs w:val="18"/>
                <w:lang w:val="fr-FR"/>
              </w:rPr>
              <w:t>ou</w:t>
            </w:r>
            <w:r w:rsidR="00EE4117">
              <w:rPr>
                <w:sz w:val="18"/>
                <w:szCs w:val="18"/>
                <w:lang w:val="fr-FR"/>
              </w:rPr>
              <w:br/>
            </w:r>
            <w:r w:rsidRPr="000C4435">
              <w:rPr>
                <w:sz w:val="18"/>
                <w:szCs w:val="18"/>
                <w:lang w:val="fr-FR"/>
              </w:rPr>
              <w:t xml:space="preserve">Déplétion </w:t>
            </w:r>
            <w:r w:rsidR="00132B41">
              <w:rPr>
                <w:sz w:val="18"/>
                <w:szCs w:val="18"/>
                <w:lang w:val="fr-FR"/>
              </w:rPr>
              <w:t xml:space="preserve">moyenne </w:t>
            </w:r>
            <w:r w:rsidRPr="000C4435">
              <w:rPr>
                <w:sz w:val="18"/>
                <w:szCs w:val="18"/>
                <w:lang w:val="fr-FR"/>
              </w:rPr>
              <w:t>en NAC &lt;5,6 %</w:t>
            </w: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50926849" w14:textId="77777777" w:rsidR="009E4B6D" w:rsidRPr="000C4435" w:rsidRDefault="009E4B6D" w:rsidP="00210BB9">
            <w:pPr>
              <w:spacing w:before="20" w:after="20" w:line="220" w:lineRule="atLeast"/>
              <w:ind w:left="57" w:right="57"/>
              <w:rPr>
                <w:sz w:val="18"/>
                <w:szCs w:val="18"/>
              </w:rPr>
            </w:pPr>
            <w:r w:rsidRPr="000C4435">
              <w:rPr>
                <w:sz w:val="18"/>
                <w:szCs w:val="18"/>
              </w:rPr>
              <w:t>Sans objet</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1BB7AA7D" w14:textId="6E6F268F" w:rsidR="009E4B6D" w:rsidRPr="000C4435" w:rsidRDefault="009E4B6D" w:rsidP="00211A90">
            <w:pPr>
              <w:spacing w:before="20" w:after="20" w:line="220" w:lineRule="atLeast"/>
              <w:ind w:left="20" w:right="18"/>
              <w:rPr>
                <w:sz w:val="18"/>
                <w:szCs w:val="18"/>
                <w:lang w:val="fr-FR"/>
              </w:rPr>
            </w:pPr>
            <w:r w:rsidRPr="000C4435">
              <w:rPr>
                <w:sz w:val="18"/>
                <w:szCs w:val="18"/>
                <w:lang w:val="fr-FR"/>
              </w:rPr>
              <w:t>Au moins une des conditions de la catégorie</w:t>
            </w:r>
            <w:r w:rsidR="00211A90">
              <w:rPr>
                <w:sz w:val="18"/>
                <w:szCs w:val="18"/>
                <w:lang w:val="fr-FR"/>
              </w:rPr>
              <w:t> </w:t>
            </w:r>
            <w:r w:rsidRPr="000C4435">
              <w:rPr>
                <w:sz w:val="18"/>
                <w:szCs w:val="18"/>
                <w:lang w:val="fr-FR"/>
              </w:rPr>
              <w:t>1 n’est pas remplie</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0143B73" w14:textId="2E58B73A" w:rsidR="009E4B6D" w:rsidRPr="000C4435" w:rsidRDefault="009E4B6D" w:rsidP="00210BB9">
            <w:pPr>
              <w:spacing w:before="20" w:after="20" w:line="220" w:lineRule="atLeast"/>
              <w:ind w:left="57" w:right="57"/>
              <w:rPr>
                <w:sz w:val="18"/>
                <w:szCs w:val="18"/>
                <w:lang w:val="fr-FR"/>
              </w:rPr>
            </w:pPr>
            <w:r w:rsidRPr="000C4435">
              <w:rPr>
                <w:sz w:val="18"/>
                <w:szCs w:val="18"/>
                <w:lang w:val="fr-FR"/>
              </w:rPr>
              <w:t>Au moins une des conditions de la catégorie</w:t>
            </w:r>
            <w:r w:rsidR="00211A90">
              <w:rPr>
                <w:sz w:val="18"/>
                <w:szCs w:val="18"/>
                <w:lang w:val="fr-FR"/>
              </w:rPr>
              <w:t> </w:t>
            </w:r>
            <w:r w:rsidRPr="000C4435">
              <w:rPr>
                <w:sz w:val="18"/>
                <w:szCs w:val="18"/>
                <w:lang w:val="fr-FR"/>
              </w:rPr>
              <w:t>1 n’est pas remplie</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533993E7" w14:textId="77777777" w:rsidR="009E4B6D" w:rsidRPr="000C4435" w:rsidRDefault="009E4B6D" w:rsidP="00210BB9">
            <w:pPr>
              <w:spacing w:before="20" w:after="20" w:line="220" w:lineRule="atLeast"/>
              <w:ind w:left="57" w:right="57"/>
              <w:rPr>
                <w:sz w:val="18"/>
                <w:szCs w:val="18"/>
                <w:lang w:val="fr-FR"/>
              </w:rPr>
            </w:pPr>
            <w:r w:rsidRPr="000C4435">
              <w:rPr>
                <w:sz w:val="18"/>
                <w:szCs w:val="18"/>
                <w:lang w:val="fr-FR"/>
              </w:rPr>
              <w:t>Aucune des conditions de la catégorie 1 n’est remplie</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62EBD8C3" w14:textId="6FF64511" w:rsidR="009E4B6D" w:rsidRPr="000C4435" w:rsidRDefault="009E4B6D" w:rsidP="00210BB9">
            <w:pPr>
              <w:spacing w:before="20" w:after="20" w:line="220" w:lineRule="atLeast"/>
              <w:ind w:left="57" w:right="27"/>
              <w:rPr>
                <w:sz w:val="18"/>
                <w:szCs w:val="18"/>
                <w:lang w:val="fr-FR"/>
              </w:rPr>
            </w:pPr>
            <w:r w:rsidRPr="000C4435">
              <w:rPr>
                <w:sz w:val="18"/>
                <w:szCs w:val="18"/>
                <w:lang w:val="fr-FR"/>
              </w:rPr>
              <w:t>Indice de stimulation du CD86 &lt;150 % à toutes les concentrations non cytotoxiques (viabilité cellulaire ≥70 %) et aucune interférence n’est observée</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CE7947F" w14:textId="1C7A0457" w:rsidR="009E4B6D" w:rsidRPr="000C4435" w:rsidRDefault="009E4B6D" w:rsidP="00210BB9">
            <w:pPr>
              <w:spacing w:before="20" w:after="20" w:line="220" w:lineRule="atLeast"/>
              <w:ind w:left="35"/>
              <w:rPr>
                <w:sz w:val="18"/>
                <w:szCs w:val="18"/>
                <w:lang w:val="fr-FR"/>
              </w:rPr>
            </w:pPr>
            <w:r w:rsidRPr="000C4435">
              <w:rPr>
                <w:sz w:val="18"/>
                <w:szCs w:val="18"/>
                <w:lang w:val="fr-FR"/>
              </w:rPr>
              <w:t>Ind-IL8LA &lt;1,4 et/ou limite inférieure de l’intervalle de confiance à 95 % de Ind-IL8LA &lt;1,0 dans au moins 3 sur un maximum de 4 essais indépendants</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B3895F1" w14:textId="6AA25DE7" w:rsidR="009E4B6D" w:rsidRPr="000C4435" w:rsidRDefault="009E4B6D" w:rsidP="00210BB9">
            <w:pPr>
              <w:spacing w:before="20" w:after="20" w:line="220" w:lineRule="atLeast"/>
              <w:ind w:left="57" w:right="57"/>
              <w:rPr>
                <w:sz w:val="18"/>
                <w:szCs w:val="18"/>
                <w:lang w:val="fr-FR"/>
              </w:rPr>
            </w:pPr>
            <w:r w:rsidRPr="000C4435">
              <w:rPr>
                <w:sz w:val="18"/>
                <w:szCs w:val="18"/>
                <w:lang w:val="fr-FR"/>
              </w:rPr>
              <w:t>Valeur de décision moyenne &lt;0</w:t>
            </w:r>
          </w:p>
        </w:tc>
      </w:tr>
    </w:tbl>
    <w:p w14:paraId="2081EB90" w14:textId="77777777" w:rsidR="009E4B6D" w:rsidRPr="00DD7B82" w:rsidRDefault="009E4B6D" w:rsidP="00656B47">
      <w:pPr>
        <w:pStyle w:val="SingleTxtG"/>
        <w:ind w:right="0"/>
        <w:jc w:val="right"/>
        <w:rPr>
          <w:lang w:val="fr-FR"/>
        </w:rPr>
      </w:pPr>
      <w:r w:rsidRPr="00DD7B82">
        <w:rPr>
          <w:lang w:val="fr-FR"/>
        </w:rPr>
        <w:lastRenderedPageBreak/>
        <w:t>».</w:t>
      </w:r>
    </w:p>
    <w:p w14:paraId="3336BE18" w14:textId="20624885" w:rsidR="009E4B6D" w:rsidRPr="00A241BD" w:rsidRDefault="009E4B6D" w:rsidP="00D5425D">
      <w:pPr>
        <w:pStyle w:val="SingleTxtG"/>
        <w:ind w:left="284"/>
        <w:rPr>
          <w:lang w:val="fr-FR"/>
        </w:rPr>
      </w:pPr>
      <w:r w:rsidRPr="00E605AA">
        <w:rPr>
          <w:rFonts w:eastAsia="Times New Roman"/>
          <w:i/>
          <w:iCs/>
          <w:lang w:val="fr-FR"/>
        </w:rPr>
        <w:t>Sous le nouveau tableau 3.4.7</w:t>
      </w:r>
      <w:r w:rsidR="009E3E9C">
        <w:rPr>
          <w:lang w:val="fr-FR"/>
        </w:rPr>
        <w:t>, a</w:t>
      </w:r>
      <w:r>
        <w:rPr>
          <w:rFonts w:eastAsia="Times New Roman"/>
          <w:lang w:val="fr-FR"/>
        </w:rPr>
        <w:t>jouter</w:t>
      </w:r>
      <w:r w:rsidRPr="00A241BD">
        <w:rPr>
          <w:rFonts w:eastAsia="Times New Roman"/>
          <w:lang w:val="fr-FR"/>
        </w:rPr>
        <w:t xml:space="preserve"> </w:t>
      </w:r>
      <w:r w:rsidRPr="00A241BD">
        <w:rPr>
          <w:lang w:val="fr-FR"/>
        </w:rPr>
        <w:t xml:space="preserve">les notes </w:t>
      </w:r>
      <w:r w:rsidRPr="0088482F">
        <w:rPr>
          <w:i/>
          <w:vertAlign w:val="superscript"/>
          <w:lang w:val="fr-FR"/>
        </w:rPr>
        <w:t>a</w:t>
      </w:r>
      <w:r>
        <w:rPr>
          <w:lang w:val="fr-FR"/>
        </w:rPr>
        <w:t xml:space="preserve"> et </w:t>
      </w:r>
      <w:r w:rsidRPr="0088482F">
        <w:rPr>
          <w:i/>
          <w:vertAlign w:val="superscript"/>
          <w:lang w:val="fr-FR"/>
        </w:rPr>
        <w:t>b</w:t>
      </w:r>
      <w:r>
        <w:rPr>
          <w:lang w:val="fr-FR"/>
        </w:rPr>
        <w:t>, ainsi conçues :</w:t>
      </w:r>
    </w:p>
    <w:p w14:paraId="56275CD5" w14:textId="46589D68" w:rsidR="009E4B6D" w:rsidRPr="009E3E9C" w:rsidRDefault="009E4B6D" w:rsidP="00DD7B82">
      <w:pPr>
        <w:spacing w:before="120" w:line="220" w:lineRule="atLeast"/>
        <w:ind w:firstLine="170"/>
        <w:rPr>
          <w:i/>
          <w:iCs/>
          <w:sz w:val="18"/>
          <w:szCs w:val="18"/>
          <w:lang w:val="fr-FR"/>
        </w:rPr>
      </w:pPr>
      <w:r w:rsidRPr="00D5425D">
        <w:rPr>
          <w:lang w:val="fr-FR"/>
        </w:rPr>
        <w:t>«</w:t>
      </w:r>
      <w:r w:rsidRPr="009E3E9C">
        <w:rPr>
          <w:i/>
          <w:iCs/>
          <w:sz w:val="18"/>
          <w:szCs w:val="18"/>
          <w:lang w:val="fr-FR"/>
        </w:rPr>
        <w:t> </w:t>
      </w:r>
      <w:proofErr w:type="gramStart"/>
      <w:r w:rsidRPr="009E3E9C">
        <w:rPr>
          <w:i/>
          <w:iCs/>
          <w:sz w:val="18"/>
          <w:szCs w:val="18"/>
          <w:vertAlign w:val="superscript"/>
          <w:lang w:val="fr-FR"/>
        </w:rPr>
        <w:t>a</w:t>
      </w:r>
      <w:r w:rsidR="00D5425D">
        <w:rPr>
          <w:i/>
          <w:iCs/>
          <w:sz w:val="18"/>
          <w:szCs w:val="18"/>
          <w:lang w:val="fr-FR"/>
        </w:rPr>
        <w:t xml:space="preserve">  </w:t>
      </w:r>
      <w:r w:rsidRPr="00E605AA">
        <w:rPr>
          <w:sz w:val="18"/>
          <w:szCs w:val="18"/>
          <w:lang w:val="fr-FR"/>
        </w:rPr>
        <w:t>Les</w:t>
      </w:r>
      <w:proofErr w:type="gramEnd"/>
      <w:r w:rsidRPr="00E605AA">
        <w:rPr>
          <w:sz w:val="18"/>
          <w:szCs w:val="18"/>
          <w:lang w:val="fr-FR"/>
        </w:rPr>
        <w:t xml:space="preserve"> données ne peuvent pas être utilisées seules pour conclure au classement dans la catégorie 1 ou au non-classement dans la catégorie 1, mais pourraient être utilisées pour conclure au classement dans la catégorie 1 à l’étape 2 en fonction de la décision de l’autorité compétente dans son cadre réglementaire</w:t>
      </w:r>
      <w:r w:rsidRPr="009E3E9C">
        <w:rPr>
          <w:i/>
          <w:iCs/>
          <w:sz w:val="18"/>
          <w:szCs w:val="18"/>
          <w:lang w:val="fr-FR"/>
        </w:rPr>
        <w:t>.</w:t>
      </w:r>
    </w:p>
    <w:p w14:paraId="39F50D5C" w14:textId="089C9A60" w:rsidR="00900FAE" w:rsidRPr="000C54B8" w:rsidRDefault="009E4B6D" w:rsidP="00876D61">
      <w:pPr>
        <w:spacing w:line="220" w:lineRule="atLeast"/>
        <w:ind w:firstLine="170"/>
        <w:rPr>
          <w:sz w:val="18"/>
          <w:szCs w:val="18"/>
          <w:lang w:val="fr-FR"/>
        </w:rPr>
        <w:sectPr w:rsidR="00900FAE" w:rsidRPr="000C54B8" w:rsidSect="00CE20CF">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roofErr w:type="gramStart"/>
      <w:r w:rsidRPr="009E3E9C">
        <w:rPr>
          <w:i/>
          <w:iCs/>
          <w:sz w:val="18"/>
          <w:szCs w:val="18"/>
          <w:vertAlign w:val="superscript"/>
          <w:lang w:val="fr-FR"/>
        </w:rPr>
        <w:t>b</w:t>
      </w:r>
      <w:r w:rsidR="00D5425D">
        <w:rPr>
          <w:i/>
          <w:iCs/>
          <w:sz w:val="18"/>
          <w:szCs w:val="18"/>
          <w:lang w:val="fr-FR"/>
        </w:rPr>
        <w:t xml:space="preserve">  </w:t>
      </w:r>
      <w:r w:rsidRPr="00E605AA">
        <w:rPr>
          <w:sz w:val="18"/>
          <w:szCs w:val="18"/>
          <w:lang w:val="fr-FR"/>
        </w:rPr>
        <w:t>Une</w:t>
      </w:r>
      <w:proofErr w:type="gramEnd"/>
      <w:r w:rsidRPr="00E605AA">
        <w:rPr>
          <w:sz w:val="18"/>
          <w:szCs w:val="18"/>
          <w:lang w:val="fr-FR"/>
        </w:rPr>
        <w:t xml:space="preserve"> autorité compétente peut décider que les données peuvent être utilisées de manière autonome pour conclure au classement dans la sous-catégorie 1A</w:t>
      </w:r>
      <w:r w:rsidRPr="009E3E9C">
        <w:rPr>
          <w:i/>
          <w:iCs/>
          <w:sz w:val="18"/>
          <w:szCs w:val="18"/>
          <w:lang w:val="fr-FR"/>
        </w:rPr>
        <w:t>.</w:t>
      </w:r>
      <w:r w:rsidRPr="009E3E9C">
        <w:rPr>
          <w:sz w:val="18"/>
          <w:szCs w:val="18"/>
          <w:lang w:val="fr-FR"/>
        </w:rPr>
        <w:t> </w:t>
      </w:r>
      <w:r w:rsidRPr="00D5425D">
        <w:rPr>
          <w:lang w:val="fr-FR"/>
        </w:rPr>
        <w:t>»</w:t>
      </w:r>
    </w:p>
    <w:p w14:paraId="7E45FC3B" w14:textId="1BB12B74" w:rsidR="00F32019" w:rsidRPr="008F1A6A" w:rsidRDefault="00F32019" w:rsidP="00F32019">
      <w:pPr>
        <w:pStyle w:val="SingleTxtG"/>
        <w:rPr>
          <w:b/>
          <w:lang w:val="fr-FR"/>
        </w:rPr>
      </w:pPr>
      <w:r w:rsidRPr="002B2F2B">
        <w:rPr>
          <w:i/>
          <w:iCs/>
          <w:lang w:val="fr-FR"/>
        </w:rPr>
        <w:lastRenderedPageBreak/>
        <w:t>À la fin du chapitre 3.4</w:t>
      </w:r>
      <w:r w:rsidR="002B2F2B">
        <w:rPr>
          <w:lang w:val="fr-FR"/>
        </w:rPr>
        <w:t>, ajouter</w:t>
      </w:r>
      <w:r w:rsidRPr="008F1A6A">
        <w:rPr>
          <w:lang w:val="fr-FR"/>
        </w:rPr>
        <w:t xml:space="preserve"> la liste de références suivante :</w:t>
      </w:r>
    </w:p>
    <w:p w14:paraId="5DEA6CED" w14:textId="2CB56E8C" w:rsidR="00F32019" w:rsidRPr="008F1A6A" w:rsidRDefault="00F32019" w:rsidP="00DD3E8F">
      <w:pPr>
        <w:pStyle w:val="SingleTxtG"/>
        <w:tabs>
          <w:tab w:val="clear" w:pos="1701"/>
          <w:tab w:val="clear" w:pos="2268"/>
          <w:tab w:val="clear" w:pos="2835"/>
        </w:tabs>
        <w:rPr>
          <w:b/>
          <w:lang w:val="fr-FR"/>
        </w:rPr>
      </w:pPr>
      <w:r w:rsidRPr="008F1A6A">
        <w:rPr>
          <w:lang w:val="fr-FR"/>
        </w:rPr>
        <w:t>« _______________</w:t>
      </w:r>
    </w:p>
    <w:p w14:paraId="0561A5EE" w14:textId="36841F7F" w:rsidR="00F32019" w:rsidRPr="00EB3C9A" w:rsidRDefault="00DD3E8F" w:rsidP="00217C24">
      <w:pPr>
        <w:pStyle w:val="FootnoteText"/>
        <w:spacing w:after="120"/>
        <w:ind w:hanging="567"/>
        <w:rPr>
          <w:b/>
          <w:i/>
          <w:szCs w:val="18"/>
          <w:lang w:val="fr-FR"/>
        </w:rPr>
      </w:pPr>
      <w:r>
        <w:rPr>
          <w:szCs w:val="18"/>
          <w:lang w:val="fr-FR"/>
        </w:rPr>
        <w:tab/>
      </w:r>
      <w:r w:rsidR="00F32019" w:rsidRPr="00EB3C9A">
        <w:rPr>
          <w:szCs w:val="18"/>
          <w:lang w:val="fr-FR"/>
        </w:rPr>
        <w:t>*</w:t>
      </w:r>
      <w:r w:rsidR="00EB3C9A" w:rsidRPr="00EB3C9A">
        <w:rPr>
          <w:szCs w:val="18"/>
          <w:lang w:val="fr-FR"/>
        </w:rPr>
        <w:tab/>
      </w:r>
      <w:r w:rsidR="00F32019" w:rsidRPr="00EB3C9A">
        <w:rPr>
          <w:i/>
          <w:szCs w:val="18"/>
          <w:lang w:val="fr-FR"/>
        </w:rPr>
        <w:t>Références </w:t>
      </w:r>
      <w:r w:rsidR="00F32019" w:rsidRPr="00EB3C9A">
        <w:rPr>
          <w:iCs/>
          <w:szCs w:val="18"/>
          <w:lang w:val="fr-FR"/>
        </w:rPr>
        <w:t>:</w:t>
      </w:r>
    </w:p>
    <w:p w14:paraId="0E27492C" w14:textId="77777777" w:rsidR="00F32019" w:rsidRPr="00EB3C9A" w:rsidRDefault="00F32019" w:rsidP="00EB3C9A">
      <w:pPr>
        <w:pStyle w:val="SingleTxtG"/>
        <w:spacing w:line="220" w:lineRule="atLeast"/>
        <w:rPr>
          <w:sz w:val="18"/>
          <w:szCs w:val="18"/>
          <w:lang w:val="en-US"/>
        </w:rPr>
      </w:pPr>
      <w:proofErr w:type="spellStart"/>
      <w:r w:rsidRPr="00EB3C9A">
        <w:rPr>
          <w:sz w:val="18"/>
          <w:szCs w:val="18"/>
          <w:lang w:val="fr-FR"/>
        </w:rPr>
        <w:t>Corsini</w:t>
      </w:r>
      <w:proofErr w:type="spellEnd"/>
      <w:r w:rsidRPr="00EB3C9A">
        <w:rPr>
          <w:sz w:val="18"/>
          <w:szCs w:val="18"/>
          <w:lang w:val="fr-FR"/>
        </w:rPr>
        <w:t xml:space="preserve"> E, </w:t>
      </w:r>
      <w:proofErr w:type="spellStart"/>
      <w:r w:rsidRPr="00EB3C9A">
        <w:rPr>
          <w:sz w:val="18"/>
          <w:szCs w:val="18"/>
          <w:lang w:val="fr-FR"/>
        </w:rPr>
        <w:t>Clewell</w:t>
      </w:r>
      <w:proofErr w:type="spellEnd"/>
      <w:r w:rsidRPr="00EB3C9A">
        <w:rPr>
          <w:sz w:val="18"/>
          <w:szCs w:val="18"/>
          <w:lang w:val="fr-FR"/>
        </w:rPr>
        <w:t xml:space="preserve"> R, </w:t>
      </w:r>
      <w:proofErr w:type="spellStart"/>
      <w:r w:rsidRPr="00EB3C9A">
        <w:rPr>
          <w:sz w:val="18"/>
          <w:szCs w:val="18"/>
          <w:lang w:val="fr-FR"/>
        </w:rPr>
        <w:t>Cotgreave</w:t>
      </w:r>
      <w:proofErr w:type="spellEnd"/>
      <w:r w:rsidRPr="00EB3C9A">
        <w:rPr>
          <w:sz w:val="18"/>
          <w:szCs w:val="18"/>
          <w:lang w:val="fr-FR"/>
        </w:rPr>
        <w:t xml:space="preserve"> I, </w:t>
      </w:r>
      <w:proofErr w:type="spellStart"/>
      <w:r w:rsidRPr="00EB3C9A">
        <w:rPr>
          <w:sz w:val="18"/>
          <w:szCs w:val="18"/>
          <w:lang w:val="fr-FR"/>
        </w:rPr>
        <w:t>Eskes</w:t>
      </w:r>
      <w:proofErr w:type="spellEnd"/>
      <w:r w:rsidRPr="00EB3C9A">
        <w:rPr>
          <w:sz w:val="18"/>
          <w:szCs w:val="18"/>
          <w:lang w:val="fr-FR"/>
        </w:rPr>
        <w:t xml:space="preserve"> C, Kopp-Schneider A, </w:t>
      </w:r>
      <w:proofErr w:type="spellStart"/>
      <w:r w:rsidRPr="00EB3C9A">
        <w:rPr>
          <w:sz w:val="18"/>
          <w:szCs w:val="18"/>
          <w:lang w:val="fr-FR"/>
        </w:rPr>
        <w:t>Westmoreland</w:t>
      </w:r>
      <w:proofErr w:type="spellEnd"/>
      <w:r w:rsidRPr="00EB3C9A">
        <w:rPr>
          <w:sz w:val="18"/>
          <w:szCs w:val="18"/>
          <w:lang w:val="fr-FR"/>
        </w:rPr>
        <w:t xml:space="preserve"> C, Alves PM, </w:t>
      </w:r>
      <w:proofErr w:type="spellStart"/>
      <w:r w:rsidRPr="00EB3C9A">
        <w:rPr>
          <w:sz w:val="18"/>
          <w:szCs w:val="18"/>
          <w:lang w:val="fr-FR"/>
        </w:rPr>
        <w:t>Navas</w:t>
      </w:r>
      <w:proofErr w:type="spellEnd"/>
      <w:r w:rsidRPr="00EB3C9A">
        <w:rPr>
          <w:sz w:val="18"/>
          <w:szCs w:val="18"/>
          <w:lang w:val="fr-FR"/>
        </w:rPr>
        <w:t xml:space="preserve"> JM, </w:t>
      </w:r>
      <w:proofErr w:type="spellStart"/>
      <w:r w:rsidRPr="00EB3C9A">
        <w:rPr>
          <w:sz w:val="18"/>
          <w:szCs w:val="18"/>
          <w:lang w:val="fr-FR"/>
        </w:rPr>
        <w:t>Piersma</w:t>
      </w:r>
      <w:proofErr w:type="spellEnd"/>
      <w:r w:rsidRPr="00EB3C9A">
        <w:rPr>
          <w:sz w:val="18"/>
          <w:szCs w:val="18"/>
          <w:lang w:val="fr-FR"/>
        </w:rPr>
        <w:t xml:space="preserve"> A. 2021. </w:t>
      </w:r>
      <w:r w:rsidRPr="00EB3C9A">
        <w:rPr>
          <w:sz w:val="18"/>
          <w:szCs w:val="18"/>
          <w:lang w:val="en-US"/>
        </w:rPr>
        <w:t xml:space="preserve">ESAC opinion on the scientific validity of the </w:t>
      </w:r>
      <w:proofErr w:type="spellStart"/>
      <w:r w:rsidRPr="00EB3C9A">
        <w:rPr>
          <w:sz w:val="18"/>
          <w:szCs w:val="18"/>
          <w:lang w:val="en-US"/>
        </w:rPr>
        <w:t>GARDskin</w:t>
      </w:r>
      <w:proofErr w:type="spellEnd"/>
      <w:r w:rsidRPr="00EB3C9A">
        <w:rPr>
          <w:sz w:val="18"/>
          <w:szCs w:val="18"/>
          <w:lang w:val="en-US"/>
        </w:rPr>
        <w:t xml:space="preserve"> and </w:t>
      </w:r>
      <w:proofErr w:type="spellStart"/>
      <w:r w:rsidRPr="00EB3C9A">
        <w:rPr>
          <w:sz w:val="18"/>
          <w:szCs w:val="18"/>
          <w:lang w:val="en-US"/>
        </w:rPr>
        <w:t>GARDpotency</w:t>
      </w:r>
      <w:proofErr w:type="spellEnd"/>
      <w:r w:rsidRPr="00EB3C9A">
        <w:rPr>
          <w:sz w:val="18"/>
          <w:szCs w:val="18"/>
          <w:lang w:val="en-US"/>
        </w:rPr>
        <w:t xml:space="preserve"> test methods. </w:t>
      </w:r>
      <w:proofErr w:type="spellStart"/>
      <w:r w:rsidRPr="00EB3C9A">
        <w:rPr>
          <w:sz w:val="18"/>
          <w:szCs w:val="18"/>
          <w:lang w:val="en-US"/>
        </w:rPr>
        <w:t>Asturiol</w:t>
      </w:r>
      <w:proofErr w:type="spellEnd"/>
      <w:r w:rsidRPr="00EB3C9A">
        <w:rPr>
          <w:sz w:val="18"/>
          <w:szCs w:val="18"/>
          <w:lang w:val="en-US"/>
        </w:rPr>
        <w:t xml:space="preserve"> </w:t>
      </w:r>
      <w:proofErr w:type="spellStart"/>
      <w:r w:rsidRPr="00EB3C9A">
        <w:rPr>
          <w:sz w:val="18"/>
          <w:szCs w:val="18"/>
          <w:lang w:val="en-US"/>
        </w:rPr>
        <w:t>Bofill</w:t>
      </w:r>
      <w:proofErr w:type="spellEnd"/>
      <w:r w:rsidRPr="00EB3C9A">
        <w:rPr>
          <w:sz w:val="18"/>
          <w:szCs w:val="18"/>
          <w:lang w:val="en-US"/>
        </w:rPr>
        <w:t xml:space="preserve"> D, </w:t>
      </w:r>
      <w:proofErr w:type="spellStart"/>
      <w:r w:rsidRPr="00EB3C9A">
        <w:rPr>
          <w:sz w:val="18"/>
          <w:szCs w:val="18"/>
          <w:lang w:val="en-US"/>
        </w:rPr>
        <w:t>Casati</w:t>
      </w:r>
      <w:proofErr w:type="spellEnd"/>
      <w:r w:rsidRPr="00EB3C9A">
        <w:rPr>
          <w:sz w:val="18"/>
          <w:szCs w:val="18"/>
          <w:lang w:val="en-US"/>
        </w:rPr>
        <w:t xml:space="preserve"> S, and </w:t>
      </w:r>
      <w:proofErr w:type="spellStart"/>
      <w:r w:rsidRPr="00EB3C9A">
        <w:rPr>
          <w:sz w:val="18"/>
          <w:szCs w:val="18"/>
          <w:lang w:val="en-US"/>
        </w:rPr>
        <w:t>Viegas</w:t>
      </w:r>
      <w:proofErr w:type="spellEnd"/>
      <w:r w:rsidRPr="00EB3C9A">
        <w:rPr>
          <w:sz w:val="18"/>
          <w:szCs w:val="18"/>
          <w:lang w:val="en-US"/>
        </w:rPr>
        <w:t xml:space="preserve"> Barroso JF eds, Publications Office of the European Union, Luxembourg. ISBN 978-92-76-40345-6. Doi:10.2760/626728, JRC125963.</w:t>
      </w:r>
    </w:p>
    <w:p w14:paraId="142EC8D2" w14:textId="77777777" w:rsidR="00F32019" w:rsidRPr="00EB3C9A" w:rsidRDefault="00F32019" w:rsidP="00EB3C9A">
      <w:pPr>
        <w:pStyle w:val="SingleTxtG"/>
        <w:spacing w:line="220" w:lineRule="atLeast"/>
        <w:rPr>
          <w:sz w:val="18"/>
          <w:szCs w:val="18"/>
          <w:lang w:val="en-US"/>
        </w:rPr>
      </w:pPr>
      <w:proofErr w:type="spellStart"/>
      <w:r w:rsidRPr="00EB3C9A">
        <w:rPr>
          <w:sz w:val="18"/>
          <w:szCs w:val="18"/>
          <w:lang w:val="en-US"/>
        </w:rPr>
        <w:t>Cottrez</w:t>
      </w:r>
      <w:proofErr w:type="spellEnd"/>
      <w:r w:rsidRPr="00EB3C9A">
        <w:rPr>
          <w:sz w:val="18"/>
          <w:szCs w:val="18"/>
          <w:lang w:val="en-US"/>
        </w:rPr>
        <w:t xml:space="preserve"> F, </w:t>
      </w:r>
      <w:proofErr w:type="spellStart"/>
      <w:r w:rsidRPr="00EB3C9A">
        <w:rPr>
          <w:sz w:val="18"/>
          <w:szCs w:val="18"/>
          <w:lang w:val="en-US"/>
        </w:rPr>
        <w:t>Boitel</w:t>
      </w:r>
      <w:proofErr w:type="spellEnd"/>
      <w:r w:rsidRPr="00EB3C9A">
        <w:rPr>
          <w:sz w:val="18"/>
          <w:szCs w:val="18"/>
          <w:lang w:val="en-US"/>
        </w:rPr>
        <w:t xml:space="preserve"> E, </w:t>
      </w:r>
      <w:proofErr w:type="spellStart"/>
      <w:r w:rsidRPr="00EB3C9A">
        <w:rPr>
          <w:sz w:val="18"/>
          <w:szCs w:val="18"/>
          <w:lang w:val="en-US"/>
        </w:rPr>
        <w:t>Auriault</w:t>
      </w:r>
      <w:proofErr w:type="spellEnd"/>
      <w:r w:rsidRPr="00EB3C9A">
        <w:rPr>
          <w:sz w:val="18"/>
          <w:szCs w:val="18"/>
          <w:lang w:val="en-US"/>
        </w:rPr>
        <w:t xml:space="preserve"> C, </w:t>
      </w:r>
      <w:proofErr w:type="spellStart"/>
      <w:r w:rsidRPr="00EB3C9A">
        <w:rPr>
          <w:sz w:val="18"/>
          <w:szCs w:val="18"/>
          <w:lang w:val="en-US"/>
        </w:rPr>
        <w:t>Aeby</w:t>
      </w:r>
      <w:proofErr w:type="spellEnd"/>
      <w:r w:rsidRPr="00EB3C9A">
        <w:rPr>
          <w:sz w:val="18"/>
          <w:szCs w:val="18"/>
          <w:lang w:val="en-US"/>
        </w:rPr>
        <w:t xml:space="preserve"> P, </w:t>
      </w:r>
      <w:proofErr w:type="spellStart"/>
      <w:r w:rsidRPr="00EB3C9A">
        <w:rPr>
          <w:sz w:val="18"/>
          <w:szCs w:val="18"/>
          <w:lang w:val="en-US"/>
        </w:rPr>
        <w:t>Groux</w:t>
      </w:r>
      <w:proofErr w:type="spellEnd"/>
      <w:r w:rsidRPr="00EB3C9A">
        <w:rPr>
          <w:sz w:val="18"/>
          <w:szCs w:val="18"/>
          <w:lang w:val="en-US"/>
        </w:rPr>
        <w:t xml:space="preserve"> H. Genes specifically modulated in sensitized skins allow the detection of sensitizers in a reconstructed human skin model. Development of the SENS-IS assay. </w:t>
      </w:r>
      <w:proofErr w:type="spellStart"/>
      <w:r w:rsidRPr="00EB3C9A">
        <w:rPr>
          <w:i/>
          <w:iCs/>
          <w:sz w:val="18"/>
          <w:szCs w:val="18"/>
          <w:lang w:val="en-US"/>
        </w:rPr>
        <w:t>Toxicol</w:t>
      </w:r>
      <w:proofErr w:type="spellEnd"/>
      <w:r w:rsidRPr="00EB3C9A">
        <w:rPr>
          <w:i/>
          <w:iCs/>
          <w:sz w:val="18"/>
          <w:szCs w:val="18"/>
          <w:lang w:val="en-US"/>
        </w:rPr>
        <w:t xml:space="preserve"> in Vitro</w:t>
      </w:r>
      <w:r w:rsidRPr="00EB3C9A">
        <w:rPr>
          <w:sz w:val="18"/>
          <w:szCs w:val="18"/>
          <w:lang w:val="en-US"/>
        </w:rPr>
        <w:t>. 2015 Jun; 29 (4):787-802. Doi: 10.1016/j.tiv.2015.02.012.</w:t>
      </w:r>
    </w:p>
    <w:p w14:paraId="61DADDBB" w14:textId="77777777" w:rsidR="00F32019" w:rsidRPr="00EB3C9A" w:rsidRDefault="00F32019" w:rsidP="00EB3C9A">
      <w:pPr>
        <w:pStyle w:val="SingleTxtG"/>
        <w:spacing w:line="220" w:lineRule="atLeast"/>
        <w:rPr>
          <w:sz w:val="18"/>
          <w:szCs w:val="18"/>
          <w:lang w:val="en-US"/>
        </w:rPr>
      </w:pPr>
      <w:proofErr w:type="spellStart"/>
      <w:r w:rsidRPr="00EB3C9A">
        <w:rPr>
          <w:sz w:val="18"/>
          <w:szCs w:val="18"/>
          <w:lang w:val="en-US"/>
        </w:rPr>
        <w:t>Cottrez</w:t>
      </w:r>
      <w:proofErr w:type="spellEnd"/>
      <w:r w:rsidRPr="00EB3C9A">
        <w:rPr>
          <w:sz w:val="18"/>
          <w:szCs w:val="18"/>
          <w:lang w:val="en-US"/>
        </w:rPr>
        <w:t xml:space="preserve"> F, </w:t>
      </w:r>
      <w:proofErr w:type="spellStart"/>
      <w:r w:rsidRPr="00EB3C9A">
        <w:rPr>
          <w:sz w:val="18"/>
          <w:szCs w:val="18"/>
          <w:lang w:val="en-US"/>
        </w:rPr>
        <w:t>Boitel</w:t>
      </w:r>
      <w:proofErr w:type="spellEnd"/>
      <w:r w:rsidRPr="00EB3C9A">
        <w:rPr>
          <w:sz w:val="18"/>
          <w:szCs w:val="18"/>
          <w:lang w:val="en-US"/>
        </w:rPr>
        <w:t xml:space="preserve"> E, </w:t>
      </w:r>
      <w:proofErr w:type="spellStart"/>
      <w:r w:rsidRPr="00EB3C9A">
        <w:rPr>
          <w:sz w:val="18"/>
          <w:szCs w:val="18"/>
          <w:lang w:val="en-US"/>
        </w:rPr>
        <w:t>Ourlin</w:t>
      </w:r>
      <w:proofErr w:type="spellEnd"/>
      <w:r w:rsidRPr="00EB3C9A">
        <w:rPr>
          <w:sz w:val="18"/>
          <w:szCs w:val="18"/>
          <w:lang w:val="en-US"/>
        </w:rPr>
        <w:t xml:space="preserve"> JC, </w:t>
      </w:r>
      <w:proofErr w:type="spellStart"/>
      <w:r w:rsidRPr="00EB3C9A">
        <w:rPr>
          <w:sz w:val="18"/>
          <w:szCs w:val="18"/>
          <w:lang w:val="en-US"/>
        </w:rPr>
        <w:t>Peiffer</w:t>
      </w:r>
      <w:proofErr w:type="spellEnd"/>
      <w:r w:rsidRPr="00EB3C9A">
        <w:rPr>
          <w:sz w:val="18"/>
          <w:szCs w:val="18"/>
          <w:lang w:val="en-US"/>
        </w:rPr>
        <w:t xml:space="preserve"> JL, Fabre I, </w:t>
      </w:r>
      <w:proofErr w:type="spellStart"/>
      <w:r w:rsidRPr="00EB3C9A">
        <w:rPr>
          <w:sz w:val="18"/>
          <w:szCs w:val="18"/>
          <w:lang w:val="en-US"/>
        </w:rPr>
        <w:t>Henaoui</w:t>
      </w:r>
      <w:proofErr w:type="spellEnd"/>
      <w:r w:rsidRPr="00EB3C9A">
        <w:rPr>
          <w:sz w:val="18"/>
          <w:szCs w:val="18"/>
          <w:lang w:val="en-US"/>
        </w:rPr>
        <w:t xml:space="preserve"> IS, Mari B, </w:t>
      </w:r>
      <w:proofErr w:type="spellStart"/>
      <w:r w:rsidRPr="00EB3C9A">
        <w:rPr>
          <w:sz w:val="18"/>
          <w:szCs w:val="18"/>
          <w:lang w:val="en-US"/>
        </w:rPr>
        <w:t>Vallauri</w:t>
      </w:r>
      <w:proofErr w:type="spellEnd"/>
      <w:r w:rsidRPr="00EB3C9A">
        <w:rPr>
          <w:sz w:val="18"/>
          <w:szCs w:val="18"/>
          <w:lang w:val="en-US"/>
        </w:rPr>
        <w:t xml:space="preserve"> A, Paquet A, </w:t>
      </w:r>
      <w:proofErr w:type="spellStart"/>
      <w:r w:rsidRPr="00EB3C9A">
        <w:rPr>
          <w:sz w:val="18"/>
          <w:szCs w:val="18"/>
          <w:lang w:val="en-US"/>
        </w:rPr>
        <w:t>Barbry</w:t>
      </w:r>
      <w:proofErr w:type="spellEnd"/>
      <w:r w:rsidRPr="00EB3C9A">
        <w:rPr>
          <w:sz w:val="18"/>
          <w:szCs w:val="18"/>
          <w:lang w:val="en-US"/>
        </w:rPr>
        <w:t xml:space="preserve"> P, </w:t>
      </w:r>
      <w:proofErr w:type="spellStart"/>
      <w:r w:rsidRPr="00EB3C9A">
        <w:rPr>
          <w:sz w:val="18"/>
          <w:szCs w:val="18"/>
          <w:lang w:val="en-US"/>
        </w:rPr>
        <w:t>Auriault</w:t>
      </w:r>
      <w:proofErr w:type="spellEnd"/>
      <w:r w:rsidRPr="00EB3C9A">
        <w:rPr>
          <w:sz w:val="18"/>
          <w:szCs w:val="18"/>
          <w:lang w:val="en-US"/>
        </w:rPr>
        <w:t xml:space="preserve"> C, </w:t>
      </w:r>
      <w:proofErr w:type="spellStart"/>
      <w:r w:rsidRPr="00EB3C9A">
        <w:rPr>
          <w:sz w:val="18"/>
          <w:szCs w:val="18"/>
          <w:lang w:val="en-US"/>
        </w:rPr>
        <w:t>Aeby</w:t>
      </w:r>
      <w:proofErr w:type="spellEnd"/>
      <w:r w:rsidRPr="00EB3C9A">
        <w:rPr>
          <w:sz w:val="18"/>
          <w:szCs w:val="18"/>
          <w:lang w:val="en-US"/>
        </w:rPr>
        <w:t xml:space="preserve"> P, </w:t>
      </w:r>
      <w:proofErr w:type="spellStart"/>
      <w:r w:rsidRPr="00EB3C9A">
        <w:rPr>
          <w:sz w:val="18"/>
          <w:szCs w:val="18"/>
          <w:lang w:val="en-US"/>
        </w:rPr>
        <w:t>Groux</w:t>
      </w:r>
      <w:proofErr w:type="spellEnd"/>
      <w:r w:rsidRPr="00EB3C9A">
        <w:rPr>
          <w:sz w:val="18"/>
          <w:szCs w:val="18"/>
          <w:lang w:val="en-US"/>
        </w:rPr>
        <w:t xml:space="preserve"> H. SENS-IS, a 3D reconstituted </w:t>
      </w:r>
      <w:proofErr w:type="gramStart"/>
      <w:r w:rsidRPr="00EB3C9A">
        <w:rPr>
          <w:sz w:val="18"/>
          <w:szCs w:val="18"/>
          <w:lang w:val="en-US"/>
        </w:rPr>
        <w:t>epidermis based</w:t>
      </w:r>
      <w:proofErr w:type="gramEnd"/>
      <w:r w:rsidRPr="00EB3C9A">
        <w:rPr>
          <w:sz w:val="18"/>
          <w:szCs w:val="18"/>
          <w:lang w:val="en-US"/>
        </w:rPr>
        <w:t xml:space="preserve"> model for quantifying chemical sensitization potency: Reproducibility and predictivity results from an inter-laboratory study. </w:t>
      </w:r>
      <w:proofErr w:type="spellStart"/>
      <w:r w:rsidRPr="00EB3C9A">
        <w:rPr>
          <w:i/>
          <w:iCs/>
          <w:sz w:val="18"/>
          <w:szCs w:val="18"/>
          <w:lang w:val="en-US"/>
        </w:rPr>
        <w:t>Toxicol</w:t>
      </w:r>
      <w:proofErr w:type="spellEnd"/>
      <w:r w:rsidRPr="00EB3C9A">
        <w:rPr>
          <w:i/>
          <w:iCs/>
          <w:sz w:val="18"/>
          <w:szCs w:val="18"/>
          <w:lang w:val="en-US"/>
        </w:rPr>
        <w:t xml:space="preserve"> in Vitro </w:t>
      </w:r>
      <w:r w:rsidRPr="00EB3C9A">
        <w:rPr>
          <w:sz w:val="18"/>
          <w:szCs w:val="18"/>
          <w:lang w:val="en-US"/>
        </w:rPr>
        <w:t>2016 Apr, 32:248-60. Doi: 10.1016/j.tiv.2016.01.007.</w:t>
      </w:r>
    </w:p>
    <w:p w14:paraId="247926AD" w14:textId="77777777" w:rsidR="00F32019" w:rsidRPr="00EB3C9A" w:rsidRDefault="00F32019" w:rsidP="00EB3C9A">
      <w:pPr>
        <w:pStyle w:val="SingleTxtG"/>
        <w:spacing w:line="220" w:lineRule="atLeast"/>
        <w:rPr>
          <w:sz w:val="18"/>
          <w:szCs w:val="18"/>
          <w:lang w:val="en-US"/>
        </w:rPr>
      </w:pPr>
      <w:r w:rsidRPr="00EB3C9A">
        <w:rPr>
          <w:sz w:val="18"/>
          <w:szCs w:val="18"/>
          <w:lang w:val="en-US"/>
        </w:rPr>
        <w:t>ECHA.2017. Guidance on the application of the CLP criteria – Guidance to regulation (EC) No 1272/2008 on classification, labelling and packaging (CLP) of substances and mixtures. Version 5.0, July 2017.</w:t>
      </w:r>
    </w:p>
    <w:p w14:paraId="56CD8939" w14:textId="77777777" w:rsidR="00F32019" w:rsidRPr="00EB3C9A" w:rsidRDefault="00F32019" w:rsidP="00EB3C9A">
      <w:pPr>
        <w:pStyle w:val="SingleTxtG"/>
        <w:spacing w:line="220" w:lineRule="atLeast"/>
        <w:rPr>
          <w:sz w:val="18"/>
          <w:szCs w:val="18"/>
          <w:lang w:val="en-US"/>
        </w:rPr>
      </w:pPr>
      <w:proofErr w:type="spellStart"/>
      <w:r w:rsidRPr="00EB3C9A">
        <w:rPr>
          <w:sz w:val="18"/>
          <w:szCs w:val="18"/>
          <w:lang w:val="en-US"/>
        </w:rPr>
        <w:t>Gradin</w:t>
      </w:r>
      <w:proofErr w:type="spellEnd"/>
      <w:r w:rsidRPr="00EB3C9A">
        <w:rPr>
          <w:sz w:val="18"/>
          <w:szCs w:val="18"/>
          <w:lang w:val="en-US"/>
        </w:rPr>
        <w:t xml:space="preserve"> R, Johansson A, </w:t>
      </w:r>
      <w:proofErr w:type="spellStart"/>
      <w:r w:rsidRPr="00EB3C9A">
        <w:rPr>
          <w:sz w:val="18"/>
          <w:szCs w:val="18"/>
          <w:lang w:val="en-US"/>
        </w:rPr>
        <w:t>Forreryd</w:t>
      </w:r>
      <w:proofErr w:type="spellEnd"/>
      <w:r w:rsidRPr="00EB3C9A">
        <w:rPr>
          <w:sz w:val="18"/>
          <w:szCs w:val="18"/>
          <w:lang w:val="en-US"/>
        </w:rPr>
        <w:t xml:space="preserve"> A, </w:t>
      </w:r>
      <w:proofErr w:type="spellStart"/>
      <w:r w:rsidRPr="00EB3C9A">
        <w:rPr>
          <w:sz w:val="18"/>
          <w:szCs w:val="18"/>
          <w:lang w:val="en-US"/>
        </w:rPr>
        <w:t>Aaltonen</w:t>
      </w:r>
      <w:proofErr w:type="spellEnd"/>
      <w:r w:rsidRPr="00EB3C9A">
        <w:rPr>
          <w:sz w:val="18"/>
          <w:szCs w:val="18"/>
          <w:lang w:val="en-US"/>
        </w:rPr>
        <w:t xml:space="preserve"> E, </w:t>
      </w:r>
      <w:proofErr w:type="spellStart"/>
      <w:r w:rsidRPr="00EB3C9A">
        <w:rPr>
          <w:sz w:val="18"/>
          <w:szCs w:val="18"/>
          <w:lang w:val="en-US"/>
        </w:rPr>
        <w:t>Jerre</w:t>
      </w:r>
      <w:proofErr w:type="spellEnd"/>
      <w:r w:rsidRPr="00EB3C9A">
        <w:rPr>
          <w:sz w:val="18"/>
          <w:szCs w:val="18"/>
          <w:lang w:val="en-US"/>
        </w:rPr>
        <w:t xml:space="preserve"> A, Larne O, Mattson U, Johansson H. 2020. The </w:t>
      </w:r>
      <w:proofErr w:type="spellStart"/>
      <w:r w:rsidRPr="00EB3C9A">
        <w:rPr>
          <w:sz w:val="18"/>
          <w:szCs w:val="18"/>
          <w:lang w:val="en-US"/>
        </w:rPr>
        <w:t>GARDpotency</w:t>
      </w:r>
      <w:proofErr w:type="spellEnd"/>
      <w:r w:rsidRPr="00EB3C9A">
        <w:rPr>
          <w:sz w:val="18"/>
          <w:szCs w:val="18"/>
          <w:lang w:val="en-US"/>
        </w:rPr>
        <w:t xml:space="preserve"> assay for potency-associated subclassification of chemical skin sensitizers – Rationale, method development, and ring trial results of predictive performance and reproducibility. </w:t>
      </w:r>
      <w:proofErr w:type="spellStart"/>
      <w:r w:rsidRPr="00EB3C9A">
        <w:rPr>
          <w:i/>
          <w:iCs/>
          <w:sz w:val="18"/>
          <w:szCs w:val="18"/>
          <w:lang w:val="en-US"/>
        </w:rPr>
        <w:t>Toxicol</w:t>
      </w:r>
      <w:proofErr w:type="spellEnd"/>
      <w:r w:rsidRPr="00EB3C9A">
        <w:rPr>
          <w:i/>
          <w:iCs/>
          <w:sz w:val="18"/>
          <w:szCs w:val="18"/>
          <w:lang w:val="en-US"/>
        </w:rPr>
        <w:t xml:space="preserve">. Sci. </w:t>
      </w:r>
      <w:r w:rsidRPr="00EB3C9A">
        <w:rPr>
          <w:sz w:val="18"/>
          <w:szCs w:val="18"/>
          <w:lang w:val="en-US"/>
        </w:rPr>
        <w:t>176 (2):423-432. Doi: 10.1093/</w:t>
      </w:r>
      <w:proofErr w:type="spellStart"/>
      <w:r w:rsidRPr="00EB3C9A">
        <w:rPr>
          <w:sz w:val="18"/>
          <w:szCs w:val="18"/>
          <w:lang w:val="en-US"/>
        </w:rPr>
        <w:t>toxsci</w:t>
      </w:r>
      <w:proofErr w:type="spellEnd"/>
      <w:r w:rsidRPr="00EB3C9A">
        <w:rPr>
          <w:sz w:val="18"/>
          <w:szCs w:val="18"/>
          <w:lang w:val="en-US"/>
        </w:rPr>
        <w:t>/kfaa068.</w:t>
      </w:r>
    </w:p>
    <w:p w14:paraId="26162966" w14:textId="77777777" w:rsidR="00F32019" w:rsidRPr="00EB3C9A" w:rsidRDefault="00F32019" w:rsidP="00EB3C9A">
      <w:pPr>
        <w:pStyle w:val="SingleTxtG"/>
        <w:spacing w:line="220" w:lineRule="atLeast"/>
        <w:rPr>
          <w:sz w:val="18"/>
          <w:szCs w:val="18"/>
          <w:lang w:val="en-US"/>
        </w:rPr>
      </w:pPr>
      <w:r w:rsidRPr="00EB3C9A">
        <w:rPr>
          <w:sz w:val="18"/>
          <w:szCs w:val="18"/>
          <w:lang w:val="en-US"/>
        </w:rPr>
        <w:t xml:space="preserve">Johansson H, </w:t>
      </w:r>
      <w:proofErr w:type="spellStart"/>
      <w:r w:rsidRPr="00EB3C9A">
        <w:rPr>
          <w:sz w:val="18"/>
          <w:szCs w:val="18"/>
          <w:lang w:val="en-US"/>
        </w:rPr>
        <w:t>Lindstedt</w:t>
      </w:r>
      <w:proofErr w:type="spellEnd"/>
      <w:r w:rsidRPr="00EB3C9A">
        <w:rPr>
          <w:sz w:val="18"/>
          <w:szCs w:val="18"/>
          <w:lang w:val="en-US"/>
        </w:rPr>
        <w:t xml:space="preserve"> M, </w:t>
      </w:r>
      <w:proofErr w:type="spellStart"/>
      <w:r w:rsidRPr="00EB3C9A">
        <w:rPr>
          <w:sz w:val="18"/>
          <w:szCs w:val="18"/>
          <w:lang w:val="en-US"/>
        </w:rPr>
        <w:t>Albrekt</w:t>
      </w:r>
      <w:proofErr w:type="spellEnd"/>
      <w:r w:rsidRPr="00EB3C9A">
        <w:rPr>
          <w:sz w:val="18"/>
          <w:szCs w:val="18"/>
          <w:lang w:val="en-US"/>
        </w:rPr>
        <w:t xml:space="preserve"> AS, </w:t>
      </w:r>
      <w:proofErr w:type="spellStart"/>
      <w:r w:rsidRPr="00EB3C9A">
        <w:rPr>
          <w:sz w:val="18"/>
          <w:szCs w:val="18"/>
          <w:lang w:val="en-US"/>
        </w:rPr>
        <w:t>Borrebaeck</w:t>
      </w:r>
      <w:proofErr w:type="spellEnd"/>
      <w:r w:rsidRPr="00EB3C9A">
        <w:rPr>
          <w:sz w:val="18"/>
          <w:szCs w:val="18"/>
          <w:lang w:val="en-US"/>
        </w:rPr>
        <w:t xml:space="preserve"> CA. 2011. A genomic biomarker signature can predict skin sensitizers using a cell-based in vitro alternative to animal tests. </w:t>
      </w:r>
      <w:r w:rsidRPr="00EB3C9A">
        <w:rPr>
          <w:i/>
          <w:iCs/>
          <w:sz w:val="18"/>
          <w:szCs w:val="18"/>
          <w:lang w:val="en-US"/>
        </w:rPr>
        <w:t xml:space="preserve">BMC Genomics </w:t>
      </w:r>
      <w:r w:rsidRPr="00EB3C9A">
        <w:rPr>
          <w:sz w:val="18"/>
          <w:szCs w:val="18"/>
          <w:lang w:val="en-US"/>
        </w:rPr>
        <w:t>12:399. Doi: 10.1186/1471-2164-12-399.</w:t>
      </w:r>
    </w:p>
    <w:p w14:paraId="3B3EF1CA" w14:textId="77777777" w:rsidR="00F32019" w:rsidRPr="00EB3C9A" w:rsidRDefault="00F32019" w:rsidP="00EB3C9A">
      <w:pPr>
        <w:pStyle w:val="SingleTxtG"/>
        <w:spacing w:line="220" w:lineRule="atLeast"/>
        <w:rPr>
          <w:sz w:val="18"/>
          <w:szCs w:val="18"/>
          <w:lang w:val="en-US"/>
        </w:rPr>
      </w:pPr>
      <w:r w:rsidRPr="00EB3C9A">
        <w:rPr>
          <w:sz w:val="18"/>
          <w:szCs w:val="18"/>
          <w:lang w:val="en-US"/>
        </w:rPr>
        <w:t xml:space="preserve">Johansson H, </w:t>
      </w:r>
      <w:proofErr w:type="spellStart"/>
      <w:r w:rsidRPr="00EB3C9A">
        <w:rPr>
          <w:sz w:val="18"/>
          <w:szCs w:val="18"/>
          <w:lang w:val="en-US"/>
        </w:rPr>
        <w:t>Rydnert</w:t>
      </w:r>
      <w:proofErr w:type="spellEnd"/>
      <w:r w:rsidRPr="00EB3C9A">
        <w:rPr>
          <w:sz w:val="18"/>
          <w:szCs w:val="18"/>
          <w:lang w:val="en-US"/>
        </w:rPr>
        <w:t xml:space="preserve"> F, </w:t>
      </w:r>
      <w:proofErr w:type="spellStart"/>
      <w:r w:rsidRPr="00EB3C9A">
        <w:rPr>
          <w:sz w:val="18"/>
          <w:szCs w:val="18"/>
          <w:lang w:val="en-US"/>
        </w:rPr>
        <w:t>Kühnl</w:t>
      </w:r>
      <w:proofErr w:type="spellEnd"/>
      <w:r w:rsidRPr="00EB3C9A">
        <w:rPr>
          <w:sz w:val="18"/>
          <w:szCs w:val="18"/>
          <w:lang w:val="en-US"/>
        </w:rPr>
        <w:t xml:space="preserve"> J, </w:t>
      </w:r>
      <w:proofErr w:type="spellStart"/>
      <w:r w:rsidRPr="00EB3C9A">
        <w:rPr>
          <w:sz w:val="18"/>
          <w:szCs w:val="18"/>
          <w:lang w:val="en-US"/>
        </w:rPr>
        <w:t>Schepky</w:t>
      </w:r>
      <w:proofErr w:type="spellEnd"/>
      <w:r w:rsidRPr="00EB3C9A">
        <w:rPr>
          <w:sz w:val="18"/>
          <w:szCs w:val="18"/>
          <w:lang w:val="en-US"/>
        </w:rPr>
        <w:t xml:space="preserve"> A, </w:t>
      </w:r>
      <w:proofErr w:type="spellStart"/>
      <w:r w:rsidRPr="00EB3C9A">
        <w:rPr>
          <w:sz w:val="18"/>
          <w:szCs w:val="18"/>
          <w:lang w:val="en-US"/>
        </w:rPr>
        <w:t>Borrebaeck</w:t>
      </w:r>
      <w:proofErr w:type="spellEnd"/>
      <w:r w:rsidRPr="00EB3C9A">
        <w:rPr>
          <w:sz w:val="18"/>
          <w:szCs w:val="18"/>
          <w:lang w:val="en-US"/>
        </w:rPr>
        <w:t xml:space="preserve"> C, </w:t>
      </w:r>
      <w:proofErr w:type="spellStart"/>
      <w:r w:rsidRPr="00EB3C9A">
        <w:rPr>
          <w:sz w:val="18"/>
          <w:szCs w:val="18"/>
          <w:lang w:val="en-US"/>
        </w:rPr>
        <w:t>Lindstedt</w:t>
      </w:r>
      <w:proofErr w:type="spellEnd"/>
      <w:r w:rsidRPr="00EB3C9A">
        <w:rPr>
          <w:sz w:val="18"/>
          <w:szCs w:val="18"/>
          <w:lang w:val="en-US"/>
        </w:rPr>
        <w:t xml:space="preserve"> M. 2014. Genomic allergen rapid detection in-house validation – A proof of concept. </w:t>
      </w:r>
      <w:proofErr w:type="spellStart"/>
      <w:r w:rsidRPr="00EB3C9A">
        <w:rPr>
          <w:i/>
          <w:iCs/>
          <w:sz w:val="18"/>
          <w:szCs w:val="18"/>
          <w:lang w:val="en-US"/>
        </w:rPr>
        <w:t>Toxicol</w:t>
      </w:r>
      <w:proofErr w:type="spellEnd"/>
      <w:r w:rsidRPr="00EB3C9A">
        <w:rPr>
          <w:i/>
          <w:iCs/>
          <w:sz w:val="18"/>
          <w:szCs w:val="18"/>
          <w:lang w:val="en-US"/>
        </w:rPr>
        <w:t>. Sci</w:t>
      </w:r>
      <w:r w:rsidRPr="00EB3C9A">
        <w:rPr>
          <w:sz w:val="18"/>
          <w:szCs w:val="18"/>
          <w:lang w:val="en-US"/>
        </w:rPr>
        <w:t>. 139 (2): 362- 370. Doi: 10.1093/</w:t>
      </w:r>
      <w:proofErr w:type="spellStart"/>
      <w:r w:rsidRPr="00EB3C9A">
        <w:rPr>
          <w:sz w:val="18"/>
          <w:szCs w:val="18"/>
          <w:lang w:val="en-US"/>
        </w:rPr>
        <w:t>toxsci</w:t>
      </w:r>
      <w:proofErr w:type="spellEnd"/>
      <w:r w:rsidRPr="00EB3C9A">
        <w:rPr>
          <w:sz w:val="18"/>
          <w:szCs w:val="18"/>
          <w:lang w:val="en-US"/>
        </w:rPr>
        <w:t>/kfu046.</w:t>
      </w:r>
    </w:p>
    <w:p w14:paraId="78CEB403" w14:textId="77777777" w:rsidR="00F32019" w:rsidRPr="00EB3C9A" w:rsidRDefault="00F32019" w:rsidP="00EB3C9A">
      <w:pPr>
        <w:pStyle w:val="SingleTxtG"/>
        <w:spacing w:line="220" w:lineRule="atLeast"/>
        <w:rPr>
          <w:sz w:val="18"/>
          <w:szCs w:val="18"/>
          <w:lang w:val="en-US"/>
        </w:rPr>
      </w:pPr>
      <w:r w:rsidRPr="00EB3C9A">
        <w:rPr>
          <w:sz w:val="18"/>
          <w:szCs w:val="18"/>
          <w:lang w:val="en-US"/>
        </w:rPr>
        <w:t xml:space="preserve">Johansson H, </w:t>
      </w:r>
      <w:proofErr w:type="spellStart"/>
      <w:r w:rsidRPr="00EB3C9A">
        <w:rPr>
          <w:sz w:val="18"/>
          <w:szCs w:val="18"/>
          <w:lang w:val="en-US"/>
        </w:rPr>
        <w:t>Gradin</w:t>
      </w:r>
      <w:proofErr w:type="spellEnd"/>
      <w:r w:rsidRPr="00EB3C9A">
        <w:rPr>
          <w:sz w:val="18"/>
          <w:szCs w:val="18"/>
          <w:lang w:val="en-US"/>
        </w:rPr>
        <w:t xml:space="preserve"> R, </w:t>
      </w:r>
      <w:proofErr w:type="spellStart"/>
      <w:r w:rsidRPr="00EB3C9A">
        <w:rPr>
          <w:sz w:val="18"/>
          <w:szCs w:val="18"/>
          <w:lang w:val="en-US"/>
        </w:rPr>
        <w:t>Forreryd</w:t>
      </w:r>
      <w:proofErr w:type="spellEnd"/>
      <w:r w:rsidRPr="00EB3C9A">
        <w:rPr>
          <w:sz w:val="18"/>
          <w:szCs w:val="18"/>
          <w:lang w:val="en-US"/>
        </w:rPr>
        <w:t xml:space="preserve"> A, </w:t>
      </w:r>
      <w:proofErr w:type="spellStart"/>
      <w:r w:rsidRPr="00EB3C9A">
        <w:rPr>
          <w:sz w:val="18"/>
          <w:szCs w:val="18"/>
          <w:lang w:val="en-US"/>
        </w:rPr>
        <w:t>Agemark</w:t>
      </w:r>
      <w:proofErr w:type="spellEnd"/>
      <w:r w:rsidRPr="00EB3C9A">
        <w:rPr>
          <w:sz w:val="18"/>
          <w:szCs w:val="18"/>
          <w:lang w:val="en-US"/>
        </w:rPr>
        <w:t xml:space="preserve"> M, Zeller K, Johansson A, Larne O, van Vliet E, </w:t>
      </w:r>
      <w:proofErr w:type="spellStart"/>
      <w:r w:rsidRPr="00EB3C9A">
        <w:rPr>
          <w:sz w:val="18"/>
          <w:szCs w:val="18"/>
          <w:lang w:val="en-US"/>
        </w:rPr>
        <w:t>Borrebaeck</w:t>
      </w:r>
      <w:proofErr w:type="spellEnd"/>
      <w:r w:rsidRPr="00EB3C9A">
        <w:rPr>
          <w:sz w:val="18"/>
          <w:szCs w:val="18"/>
          <w:lang w:val="en-US"/>
        </w:rPr>
        <w:t xml:space="preserve"> C, </w:t>
      </w:r>
      <w:proofErr w:type="spellStart"/>
      <w:r w:rsidRPr="00EB3C9A">
        <w:rPr>
          <w:sz w:val="18"/>
          <w:szCs w:val="18"/>
          <w:lang w:val="en-US"/>
        </w:rPr>
        <w:t>Lindstedt</w:t>
      </w:r>
      <w:proofErr w:type="spellEnd"/>
      <w:r w:rsidRPr="00EB3C9A">
        <w:rPr>
          <w:sz w:val="18"/>
          <w:szCs w:val="18"/>
          <w:lang w:val="en-US"/>
        </w:rPr>
        <w:t xml:space="preserve"> M. 2017. Evaluation of the GARD assay in a blind Cosmetics Europe study. </w:t>
      </w:r>
      <w:r w:rsidRPr="00EB3C9A">
        <w:rPr>
          <w:i/>
          <w:iCs/>
          <w:sz w:val="18"/>
          <w:szCs w:val="18"/>
          <w:lang w:val="en-US"/>
        </w:rPr>
        <w:t>ALTEX</w:t>
      </w:r>
      <w:r w:rsidRPr="00EB3C9A">
        <w:rPr>
          <w:sz w:val="18"/>
          <w:szCs w:val="18"/>
          <w:lang w:val="en-US"/>
        </w:rPr>
        <w:t xml:space="preserve"> 34(4):515-523. Doi: 10.14573/altex.1701121.</w:t>
      </w:r>
    </w:p>
    <w:p w14:paraId="2CDCCAEE" w14:textId="5604ED4C" w:rsidR="00F32019" w:rsidRPr="00E54CF0" w:rsidRDefault="00F32019" w:rsidP="00EB3C9A">
      <w:pPr>
        <w:pStyle w:val="SingleTxtG"/>
        <w:spacing w:line="220" w:lineRule="atLeast"/>
        <w:rPr>
          <w:sz w:val="18"/>
          <w:szCs w:val="18"/>
        </w:rPr>
      </w:pPr>
      <w:r w:rsidRPr="00EB3C9A">
        <w:rPr>
          <w:sz w:val="18"/>
          <w:szCs w:val="18"/>
          <w:lang w:val="en-US"/>
        </w:rPr>
        <w:t xml:space="preserve">OECD 2016a. Guidance document on the reporting of defined approaches and individual information sources to be used within integrated approaches to testing and assessment (IATA) for skin sensitization. OECD Series on Testing &amp; Assessment No. 256. </w:t>
      </w:r>
      <w:hyperlink r:id="rId19" w:history="1">
        <w:r w:rsidRPr="00E54CF0">
          <w:rPr>
            <w:rStyle w:val="Hyperlink"/>
            <w:color w:val="auto"/>
            <w:sz w:val="18"/>
            <w:szCs w:val="18"/>
          </w:rPr>
          <w:t>http://www.oecd.org/chemicalsafety/risk-assessment/iata-integrated-approaches-to-testing-and-assessment.htm</w:t>
        </w:r>
      </w:hyperlink>
      <w:r w:rsidRPr="00E54CF0">
        <w:rPr>
          <w:rStyle w:val="Hyperlink"/>
          <w:color w:val="auto"/>
          <w:sz w:val="18"/>
          <w:szCs w:val="18"/>
        </w:rPr>
        <w:t>.</w:t>
      </w:r>
    </w:p>
    <w:p w14:paraId="2D61DF68" w14:textId="77777777" w:rsidR="00F32019" w:rsidRPr="00EB3C9A" w:rsidRDefault="00F32019" w:rsidP="00EB3C9A">
      <w:pPr>
        <w:pStyle w:val="SingleTxtG"/>
        <w:spacing w:line="220" w:lineRule="atLeast"/>
        <w:rPr>
          <w:sz w:val="18"/>
          <w:szCs w:val="18"/>
          <w:lang w:val="en-US"/>
        </w:rPr>
      </w:pPr>
      <w:proofErr w:type="spellStart"/>
      <w:r w:rsidRPr="00EB3C9A">
        <w:rPr>
          <w:sz w:val="18"/>
          <w:szCs w:val="18"/>
          <w:lang w:val="en-US"/>
        </w:rPr>
        <w:t>Kligman</w:t>
      </w:r>
      <w:proofErr w:type="spellEnd"/>
      <w:r w:rsidRPr="00EB3C9A">
        <w:rPr>
          <w:sz w:val="18"/>
          <w:szCs w:val="18"/>
          <w:lang w:val="en-US"/>
        </w:rPr>
        <w:t xml:space="preserve"> AM. 1966. The identification of contact allergens by human assay: II. Factors influencing the induction and measurement of allergic contact dermatitis. </w:t>
      </w:r>
      <w:r w:rsidRPr="00EB3C9A">
        <w:rPr>
          <w:i/>
          <w:iCs/>
          <w:sz w:val="18"/>
          <w:szCs w:val="18"/>
          <w:lang w:val="en-US"/>
        </w:rPr>
        <w:t xml:space="preserve">Journal of Investigative Dermatology </w:t>
      </w:r>
      <w:r w:rsidRPr="00EB3C9A">
        <w:rPr>
          <w:sz w:val="18"/>
          <w:szCs w:val="18"/>
          <w:lang w:val="en-US"/>
        </w:rPr>
        <w:t>47 (5), 375-392. DOI: 10.1038/jid.1966.159.</w:t>
      </w:r>
    </w:p>
    <w:p w14:paraId="1EC4758B" w14:textId="3CD788BF" w:rsidR="00F32019" w:rsidRPr="006B5A61" w:rsidRDefault="00F32019" w:rsidP="00EB3C9A">
      <w:pPr>
        <w:pStyle w:val="SingleTxtG"/>
        <w:spacing w:line="220" w:lineRule="atLeast"/>
        <w:rPr>
          <w:sz w:val="18"/>
          <w:szCs w:val="18"/>
          <w:lang w:val="en-US"/>
        </w:rPr>
      </w:pPr>
      <w:r w:rsidRPr="00EB3C9A">
        <w:rPr>
          <w:sz w:val="18"/>
          <w:szCs w:val="18"/>
          <w:lang w:val="en-US"/>
        </w:rPr>
        <w:t xml:space="preserve">OECD. 2014. The adverse outcome pathway for skin </w:t>
      </w:r>
      <w:proofErr w:type="spellStart"/>
      <w:r w:rsidRPr="00EB3C9A">
        <w:rPr>
          <w:sz w:val="18"/>
          <w:szCs w:val="18"/>
          <w:lang w:val="en-US"/>
        </w:rPr>
        <w:t>sensitisation</w:t>
      </w:r>
      <w:proofErr w:type="spellEnd"/>
      <w:r w:rsidRPr="00EB3C9A">
        <w:rPr>
          <w:sz w:val="18"/>
          <w:szCs w:val="18"/>
          <w:lang w:val="en-US"/>
        </w:rPr>
        <w:t xml:space="preserve"> initiated by covalent binding to proteins, OECD Series on Testing and Assessment No. 168. OECD Publishing, Paris. </w:t>
      </w:r>
      <w:hyperlink r:id="rId20" w:history="1">
        <w:r w:rsidR="006B5A61" w:rsidRPr="006B5A61">
          <w:rPr>
            <w:rStyle w:val="Hyperlink"/>
            <w:color w:val="auto"/>
            <w:sz w:val="18"/>
            <w:szCs w:val="18"/>
            <w:lang w:val="en-US"/>
          </w:rPr>
          <w:t>https//d</w:t>
        </w:r>
        <w:r w:rsidRPr="006B5A61">
          <w:rPr>
            <w:rStyle w:val="Hyperlink"/>
            <w:color w:val="auto"/>
            <w:sz w:val="18"/>
            <w:szCs w:val="18"/>
            <w:lang w:val="en-US"/>
          </w:rPr>
          <w:t>oi.org/10.1787/9789264221444-en</w:t>
        </w:r>
      </w:hyperlink>
      <w:r w:rsidRPr="006B5A61">
        <w:rPr>
          <w:sz w:val="18"/>
          <w:szCs w:val="18"/>
          <w:lang w:val="en-US"/>
        </w:rPr>
        <w:t>.</w:t>
      </w:r>
    </w:p>
    <w:p w14:paraId="71DE2A63" w14:textId="1610680F" w:rsidR="00F32019" w:rsidRPr="00E54CF0" w:rsidRDefault="00F32019" w:rsidP="00EB3C9A">
      <w:pPr>
        <w:pStyle w:val="SingleTxtG"/>
        <w:spacing w:line="220" w:lineRule="atLeast"/>
        <w:rPr>
          <w:sz w:val="18"/>
          <w:szCs w:val="18"/>
        </w:rPr>
      </w:pPr>
      <w:r w:rsidRPr="00EB3C9A">
        <w:rPr>
          <w:sz w:val="18"/>
          <w:szCs w:val="18"/>
          <w:lang w:val="en-US"/>
        </w:rPr>
        <w:t xml:space="preserve">OECD. 2016b. Annex I: Case studies to the guidance document on the reporting of defined approaches and individual information sources to be used within integrated approaches to testing and assessment (IATA) for skin sensitization. Series on Testing &amp; Assessment No. 256. </w:t>
      </w:r>
      <w:hyperlink r:id="rId21" w:history="1">
        <w:r w:rsidRPr="00E54CF0">
          <w:rPr>
            <w:rStyle w:val="Hyperlink"/>
            <w:color w:val="auto"/>
            <w:sz w:val="18"/>
            <w:szCs w:val="18"/>
          </w:rPr>
          <w:t>http://www.oecd.org/chemicalsafety/risk-assessment/iata-integrated-approaches-to-testing-and-assessment.htm</w:t>
        </w:r>
      </w:hyperlink>
      <w:r w:rsidRPr="00E54CF0">
        <w:rPr>
          <w:rStyle w:val="Hyperlink"/>
          <w:color w:val="auto"/>
          <w:sz w:val="18"/>
          <w:szCs w:val="18"/>
        </w:rPr>
        <w:t>.</w:t>
      </w:r>
    </w:p>
    <w:p w14:paraId="730D1072" w14:textId="0E74CD10" w:rsidR="00F32019" w:rsidRPr="00197C82" w:rsidRDefault="00F32019" w:rsidP="00EB3C9A">
      <w:pPr>
        <w:pStyle w:val="SingleTxtG"/>
        <w:spacing w:line="220" w:lineRule="atLeast"/>
        <w:rPr>
          <w:sz w:val="18"/>
          <w:szCs w:val="18"/>
          <w:lang w:val="fr-FR"/>
        </w:rPr>
      </w:pPr>
      <w:r w:rsidRPr="00EB3C9A">
        <w:rPr>
          <w:sz w:val="18"/>
          <w:szCs w:val="18"/>
          <w:lang w:val="en-US"/>
        </w:rPr>
        <w:t xml:space="preserve">OECD. 2012. The adverse outcome pathway for skin sensitization initiated by covalent binding to proteins. Part 1: scientific evidence. OECD Series on Testing and Assessment No. 168. </w:t>
      </w:r>
      <w:r w:rsidRPr="00EB3C9A">
        <w:rPr>
          <w:sz w:val="18"/>
          <w:szCs w:val="18"/>
          <w:lang w:val="fr-FR"/>
        </w:rPr>
        <w:t xml:space="preserve">Paris. </w:t>
      </w:r>
      <w:hyperlink r:id="rId22" w:history="1">
        <w:r w:rsidRPr="00197C82">
          <w:rPr>
            <w:rStyle w:val="Hyperlink"/>
            <w:color w:val="auto"/>
            <w:sz w:val="18"/>
            <w:szCs w:val="18"/>
            <w:lang w:val="fr-FR"/>
          </w:rPr>
          <w:t>https://www.oecd.org/chemicalsafety/testing/series-testingassessment-publications-number.htm</w:t>
        </w:r>
      </w:hyperlink>
      <w:r w:rsidRPr="00197C82">
        <w:rPr>
          <w:sz w:val="18"/>
          <w:szCs w:val="18"/>
          <w:lang w:val="fr-FR"/>
        </w:rPr>
        <w:t>.</w:t>
      </w:r>
    </w:p>
    <w:p w14:paraId="573CE89D" w14:textId="31EB8879" w:rsidR="00F32019" w:rsidRPr="00EB3C9A" w:rsidRDefault="00F32019" w:rsidP="00EB3C9A">
      <w:pPr>
        <w:pStyle w:val="SingleTxtG"/>
        <w:spacing w:line="220" w:lineRule="atLeast"/>
        <w:rPr>
          <w:sz w:val="18"/>
          <w:szCs w:val="18"/>
          <w:lang w:val="en-US"/>
        </w:rPr>
      </w:pPr>
      <w:r w:rsidRPr="00EB3C9A">
        <w:rPr>
          <w:sz w:val="18"/>
          <w:szCs w:val="18"/>
          <w:lang w:val="fr-FR"/>
        </w:rPr>
        <w:t xml:space="preserve">Saito K, </w:t>
      </w:r>
      <w:proofErr w:type="spellStart"/>
      <w:r w:rsidRPr="00EB3C9A">
        <w:rPr>
          <w:sz w:val="18"/>
          <w:szCs w:val="18"/>
          <w:lang w:val="fr-FR"/>
        </w:rPr>
        <w:t>Takenouchi</w:t>
      </w:r>
      <w:proofErr w:type="spellEnd"/>
      <w:r w:rsidRPr="00EB3C9A">
        <w:rPr>
          <w:sz w:val="18"/>
          <w:szCs w:val="18"/>
          <w:lang w:val="fr-FR"/>
        </w:rPr>
        <w:t xml:space="preserve"> O, </w:t>
      </w:r>
      <w:proofErr w:type="spellStart"/>
      <w:r w:rsidRPr="00EB3C9A">
        <w:rPr>
          <w:sz w:val="18"/>
          <w:szCs w:val="18"/>
          <w:lang w:val="fr-FR"/>
        </w:rPr>
        <w:t>Nukada</w:t>
      </w:r>
      <w:proofErr w:type="spellEnd"/>
      <w:r w:rsidRPr="00EB3C9A">
        <w:rPr>
          <w:sz w:val="18"/>
          <w:szCs w:val="18"/>
          <w:lang w:val="fr-FR"/>
        </w:rPr>
        <w:t xml:space="preserve"> Y, Miyazawa M, </w:t>
      </w:r>
      <w:proofErr w:type="spellStart"/>
      <w:r w:rsidRPr="00EB3C9A">
        <w:rPr>
          <w:sz w:val="18"/>
          <w:szCs w:val="18"/>
          <w:lang w:val="fr-FR"/>
        </w:rPr>
        <w:t>Sakaguchi</w:t>
      </w:r>
      <w:proofErr w:type="spellEnd"/>
      <w:r w:rsidRPr="00EB3C9A">
        <w:rPr>
          <w:sz w:val="18"/>
          <w:szCs w:val="18"/>
          <w:lang w:val="fr-FR"/>
        </w:rPr>
        <w:t xml:space="preserve"> H. 2017. </w:t>
      </w:r>
      <w:hyperlink r:id="rId23" w:history="1">
        <w:r w:rsidRPr="00EB3C9A">
          <w:rPr>
            <w:rStyle w:val="Hyperlink"/>
            <w:color w:val="auto"/>
            <w:sz w:val="18"/>
            <w:szCs w:val="18"/>
            <w:lang w:val="en-US"/>
          </w:rPr>
          <w:t xml:space="preserve">An in vitro skin sensitization assay termed </w:t>
        </w:r>
        <w:proofErr w:type="spellStart"/>
        <w:r w:rsidRPr="00EB3C9A">
          <w:rPr>
            <w:rStyle w:val="Hyperlink"/>
            <w:color w:val="auto"/>
            <w:sz w:val="18"/>
            <w:szCs w:val="18"/>
            <w:lang w:val="en-US"/>
          </w:rPr>
          <w:t>EpiSensA</w:t>
        </w:r>
        <w:proofErr w:type="spellEnd"/>
        <w:r w:rsidRPr="00EB3C9A">
          <w:rPr>
            <w:rStyle w:val="Hyperlink"/>
            <w:color w:val="auto"/>
            <w:sz w:val="18"/>
            <w:szCs w:val="18"/>
            <w:lang w:val="en-US"/>
          </w:rPr>
          <w:t xml:space="preserve"> for broad sets of chemicals including lipophilic chemicals and pre/pro-</w:t>
        </w:r>
        <w:proofErr w:type="spellStart"/>
        <w:r w:rsidRPr="00EB3C9A">
          <w:rPr>
            <w:rStyle w:val="Hyperlink"/>
            <w:color w:val="auto"/>
            <w:sz w:val="18"/>
            <w:szCs w:val="18"/>
            <w:lang w:val="en-US"/>
          </w:rPr>
          <w:t>haptens</w:t>
        </w:r>
        <w:proofErr w:type="spellEnd"/>
        <w:r w:rsidRPr="00EB3C9A">
          <w:rPr>
            <w:rStyle w:val="Hyperlink"/>
            <w:color w:val="auto"/>
            <w:sz w:val="18"/>
            <w:szCs w:val="18"/>
            <w:lang w:val="en-US"/>
          </w:rPr>
          <w:t>.</w:t>
        </w:r>
      </w:hyperlink>
      <w:r w:rsidRPr="00EB3C9A">
        <w:rPr>
          <w:sz w:val="18"/>
          <w:szCs w:val="18"/>
          <w:lang w:val="en-US"/>
        </w:rPr>
        <w:t xml:space="preserve"> </w:t>
      </w:r>
      <w:proofErr w:type="spellStart"/>
      <w:r w:rsidRPr="00EB3C9A">
        <w:rPr>
          <w:i/>
          <w:iCs/>
          <w:sz w:val="18"/>
          <w:szCs w:val="18"/>
          <w:lang w:val="en-US"/>
        </w:rPr>
        <w:t>Toxicol</w:t>
      </w:r>
      <w:proofErr w:type="spellEnd"/>
      <w:r w:rsidRPr="00EB3C9A">
        <w:rPr>
          <w:i/>
          <w:iCs/>
          <w:sz w:val="18"/>
          <w:szCs w:val="18"/>
          <w:lang w:val="en-US"/>
        </w:rPr>
        <w:t xml:space="preserve"> in Vitro</w:t>
      </w:r>
      <w:r w:rsidRPr="00EB3C9A">
        <w:rPr>
          <w:sz w:val="18"/>
          <w:szCs w:val="18"/>
          <w:lang w:val="en-US"/>
        </w:rPr>
        <w:t xml:space="preserve">. 2017 Apr, 40:11-25. Doi: 10.1016/j.tiv.2016.12.005. </w:t>
      </w:r>
      <w:proofErr w:type="spellStart"/>
      <w:r w:rsidRPr="00EB3C9A">
        <w:rPr>
          <w:sz w:val="18"/>
          <w:szCs w:val="18"/>
          <w:lang w:val="en-US"/>
        </w:rPr>
        <w:t>Epub</w:t>
      </w:r>
      <w:proofErr w:type="spellEnd"/>
      <w:r w:rsidRPr="00EB3C9A">
        <w:rPr>
          <w:sz w:val="18"/>
          <w:szCs w:val="18"/>
          <w:lang w:val="en-US"/>
        </w:rPr>
        <w:t xml:space="preserve"> 2016 Dec 10. PMID: 27965148.</w:t>
      </w:r>
    </w:p>
    <w:p w14:paraId="56B4AAF9" w14:textId="432CEAFD" w:rsidR="00F32019" w:rsidRPr="00EB3C9A" w:rsidRDefault="00F32019" w:rsidP="00EB3C9A">
      <w:pPr>
        <w:pStyle w:val="SingleTxtG"/>
        <w:spacing w:line="220" w:lineRule="atLeast"/>
        <w:rPr>
          <w:sz w:val="18"/>
          <w:szCs w:val="18"/>
          <w:lang w:val="en-US"/>
        </w:rPr>
      </w:pPr>
      <w:r w:rsidRPr="00EB3C9A">
        <w:rPr>
          <w:sz w:val="18"/>
          <w:szCs w:val="18"/>
          <w:lang w:val="en-US"/>
        </w:rPr>
        <w:t xml:space="preserve">Wright ZM, </w:t>
      </w:r>
      <w:proofErr w:type="spellStart"/>
      <w:r w:rsidRPr="00EB3C9A">
        <w:rPr>
          <w:sz w:val="18"/>
          <w:szCs w:val="18"/>
          <w:lang w:val="en-US"/>
        </w:rPr>
        <w:t>Basketter</w:t>
      </w:r>
      <w:proofErr w:type="spellEnd"/>
      <w:r w:rsidRPr="00EB3C9A">
        <w:rPr>
          <w:sz w:val="18"/>
          <w:szCs w:val="18"/>
          <w:lang w:val="en-US"/>
        </w:rPr>
        <w:t xml:space="preserve"> PA, Blaikie L, Cooper KJ, </w:t>
      </w:r>
      <w:proofErr w:type="spellStart"/>
      <w:r w:rsidRPr="00EB3C9A">
        <w:rPr>
          <w:sz w:val="18"/>
          <w:szCs w:val="18"/>
          <w:lang w:val="en-US"/>
        </w:rPr>
        <w:t>Warbrick</w:t>
      </w:r>
      <w:proofErr w:type="spellEnd"/>
      <w:r w:rsidRPr="00EB3C9A">
        <w:rPr>
          <w:sz w:val="18"/>
          <w:szCs w:val="18"/>
          <w:lang w:val="en-US"/>
        </w:rPr>
        <w:t xml:space="preserve"> EV, Dearman RJ, Kimber I. 2001. Vehicle effects on skin sensitizing potency of four chemicals: Assessment using the local lymph node assay. </w:t>
      </w:r>
      <w:r w:rsidRPr="00EB3C9A">
        <w:rPr>
          <w:i/>
          <w:iCs/>
          <w:sz w:val="18"/>
          <w:szCs w:val="18"/>
          <w:lang w:val="en-US"/>
        </w:rPr>
        <w:t xml:space="preserve">Int J </w:t>
      </w:r>
      <w:proofErr w:type="spellStart"/>
      <w:r w:rsidRPr="00EB3C9A">
        <w:rPr>
          <w:i/>
          <w:iCs/>
          <w:sz w:val="18"/>
          <w:szCs w:val="18"/>
          <w:lang w:val="en-US"/>
        </w:rPr>
        <w:t>Cosmet</w:t>
      </w:r>
      <w:proofErr w:type="spellEnd"/>
      <w:r w:rsidRPr="00EB3C9A">
        <w:rPr>
          <w:i/>
          <w:iCs/>
          <w:sz w:val="18"/>
          <w:szCs w:val="18"/>
          <w:lang w:val="en-US"/>
        </w:rPr>
        <w:t xml:space="preserve"> Sci</w:t>
      </w:r>
      <w:r w:rsidRPr="00EB3C9A">
        <w:rPr>
          <w:sz w:val="18"/>
          <w:szCs w:val="18"/>
          <w:lang w:val="en-US"/>
        </w:rPr>
        <w:t>. 2001 Apr. 23 (2):75-83. Doi: 10.1046/j.1467-2494.2001.</w:t>
      </w:r>
      <w:proofErr w:type="gramStart"/>
      <w:r w:rsidRPr="00EB3C9A">
        <w:rPr>
          <w:sz w:val="18"/>
          <w:szCs w:val="18"/>
          <w:lang w:val="en-US"/>
        </w:rPr>
        <w:t>00066.x.</w:t>
      </w:r>
      <w:proofErr w:type="gramEnd"/>
      <w:r w:rsidRPr="00EB3C9A">
        <w:rPr>
          <w:sz w:val="18"/>
          <w:szCs w:val="18"/>
          <w:lang w:val="en-US"/>
        </w:rPr>
        <w:t xml:space="preserve"> PMID: 18498452</w:t>
      </w:r>
      <w:r w:rsidR="00414A82">
        <w:rPr>
          <w:sz w:val="18"/>
          <w:szCs w:val="18"/>
          <w:lang w:val="en-US"/>
        </w:rPr>
        <w:t>.</w:t>
      </w:r>
    </w:p>
    <w:p w14:paraId="6C0FE76C" w14:textId="77777777" w:rsidR="00F32019" w:rsidRPr="008F1A6A" w:rsidRDefault="00F32019" w:rsidP="00EB3C9A">
      <w:pPr>
        <w:pStyle w:val="SingleTxtG"/>
        <w:spacing w:line="220" w:lineRule="atLeast"/>
      </w:pPr>
      <w:r w:rsidRPr="00EB3C9A">
        <w:rPr>
          <w:sz w:val="18"/>
          <w:szCs w:val="18"/>
          <w:lang w:val="en-US"/>
        </w:rPr>
        <w:lastRenderedPageBreak/>
        <w:t xml:space="preserve">Zeller KS, </w:t>
      </w:r>
      <w:proofErr w:type="spellStart"/>
      <w:r w:rsidRPr="00EB3C9A">
        <w:rPr>
          <w:sz w:val="18"/>
          <w:szCs w:val="18"/>
          <w:lang w:val="en-US"/>
        </w:rPr>
        <w:t>Forreryd</w:t>
      </w:r>
      <w:proofErr w:type="spellEnd"/>
      <w:r w:rsidRPr="00EB3C9A">
        <w:rPr>
          <w:sz w:val="18"/>
          <w:szCs w:val="18"/>
          <w:lang w:val="en-US"/>
        </w:rPr>
        <w:t xml:space="preserve"> A, Lindberg T, </w:t>
      </w:r>
      <w:proofErr w:type="spellStart"/>
      <w:r w:rsidRPr="00EB3C9A">
        <w:rPr>
          <w:sz w:val="18"/>
          <w:szCs w:val="18"/>
          <w:lang w:val="en-US"/>
        </w:rPr>
        <w:t>Gradin</w:t>
      </w:r>
      <w:proofErr w:type="spellEnd"/>
      <w:r w:rsidRPr="00EB3C9A">
        <w:rPr>
          <w:sz w:val="18"/>
          <w:szCs w:val="18"/>
          <w:lang w:val="en-US"/>
        </w:rPr>
        <w:t xml:space="preserve"> R, </w:t>
      </w:r>
      <w:proofErr w:type="spellStart"/>
      <w:r w:rsidRPr="00EB3C9A">
        <w:rPr>
          <w:sz w:val="18"/>
          <w:szCs w:val="18"/>
          <w:lang w:val="en-US"/>
        </w:rPr>
        <w:t>Chawade</w:t>
      </w:r>
      <w:proofErr w:type="spellEnd"/>
      <w:r w:rsidRPr="00EB3C9A">
        <w:rPr>
          <w:sz w:val="18"/>
          <w:szCs w:val="18"/>
          <w:lang w:val="en-US"/>
        </w:rPr>
        <w:t xml:space="preserve"> A, </w:t>
      </w:r>
      <w:proofErr w:type="spellStart"/>
      <w:r w:rsidRPr="00EB3C9A">
        <w:rPr>
          <w:sz w:val="18"/>
          <w:szCs w:val="18"/>
          <w:lang w:val="en-US"/>
        </w:rPr>
        <w:t>Lindstedt</w:t>
      </w:r>
      <w:proofErr w:type="spellEnd"/>
      <w:r w:rsidRPr="00EB3C9A">
        <w:rPr>
          <w:sz w:val="18"/>
          <w:szCs w:val="18"/>
          <w:lang w:val="en-US"/>
        </w:rPr>
        <w:t xml:space="preserve"> M. 2017. The GARD platform for potency assessment of skin sensitizing chemicals. </w:t>
      </w:r>
      <w:r w:rsidRPr="00EB3C9A">
        <w:rPr>
          <w:i/>
          <w:iCs/>
          <w:sz w:val="18"/>
          <w:szCs w:val="18"/>
        </w:rPr>
        <w:t>ALTEX</w:t>
      </w:r>
      <w:r w:rsidRPr="00EB3C9A">
        <w:rPr>
          <w:sz w:val="18"/>
          <w:szCs w:val="18"/>
        </w:rPr>
        <w:t xml:space="preserve"> 34 (4</w:t>
      </w:r>
      <w:proofErr w:type="gramStart"/>
      <w:r w:rsidRPr="00EB3C9A">
        <w:rPr>
          <w:sz w:val="18"/>
          <w:szCs w:val="18"/>
        </w:rPr>
        <w:t>):</w:t>
      </w:r>
      <w:proofErr w:type="gramEnd"/>
      <w:r w:rsidRPr="00EB3C9A">
        <w:rPr>
          <w:sz w:val="18"/>
          <w:szCs w:val="18"/>
        </w:rPr>
        <w:t xml:space="preserve">539-559. </w:t>
      </w:r>
      <w:proofErr w:type="spellStart"/>
      <w:proofErr w:type="gramStart"/>
      <w:r w:rsidRPr="00EB3C9A">
        <w:rPr>
          <w:sz w:val="18"/>
          <w:szCs w:val="18"/>
        </w:rPr>
        <w:t>Doi</w:t>
      </w:r>
      <w:proofErr w:type="spellEnd"/>
      <w:r w:rsidRPr="00EB3C9A">
        <w:rPr>
          <w:sz w:val="18"/>
          <w:szCs w:val="18"/>
        </w:rPr>
        <w:t>:</w:t>
      </w:r>
      <w:proofErr w:type="gramEnd"/>
      <w:r w:rsidRPr="00EB3C9A">
        <w:rPr>
          <w:sz w:val="18"/>
          <w:szCs w:val="18"/>
        </w:rPr>
        <w:t xml:space="preserve"> 10.14573/altex.1701101.</w:t>
      </w:r>
      <w:r w:rsidRPr="008F1A6A">
        <w:t> ».</w:t>
      </w:r>
    </w:p>
    <w:p w14:paraId="0F3E102E" w14:textId="326C7527" w:rsidR="00900FAE" w:rsidRPr="00F32019" w:rsidRDefault="00F32019" w:rsidP="00F32019">
      <w:pPr>
        <w:pStyle w:val="SingleTxtG"/>
        <w:spacing w:before="240" w:after="0"/>
        <w:jc w:val="center"/>
        <w:rPr>
          <w:u w:val="single"/>
        </w:rPr>
      </w:pPr>
      <w:r>
        <w:rPr>
          <w:u w:val="single"/>
        </w:rPr>
        <w:tab/>
      </w:r>
      <w:r>
        <w:rPr>
          <w:u w:val="single"/>
        </w:rPr>
        <w:tab/>
      </w:r>
      <w:r>
        <w:rPr>
          <w:u w:val="single"/>
        </w:rPr>
        <w:tab/>
      </w:r>
    </w:p>
    <w:sectPr w:rsidR="00900FAE" w:rsidRPr="00F32019" w:rsidSect="00900FAE">
      <w:headerReference w:type="even" r:id="rId24"/>
      <w:headerReference w:type="default" r:id="rId25"/>
      <w:footerReference w:type="even" r:id="rId26"/>
      <w:footerReference w:type="default" r:id="rId27"/>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A7D9" w14:textId="77777777" w:rsidR="004E2995" w:rsidRDefault="004E2995" w:rsidP="00F95C08">
      <w:pPr>
        <w:spacing w:line="240" w:lineRule="auto"/>
      </w:pPr>
    </w:p>
  </w:endnote>
  <w:endnote w:type="continuationSeparator" w:id="0">
    <w:p w14:paraId="2CC2E466" w14:textId="77777777" w:rsidR="004E2995" w:rsidRPr="00AC3823" w:rsidRDefault="004E2995" w:rsidP="00AC3823">
      <w:pPr>
        <w:pStyle w:val="Footer"/>
      </w:pPr>
    </w:p>
  </w:endnote>
  <w:endnote w:type="continuationNotice" w:id="1">
    <w:p w14:paraId="44D80059" w14:textId="77777777" w:rsidR="004E2995" w:rsidRDefault="004E29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D239" w14:textId="5B95C0CB" w:rsidR="00664A4D" w:rsidRPr="00664A4D" w:rsidRDefault="00664A4D" w:rsidP="00664A4D">
    <w:pPr>
      <w:pStyle w:val="Footer"/>
      <w:tabs>
        <w:tab w:val="right" w:pos="9638"/>
      </w:tabs>
    </w:pPr>
    <w:r w:rsidRPr="00664A4D">
      <w:rPr>
        <w:b/>
        <w:sz w:val="18"/>
      </w:rPr>
      <w:fldChar w:fldCharType="begin"/>
    </w:r>
    <w:r w:rsidRPr="00664A4D">
      <w:rPr>
        <w:b/>
        <w:sz w:val="18"/>
      </w:rPr>
      <w:instrText xml:space="preserve"> PAGE  \* MERGEFORMAT </w:instrText>
    </w:r>
    <w:r w:rsidRPr="00664A4D">
      <w:rPr>
        <w:b/>
        <w:sz w:val="18"/>
      </w:rPr>
      <w:fldChar w:fldCharType="separate"/>
    </w:r>
    <w:r w:rsidRPr="00664A4D">
      <w:rPr>
        <w:b/>
        <w:noProof/>
        <w:sz w:val="18"/>
      </w:rPr>
      <w:t>2</w:t>
    </w:r>
    <w:r w:rsidRPr="00664A4D">
      <w:rPr>
        <w:b/>
        <w:sz w:val="18"/>
      </w:rPr>
      <w:fldChar w:fldCharType="end"/>
    </w:r>
    <w:r>
      <w:rPr>
        <w:b/>
        <w:sz w:val="18"/>
      </w:rPr>
      <w:tab/>
    </w:r>
    <w:r>
      <w:t>GE.22-14602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8681" w14:textId="4BF73E01" w:rsidR="00664A4D" w:rsidRPr="00664A4D" w:rsidRDefault="00664A4D" w:rsidP="00664A4D">
    <w:pPr>
      <w:pStyle w:val="Footer"/>
      <w:tabs>
        <w:tab w:val="right" w:pos="9638"/>
      </w:tabs>
      <w:rPr>
        <w:b/>
        <w:sz w:val="18"/>
      </w:rPr>
    </w:pPr>
    <w:r>
      <w:t>GE.22-14602</w:t>
    </w:r>
    <w:r>
      <w:tab/>
    </w:r>
    <w:r w:rsidRPr="00664A4D">
      <w:rPr>
        <w:b/>
        <w:sz w:val="18"/>
      </w:rPr>
      <w:fldChar w:fldCharType="begin"/>
    </w:r>
    <w:r w:rsidRPr="00664A4D">
      <w:rPr>
        <w:b/>
        <w:sz w:val="18"/>
      </w:rPr>
      <w:instrText xml:space="preserve"> PAGE  \* MERGEFORMAT </w:instrText>
    </w:r>
    <w:r w:rsidRPr="00664A4D">
      <w:rPr>
        <w:b/>
        <w:sz w:val="18"/>
      </w:rPr>
      <w:fldChar w:fldCharType="separate"/>
    </w:r>
    <w:r w:rsidRPr="00664A4D">
      <w:rPr>
        <w:b/>
        <w:noProof/>
        <w:sz w:val="18"/>
      </w:rPr>
      <w:t>3</w:t>
    </w:r>
    <w:r w:rsidRPr="00664A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36E2" w14:textId="391CC69F" w:rsidR="0068456F" w:rsidRPr="00664A4D" w:rsidRDefault="00664A4D" w:rsidP="00664A4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7913561" wp14:editId="6AF021B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14602  (</w:t>
    </w:r>
    <w:proofErr w:type="gramEnd"/>
    <w:r>
      <w:rPr>
        <w:sz w:val="20"/>
      </w:rPr>
      <w:t>F)</w:t>
    </w:r>
    <w:r>
      <w:rPr>
        <w:noProof/>
        <w:sz w:val="20"/>
      </w:rPr>
      <w:drawing>
        <wp:anchor distT="0" distB="0" distL="114300" distR="114300" simplePos="0" relativeHeight="251660288" behindDoc="0" locked="0" layoutInCell="1" allowOverlap="1" wp14:anchorId="4170775D" wp14:editId="4F8DDA2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CF0">
      <w:rPr>
        <w:sz w:val="20"/>
      </w:rPr>
      <w:t xml:space="preserve">    241022    241022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7871" w14:textId="35247F57" w:rsidR="00CE20CF" w:rsidRPr="00CE20CF" w:rsidRDefault="00CE20CF" w:rsidP="00CE20CF">
    <w:pPr>
      <w:pStyle w:val="Footer"/>
    </w:pPr>
    <w:r>
      <w:rPr>
        <w:noProof/>
      </w:rPr>
      <mc:AlternateContent>
        <mc:Choice Requires="wps">
          <w:drawing>
            <wp:anchor distT="0" distB="0" distL="114300" distR="114300" simplePos="0" relativeHeight="251662336" behindDoc="0" locked="0" layoutInCell="1" allowOverlap="1" wp14:anchorId="5435F609" wp14:editId="7F93DBF5">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2F2F499" w14:textId="77777777" w:rsidR="00CE20CF" w:rsidRPr="00664A4D" w:rsidRDefault="00CE20CF" w:rsidP="00CE20CF">
                          <w:pPr>
                            <w:pStyle w:val="Footer"/>
                            <w:tabs>
                              <w:tab w:val="right" w:pos="9638"/>
                            </w:tabs>
                          </w:pPr>
                          <w:r w:rsidRPr="00664A4D">
                            <w:rPr>
                              <w:b/>
                              <w:sz w:val="18"/>
                            </w:rPr>
                            <w:fldChar w:fldCharType="begin"/>
                          </w:r>
                          <w:r w:rsidRPr="00664A4D">
                            <w:rPr>
                              <w:b/>
                              <w:sz w:val="18"/>
                            </w:rPr>
                            <w:instrText xml:space="preserve"> PAGE  \* MERGEFORMAT </w:instrText>
                          </w:r>
                          <w:r w:rsidRPr="00664A4D">
                            <w:rPr>
                              <w:b/>
                              <w:sz w:val="18"/>
                            </w:rPr>
                            <w:fldChar w:fldCharType="separate"/>
                          </w:r>
                          <w:r>
                            <w:rPr>
                              <w:b/>
                              <w:sz w:val="18"/>
                            </w:rPr>
                            <w:t>20</w:t>
                          </w:r>
                          <w:r w:rsidRPr="00664A4D">
                            <w:rPr>
                              <w:b/>
                              <w:sz w:val="18"/>
                            </w:rPr>
                            <w:fldChar w:fldCharType="end"/>
                          </w:r>
                          <w:r>
                            <w:rPr>
                              <w:b/>
                              <w:sz w:val="18"/>
                            </w:rPr>
                            <w:tab/>
                          </w:r>
                          <w:r>
                            <w:t>GE.22-14602</w:t>
                          </w:r>
                        </w:p>
                        <w:p w14:paraId="05F1CF6D" w14:textId="77777777" w:rsidR="00CE20CF" w:rsidRDefault="00CE20C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35F609"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2F2F499" w14:textId="77777777" w:rsidR="00CE20CF" w:rsidRPr="00664A4D" w:rsidRDefault="00CE20CF" w:rsidP="00CE20CF">
                    <w:pPr>
                      <w:pStyle w:val="Pieddepage"/>
                      <w:tabs>
                        <w:tab w:val="right" w:pos="9638"/>
                      </w:tabs>
                    </w:pPr>
                    <w:r w:rsidRPr="00664A4D">
                      <w:rPr>
                        <w:b/>
                        <w:sz w:val="18"/>
                      </w:rPr>
                      <w:fldChar w:fldCharType="begin"/>
                    </w:r>
                    <w:r w:rsidRPr="00664A4D">
                      <w:rPr>
                        <w:b/>
                        <w:sz w:val="18"/>
                      </w:rPr>
                      <w:instrText xml:space="preserve"> PAGE  \* MERGEFORMAT </w:instrText>
                    </w:r>
                    <w:r w:rsidRPr="00664A4D">
                      <w:rPr>
                        <w:b/>
                        <w:sz w:val="18"/>
                      </w:rPr>
                      <w:fldChar w:fldCharType="separate"/>
                    </w:r>
                    <w:r>
                      <w:rPr>
                        <w:b/>
                        <w:sz w:val="18"/>
                      </w:rPr>
                      <w:t>20</w:t>
                    </w:r>
                    <w:r w:rsidRPr="00664A4D">
                      <w:rPr>
                        <w:b/>
                        <w:sz w:val="18"/>
                      </w:rPr>
                      <w:fldChar w:fldCharType="end"/>
                    </w:r>
                    <w:r>
                      <w:rPr>
                        <w:b/>
                        <w:sz w:val="18"/>
                      </w:rPr>
                      <w:tab/>
                    </w:r>
                    <w:r>
                      <w:t>GE.22-14602</w:t>
                    </w:r>
                  </w:p>
                  <w:p w14:paraId="05F1CF6D" w14:textId="77777777" w:rsidR="00CE20CF" w:rsidRDefault="00CE20C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92DA" w14:textId="1683E6AE" w:rsidR="00CE20CF" w:rsidRPr="00CE20CF" w:rsidRDefault="00CE20CF" w:rsidP="00CE20CF">
    <w:pPr>
      <w:pStyle w:val="Footer"/>
    </w:pPr>
    <w:r>
      <w:rPr>
        <w:noProof/>
      </w:rPr>
      <mc:AlternateContent>
        <mc:Choice Requires="wps">
          <w:drawing>
            <wp:anchor distT="0" distB="0" distL="114300" distR="114300" simplePos="0" relativeHeight="251664384" behindDoc="0" locked="0" layoutInCell="1" allowOverlap="1" wp14:anchorId="5D356565" wp14:editId="147D9074">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F1A11B2" w14:textId="77777777" w:rsidR="00CE20CF" w:rsidRPr="00664A4D" w:rsidRDefault="00CE20CF" w:rsidP="00CE20CF">
                          <w:pPr>
                            <w:pStyle w:val="Footer"/>
                            <w:tabs>
                              <w:tab w:val="right" w:pos="9638"/>
                            </w:tabs>
                            <w:rPr>
                              <w:b/>
                              <w:sz w:val="18"/>
                            </w:rPr>
                          </w:pPr>
                          <w:r>
                            <w:t>GE.22-14602</w:t>
                          </w:r>
                          <w:r>
                            <w:tab/>
                          </w:r>
                          <w:r w:rsidRPr="00664A4D">
                            <w:rPr>
                              <w:b/>
                              <w:sz w:val="18"/>
                            </w:rPr>
                            <w:fldChar w:fldCharType="begin"/>
                          </w:r>
                          <w:r w:rsidRPr="00664A4D">
                            <w:rPr>
                              <w:b/>
                              <w:sz w:val="18"/>
                            </w:rPr>
                            <w:instrText xml:space="preserve"> PAGE  \* MERGEFORMAT </w:instrText>
                          </w:r>
                          <w:r w:rsidRPr="00664A4D">
                            <w:rPr>
                              <w:b/>
                              <w:sz w:val="18"/>
                            </w:rPr>
                            <w:fldChar w:fldCharType="separate"/>
                          </w:r>
                          <w:r>
                            <w:rPr>
                              <w:b/>
                              <w:sz w:val="18"/>
                            </w:rPr>
                            <w:t>21</w:t>
                          </w:r>
                          <w:r w:rsidRPr="00664A4D">
                            <w:rPr>
                              <w:b/>
                              <w:sz w:val="18"/>
                            </w:rPr>
                            <w:fldChar w:fldCharType="end"/>
                          </w:r>
                        </w:p>
                        <w:p w14:paraId="3EEB4041" w14:textId="77777777" w:rsidR="00CE20CF" w:rsidRDefault="00CE20C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356565"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F1A11B2" w14:textId="77777777" w:rsidR="00CE20CF" w:rsidRPr="00664A4D" w:rsidRDefault="00CE20CF" w:rsidP="00CE20CF">
                    <w:pPr>
                      <w:pStyle w:val="Pieddepage"/>
                      <w:tabs>
                        <w:tab w:val="right" w:pos="9638"/>
                      </w:tabs>
                      <w:rPr>
                        <w:b/>
                        <w:sz w:val="18"/>
                      </w:rPr>
                    </w:pPr>
                    <w:r>
                      <w:t>GE.22-14602</w:t>
                    </w:r>
                    <w:r>
                      <w:tab/>
                    </w:r>
                    <w:r w:rsidRPr="00664A4D">
                      <w:rPr>
                        <w:b/>
                        <w:sz w:val="18"/>
                      </w:rPr>
                      <w:fldChar w:fldCharType="begin"/>
                    </w:r>
                    <w:r w:rsidRPr="00664A4D">
                      <w:rPr>
                        <w:b/>
                        <w:sz w:val="18"/>
                      </w:rPr>
                      <w:instrText xml:space="preserve"> PAGE  \* MERGEFORMAT </w:instrText>
                    </w:r>
                    <w:r w:rsidRPr="00664A4D">
                      <w:rPr>
                        <w:b/>
                        <w:sz w:val="18"/>
                      </w:rPr>
                      <w:fldChar w:fldCharType="separate"/>
                    </w:r>
                    <w:r>
                      <w:rPr>
                        <w:b/>
                        <w:sz w:val="18"/>
                      </w:rPr>
                      <w:t>21</w:t>
                    </w:r>
                    <w:r w:rsidRPr="00664A4D">
                      <w:rPr>
                        <w:b/>
                        <w:sz w:val="18"/>
                      </w:rPr>
                      <w:fldChar w:fldCharType="end"/>
                    </w:r>
                  </w:p>
                  <w:p w14:paraId="3EEB4041" w14:textId="77777777" w:rsidR="00CE20CF" w:rsidRDefault="00CE20C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45EB" w14:textId="48DB5F3F" w:rsidR="000C54B8" w:rsidRPr="00FA2752" w:rsidRDefault="00FA2752" w:rsidP="00FA2752">
    <w:pPr>
      <w:pStyle w:val="Footer"/>
      <w:tabs>
        <w:tab w:val="right" w:pos="9638"/>
      </w:tabs>
      <w:rPr>
        <w:b/>
        <w:sz w:val="18"/>
      </w:rPr>
    </w:pPr>
    <w:r w:rsidRPr="00664A4D">
      <w:rPr>
        <w:b/>
        <w:sz w:val="18"/>
      </w:rPr>
      <w:fldChar w:fldCharType="begin"/>
    </w:r>
    <w:r w:rsidRPr="00664A4D">
      <w:rPr>
        <w:b/>
        <w:sz w:val="18"/>
      </w:rPr>
      <w:instrText xml:space="preserve"> PAGE  \* MERGEFORMAT </w:instrText>
    </w:r>
    <w:r w:rsidRPr="00664A4D">
      <w:rPr>
        <w:b/>
        <w:sz w:val="18"/>
      </w:rPr>
      <w:fldChar w:fldCharType="separate"/>
    </w:r>
    <w:r>
      <w:rPr>
        <w:b/>
        <w:sz w:val="18"/>
      </w:rPr>
      <w:t>24</w:t>
    </w:r>
    <w:r w:rsidRPr="00664A4D">
      <w:rPr>
        <w:b/>
        <w:sz w:val="18"/>
      </w:rPr>
      <w:fldChar w:fldCharType="end"/>
    </w:r>
    <w:r>
      <w:tab/>
      <w:t>GE.22-14602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5490" w14:textId="0EBA3AD7" w:rsidR="00900FAE" w:rsidRPr="00865308" w:rsidRDefault="00900FAE" w:rsidP="00900FAE">
    <w:pPr>
      <w:pStyle w:val="Footer"/>
      <w:tabs>
        <w:tab w:val="right" w:pos="9638"/>
      </w:tabs>
      <w:rPr>
        <w:b/>
        <w:sz w:val="18"/>
      </w:rPr>
    </w:pPr>
    <w:r>
      <w:t>GE.22-14602</w:t>
    </w:r>
    <w:r>
      <w:tab/>
    </w:r>
    <w:r w:rsidRPr="00664A4D">
      <w:rPr>
        <w:b/>
        <w:sz w:val="18"/>
      </w:rPr>
      <w:fldChar w:fldCharType="begin"/>
    </w:r>
    <w:r w:rsidRPr="00664A4D">
      <w:rPr>
        <w:b/>
        <w:sz w:val="18"/>
      </w:rPr>
      <w:instrText xml:space="preserve"> PAGE  \* MERGEFORMAT </w:instrText>
    </w:r>
    <w:r w:rsidRPr="00664A4D">
      <w:rPr>
        <w:b/>
        <w:sz w:val="18"/>
      </w:rPr>
      <w:fldChar w:fldCharType="separate"/>
    </w:r>
    <w:r>
      <w:rPr>
        <w:b/>
        <w:sz w:val="18"/>
      </w:rPr>
      <w:t>17</w:t>
    </w:r>
    <w:r w:rsidRPr="00664A4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B81D" w14:textId="77777777" w:rsidR="004E2995" w:rsidRPr="00AC3823" w:rsidRDefault="004E2995" w:rsidP="00AC3823">
      <w:pPr>
        <w:pStyle w:val="Footer"/>
        <w:tabs>
          <w:tab w:val="right" w:pos="2155"/>
        </w:tabs>
        <w:spacing w:after="80" w:line="240" w:lineRule="atLeast"/>
        <w:ind w:left="680"/>
        <w:rPr>
          <w:u w:val="single"/>
        </w:rPr>
      </w:pPr>
      <w:r>
        <w:rPr>
          <w:u w:val="single"/>
        </w:rPr>
        <w:tab/>
      </w:r>
    </w:p>
  </w:footnote>
  <w:footnote w:type="continuationSeparator" w:id="0">
    <w:p w14:paraId="5001DEC4" w14:textId="77777777" w:rsidR="004E2995" w:rsidRPr="00AC3823" w:rsidRDefault="004E2995" w:rsidP="00AC3823">
      <w:pPr>
        <w:pStyle w:val="Footer"/>
        <w:tabs>
          <w:tab w:val="right" w:pos="2155"/>
        </w:tabs>
        <w:spacing w:after="80" w:line="240" w:lineRule="atLeast"/>
        <w:ind w:left="680"/>
        <w:rPr>
          <w:u w:val="single"/>
        </w:rPr>
      </w:pPr>
      <w:r>
        <w:rPr>
          <w:u w:val="single"/>
        </w:rPr>
        <w:tab/>
      </w:r>
    </w:p>
  </w:footnote>
  <w:footnote w:type="continuationNotice" w:id="1">
    <w:p w14:paraId="1480006B" w14:textId="77777777" w:rsidR="004E2995" w:rsidRPr="00AC3823" w:rsidRDefault="004E2995">
      <w:pPr>
        <w:spacing w:line="240" w:lineRule="auto"/>
        <w:rPr>
          <w:sz w:val="2"/>
          <w:szCs w:val="2"/>
        </w:rPr>
      </w:pPr>
    </w:p>
  </w:footnote>
  <w:footnote w:id="2">
    <w:p w14:paraId="0EA54E87" w14:textId="77777777" w:rsidR="00B178A7" w:rsidRPr="00F84B82" w:rsidRDefault="00B178A7" w:rsidP="00B178A7">
      <w:pPr>
        <w:pStyle w:val="FootnoteText"/>
        <w:rPr>
          <w:lang w:val="fr-FR"/>
        </w:rPr>
      </w:pPr>
      <w:r w:rsidRPr="002800B5">
        <w:rPr>
          <w:rStyle w:val="FootnoteReference"/>
          <w:vertAlign w:val="baseline"/>
          <w:lang w:val="fr-FR"/>
        </w:rPr>
        <w:tab/>
      </w:r>
      <w:r w:rsidRPr="002800B5">
        <w:rPr>
          <w:rStyle w:val="FootnoteReference"/>
          <w:sz w:val="20"/>
          <w:vertAlign w:val="baseline"/>
          <w:lang w:val="fr-FR"/>
        </w:rPr>
        <w:t>*</w:t>
      </w:r>
      <w:r w:rsidRPr="000C0E9C">
        <w:rPr>
          <w:rStyle w:val="FootnoteReference"/>
          <w:sz w:val="20"/>
          <w:vertAlign w:val="baseline"/>
          <w:lang w:val="fr-FR"/>
        </w:rPr>
        <w:tab/>
      </w:r>
      <w:r w:rsidRPr="00F84B82">
        <w:rPr>
          <w:lang w:val="fr-FR"/>
        </w:rPr>
        <w:t>A/75/6 (sect. 20), par. 20.51.</w:t>
      </w:r>
    </w:p>
  </w:footnote>
  <w:footnote w:id="3">
    <w:p w14:paraId="76C24E1B" w14:textId="77777777" w:rsidR="00B178A7" w:rsidRPr="00F84B82" w:rsidRDefault="00B178A7" w:rsidP="00B178A7">
      <w:pPr>
        <w:pStyle w:val="FootnoteText"/>
        <w:rPr>
          <w:lang w:val="fr-FR"/>
        </w:rPr>
      </w:pPr>
      <w:r w:rsidRPr="00F84B82">
        <w:rPr>
          <w:lang w:val="fr-FR"/>
        </w:rPr>
        <w:tab/>
      </w:r>
      <w:r w:rsidRPr="004A79D8">
        <w:rPr>
          <w:rStyle w:val="FootnoteReference"/>
        </w:rPr>
        <w:footnoteRef/>
      </w:r>
      <w:r>
        <w:rPr>
          <w:lang w:val="fr-FR"/>
        </w:rPr>
        <w:tab/>
      </w:r>
      <w:r w:rsidRPr="00F84B82">
        <w:rPr>
          <w:lang w:val="fr-FR"/>
        </w:rPr>
        <w:t>Voir ST/SG/AC.10/C.4/78.</w:t>
      </w:r>
    </w:p>
  </w:footnote>
  <w:footnote w:id="4">
    <w:p w14:paraId="173B6370" w14:textId="2E2B62E4" w:rsidR="00B178A7" w:rsidRDefault="00B178A7" w:rsidP="00B178A7">
      <w:pPr>
        <w:pStyle w:val="FootnoteText"/>
      </w:pPr>
      <w:r w:rsidRPr="00F84B82">
        <w:rPr>
          <w:lang w:val="fr-FR"/>
        </w:rPr>
        <w:tab/>
      </w:r>
      <w:r w:rsidRPr="004A79D8">
        <w:rPr>
          <w:rStyle w:val="FootnoteReference"/>
        </w:rPr>
        <w:footnoteRef/>
      </w:r>
      <w:r>
        <w:rPr>
          <w:lang w:val="fr-FR"/>
        </w:rPr>
        <w:tab/>
      </w:r>
      <w:r w:rsidRPr="00A241BD">
        <w:rPr>
          <w:lang w:val="fr-FR"/>
        </w:rPr>
        <w:t>Il n</w:t>
      </w:r>
      <w:r>
        <w:rPr>
          <w:lang w:val="fr-FR"/>
        </w:rPr>
        <w:t>’</w:t>
      </w:r>
      <w:r w:rsidRPr="00A241BD">
        <w:rPr>
          <w:lang w:val="fr-FR"/>
        </w:rPr>
        <w:t xml:space="preserve">est pas prévu de procéder à une évaluation complète de toutes les orientations existantes ni de </w:t>
      </w:r>
      <w:r>
        <w:rPr>
          <w:lang w:val="fr-FR"/>
        </w:rPr>
        <w:t>prendre en considération</w:t>
      </w:r>
      <w:r w:rsidRPr="00A241BD">
        <w:rPr>
          <w:lang w:val="fr-FR"/>
        </w:rPr>
        <w:t xml:space="preserve"> tou</w:t>
      </w:r>
      <w:r>
        <w:rPr>
          <w:lang w:val="fr-FR"/>
        </w:rPr>
        <w:t>te</w:t>
      </w:r>
      <w:r w:rsidRPr="00A241BD">
        <w:rPr>
          <w:lang w:val="fr-FR"/>
        </w:rPr>
        <w:t>s les nouve</w:t>
      </w:r>
      <w:r>
        <w:rPr>
          <w:lang w:val="fr-FR"/>
        </w:rPr>
        <w:t>lles</w:t>
      </w:r>
      <w:r w:rsidRPr="00A241BD">
        <w:rPr>
          <w:lang w:val="fr-FR"/>
        </w:rPr>
        <w:t xml:space="preserve"> </w:t>
      </w:r>
      <w:r>
        <w:rPr>
          <w:lang w:val="fr-FR"/>
        </w:rPr>
        <w:t>évolutions</w:t>
      </w:r>
      <w:r w:rsidRPr="00A241BD">
        <w:rPr>
          <w:lang w:val="fr-FR"/>
        </w:rPr>
        <w:t xml:space="preserve">. Les </w:t>
      </w:r>
      <w:r>
        <w:rPr>
          <w:lang w:val="fr-FR"/>
        </w:rPr>
        <w:t>activités</w:t>
      </w:r>
      <w:r w:rsidRPr="00A241BD">
        <w:rPr>
          <w:lang w:val="fr-FR"/>
        </w:rPr>
        <w:t xml:space="preserve"> du groupe de travail informel se concentrer</w:t>
      </w:r>
      <w:r>
        <w:rPr>
          <w:lang w:val="fr-FR"/>
        </w:rPr>
        <w:t>ont</w:t>
      </w:r>
      <w:r w:rsidRPr="00A241BD">
        <w:rPr>
          <w:lang w:val="fr-FR"/>
        </w:rPr>
        <w:t xml:space="preserve"> sur les </w:t>
      </w:r>
      <w:r>
        <w:rPr>
          <w:lang w:val="fr-FR"/>
        </w:rPr>
        <w:t>renseignements</w:t>
      </w:r>
      <w:r w:rsidRPr="00A241BD">
        <w:rPr>
          <w:lang w:val="fr-FR"/>
        </w:rPr>
        <w:t xml:space="preserve"> pertinents en rapport avec les éventuels amendements ou ajouts à la classification du SGH.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D312" w14:textId="31F036C9" w:rsidR="00664A4D" w:rsidRPr="00664A4D" w:rsidRDefault="00E54CF0">
    <w:pPr>
      <w:pStyle w:val="Header"/>
    </w:pPr>
    <w:fldSimple w:instr=" TITLE  \* MERGEFORMAT ">
      <w:r w:rsidR="00DF695F">
        <w:t>ST/SG/AC.10/C.4/2022/14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768E" w14:textId="2EEA8BF0" w:rsidR="00664A4D" w:rsidRPr="00664A4D" w:rsidRDefault="00E54CF0" w:rsidP="00664A4D">
    <w:pPr>
      <w:pStyle w:val="Header"/>
      <w:jc w:val="right"/>
    </w:pPr>
    <w:fldSimple w:instr=" TITLE  \* MERGEFORMAT ">
      <w:r w:rsidR="00DF695F">
        <w:t>ST/SG/AC.10/C.4/2022/14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7951" w14:textId="43E11C18" w:rsidR="00CE20CF" w:rsidRPr="00CE20CF" w:rsidRDefault="00CE20CF" w:rsidP="00CE20CF">
    <w:r>
      <w:rPr>
        <w:noProof/>
      </w:rPr>
      <mc:AlternateContent>
        <mc:Choice Requires="wps">
          <w:drawing>
            <wp:anchor distT="0" distB="0" distL="114300" distR="114300" simplePos="0" relativeHeight="251661312" behindDoc="0" locked="0" layoutInCell="1" allowOverlap="1" wp14:anchorId="2DFF9F75" wp14:editId="76D03164">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1F43A36" w14:textId="7BFBF243" w:rsidR="00CE20CF" w:rsidRPr="00664A4D" w:rsidRDefault="00E54CF0" w:rsidP="00CE20CF">
                          <w:pPr>
                            <w:pStyle w:val="Header"/>
                          </w:pPr>
                          <w:fldSimple w:instr=" TITLE  \* MERGEFORMAT ">
                            <w:r w:rsidR="00DF695F">
                              <w:t>ST/SG/AC.10/C.4/2022/14</w:t>
                            </w:r>
                          </w:fldSimple>
                        </w:p>
                        <w:p w14:paraId="57BA62DF" w14:textId="77777777" w:rsidR="00CE20CF" w:rsidRDefault="00CE20C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FF9F75"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21F43A36" w14:textId="7BFBF243" w:rsidR="00CE20CF" w:rsidRPr="00664A4D" w:rsidRDefault="00E54CF0" w:rsidP="00CE20CF">
                    <w:pPr>
                      <w:pStyle w:val="Header"/>
                    </w:pPr>
                    <w:fldSimple w:instr=" TITLE  \* MERGEFORMAT ">
                      <w:r w:rsidR="00DF695F">
                        <w:t>ST/SG/AC.10/C.4/2022/14</w:t>
                      </w:r>
                    </w:fldSimple>
                  </w:p>
                  <w:p w14:paraId="57BA62DF" w14:textId="77777777" w:rsidR="00CE20CF" w:rsidRDefault="00CE20C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A7D4" w14:textId="7EE3D50B" w:rsidR="00CE20CF" w:rsidRPr="00CE20CF" w:rsidRDefault="00CE20CF" w:rsidP="00CE20CF">
    <w:r>
      <w:rPr>
        <w:noProof/>
      </w:rPr>
      <mc:AlternateContent>
        <mc:Choice Requires="wps">
          <w:drawing>
            <wp:anchor distT="0" distB="0" distL="114300" distR="114300" simplePos="0" relativeHeight="251663360" behindDoc="0" locked="0" layoutInCell="1" allowOverlap="1" wp14:anchorId="0570F239" wp14:editId="7B0C932A">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3DE1F46" w14:textId="433B6F7D" w:rsidR="00CE20CF" w:rsidRPr="00664A4D" w:rsidRDefault="00E54CF0" w:rsidP="00CE20CF">
                          <w:pPr>
                            <w:pStyle w:val="Header"/>
                            <w:jc w:val="right"/>
                          </w:pPr>
                          <w:fldSimple w:instr=" TITLE  \* MERGEFORMAT ">
                            <w:r w:rsidR="00DF695F">
                              <w:t>ST/SG/AC.10/C.4/2022/14</w:t>
                            </w:r>
                          </w:fldSimple>
                        </w:p>
                        <w:p w14:paraId="64D9E8B6" w14:textId="77777777" w:rsidR="00CE20CF" w:rsidRDefault="00CE20C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70F239"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53DE1F46" w14:textId="433B6F7D" w:rsidR="00CE20CF" w:rsidRPr="00664A4D" w:rsidRDefault="00E54CF0" w:rsidP="00CE20CF">
                    <w:pPr>
                      <w:pStyle w:val="Header"/>
                      <w:jc w:val="right"/>
                    </w:pPr>
                    <w:fldSimple w:instr=" TITLE  \* MERGEFORMAT ">
                      <w:r w:rsidR="00DF695F">
                        <w:t>ST/SG/AC.10/C.4/2022/14</w:t>
                      </w:r>
                    </w:fldSimple>
                  </w:p>
                  <w:p w14:paraId="64D9E8B6" w14:textId="77777777" w:rsidR="00CE20CF" w:rsidRDefault="00CE20C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0704" w14:textId="69D604EB" w:rsidR="00FA2752" w:rsidRPr="00664A4D" w:rsidRDefault="00E54CF0" w:rsidP="00FA2752">
    <w:pPr>
      <w:pStyle w:val="Header"/>
    </w:pPr>
    <w:fldSimple w:instr=" TITLE  \* MERGEFORMAT ">
      <w:r w:rsidR="00DF695F">
        <w:t>ST/SG/AC.10/C.4/2022/14</w:t>
      </w:r>
    </w:fldSimple>
  </w:p>
  <w:p w14:paraId="007EB751" w14:textId="77777777" w:rsidR="00D6498E" w:rsidRPr="00CE20CF" w:rsidRDefault="00D6498E" w:rsidP="00CE20CF">
    <w:r>
      <w:rPr>
        <w:noProof/>
      </w:rPr>
      <mc:AlternateContent>
        <mc:Choice Requires="wps">
          <w:drawing>
            <wp:anchor distT="0" distB="0" distL="114300" distR="114300" simplePos="0" relativeHeight="251666432" behindDoc="0" locked="0" layoutInCell="1" allowOverlap="1" wp14:anchorId="184B51FB" wp14:editId="1C94BC77">
              <wp:simplePos x="0" y="0"/>
              <wp:positionH relativeFrom="page">
                <wp:posOffset>9935845</wp:posOffset>
              </wp:positionH>
              <wp:positionV relativeFrom="margin">
                <wp:posOffset>0</wp:posOffset>
              </wp:positionV>
              <wp:extent cx="215900" cy="612013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59782FD" w14:textId="21E8C9D0" w:rsidR="00D6498E" w:rsidRPr="00664A4D" w:rsidRDefault="00E54CF0" w:rsidP="00CE20CF">
                          <w:pPr>
                            <w:pStyle w:val="Header"/>
                          </w:pPr>
                          <w:fldSimple w:instr=" TITLE  \* MERGEFORMAT ">
                            <w:r w:rsidR="00DF695F">
                              <w:t>ST/SG/AC.10/C.4/2022/14</w:t>
                            </w:r>
                          </w:fldSimple>
                        </w:p>
                        <w:p w14:paraId="6088F07C" w14:textId="77777777" w:rsidR="00D6498E" w:rsidRDefault="00D649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4B51FB" id="_x0000_t202" coordsize="21600,21600" o:spt="202" path="m,l,21600r21600,l21600,xe">
              <v:stroke joinstyle="miter"/>
              <v:path gradientshapeok="t" o:connecttype="rect"/>
            </v:shapetype>
            <v:shape id="Zone de texte 11" o:spid="_x0000_s1030"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KSeAIAAAYFAAAOAAAAZHJzL2Uyb0RvYy54bWysVMFu2zAMvQ/YPwi6r07atVi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5GgKS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459782FD" w14:textId="21E8C9D0" w:rsidR="00D6498E" w:rsidRPr="00664A4D" w:rsidRDefault="00E54CF0" w:rsidP="00CE20CF">
                    <w:pPr>
                      <w:pStyle w:val="Header"/>
                    </w:pPr>
                    <w:fldSimple w:instr=" TITLE  \* MERGEFORMAT ">
                      <w:r w:rsidR="00DF695F">
                        <w:t>ST/SG/AC.10/C.4/2022/14</w:t>
                      </w:r>
                    </w:fldSimple>
                  </w:p>
                  <w:p w14:paraId="6088F07C" w14:textId="77777777" w:rsidR="00D6498E" w:rsidRDefault="00D6498E"/>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D66D" w14:textId="36869DD7" w:rsidR="00900FAE" w:rsidRPr="00900FAE" w:rsidRDefault="00DF695F" w:rsidP="00900FAE">
    <w:pPr>
      <w:pStyle w:val="Header"/>
      <w:jc w:val="right"/>
    </w:pPr>
    <w:r>
      <w:fldChar w:fldCharType="begin"/>
    </w:r>
    <w:r>
      <w:instrText xml:space="preserve"> TITLE  \* MERGEFORMAT </w:instrText>
    </w:r>
    <w:r>
      <w:fldChar w:fldCharType="separate"/>
    </w:r>
    <w:r>
      <w:t>ST/SG/AC.10/C.4/2022/14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996BCA"/>
    <w:multiLevelType w:val="hybridMultilevel"/>
    <w:tmpl w:val="D5BE7F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0D274494"/>
    <w:multiLevelType w:val="hybridMultilevel"/>
    <w:tmpl w:val="25EAC64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3E7E69"/>
    <w:multiLevelType w:val="hybridMultilevel"/>
    <w:tmpl w:val="0C8498A6"/>
    <w:lvl w:ilvl="0" w:tplc="040C0017">
      <w:start w:val="1"/>
      <w:numFmt w:val="lowerLetter"/>
      <w:lvlText w:val="%1)"/>
      <w:lvlJc w:val="left"/>
      <w:pPr>
        <w:ind w:left="2132" w:hanging="360"/>
      </w:pPr>
    </w:lvl>
    <w:lvl w:ilvl="1" w:tplc="04100019">
      <w:start w:val="1"/>
      <w:numFmt w:val="lowerLetter"/>
      <w:lvlText w:val="%2."/>
      <w:lvlJc w:val="left"/>
      <w:pPr>
        <w:ind w:left="2852" w:hanging="360"/>
      </w:pPr>
    </w:lvl>
    <w:lvl w:ilvl="2" w:tplc="0410001B">
      <w:start w:val="1"/>
      <w:numFmt w:val="lowerRoman"/>
      <w:lvlText w:val="%3."/>
      <w:lvlJc w:val="right"/>
      <w:pPr>
        <w:ind w:left="3572" w:hanging="180"/>
      </w:pPr>
    </w:lvl>
    <w:lvl w:ilvl="3" w:tplc="0410000F">
      <w:start w:val="1"/>
      <w:numFmt w:val="decimal"/>
      <w:lvlText w:val="%4."/>
      <w:lvlJc w:val="left"/>
      <w:pPr>
        <w:ind w:left="4292" w:hanging="360"/>
      </w:pPr>
    </w:lvl>
    <w:lvl w:ilvl="4" w:tplc="04100019">
      <w:start w:val="1"/>
      <w:numFmt w:val="lowerLetter"/>
      <w:lvlText w:val="%5."/>
      <w:lvlJc w:val="left"/>
      <w:pPr>
        <w:ind w:left="5012" w:hanging="360"/>
      </w:pPr>
    </w:lvl>
    <w:lvl w:ilvl="5" w:tplc="0410001B">
      <w:start w:val="1"/>
      <w:numFmt w:val="lowerRoman"/>
      <w:lvlText w:val="%6."/>
      <w:lvlJc w:val="right"/>
      <w:pPr>
        <w:ind w:left="5732" w:hanging="180"/>
      </w:pPr>
    </w:lvl>
    <w:lvl w:ilvl="6" w:tplc="0410000F">
      <w:start w:val="1"/>
      <w:numFmt w:val="decimal"/>
      <w:lvlText w:val="%7."/>
      <w:lvlJc w:val="left"/>
      <w:pPr>
        <w:ind w:left="6452" w:hanging="360"/>
      </w:pPr>
    </w:lvl>
    <w:lvl w:ilvl="7" w:tplc="04100019">
      <w:start w:val="1"/>
      <w:numFmt w:val="lowerLetter"/>
      <w:lvlText w:val="%8."/>
      <w:lvlJc w:val="left"/>
      <w:pPr>
        <w:ind w:left="7172" w:hanging="360"/>
      </w:pPr>
    </w:lvl>
    <w:lvl w:ilvl="8" w:tplc="0410001B">
      <w:start w:val="1"/>
      <w:numFmt w:val="lowerRoman"/>
      <w:lvlText w:val="%9."/>
      <w:lvlJc w:val="right"/>
      <w:pPr>
        <w:ind w:left="7892"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DCB4684"/>
    <w:multiLevelType w:val="hybridMultilevel"/>
    <w:tmpl w:val="8B30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4C17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A5016F"/>
    <w:multiLevelType w:val="hybridMultilevel"/>
    <w:tmpl w:val="807C86BE"/>
    <w:lvl w:ilvl="0" w:tplc="08090001">
      <w:start w:val="1"/>
      <w:numFmt w:val="bullet"/>
      <w:lvlText w:val=""/>
      <w:lvlJc w:val="left"/>
      <w:pPr>
        <w:ind w:left="2475" w:hanging="360"/>
      </w:pPr>
      <w:rPr>
        <w:rFonts w:ascii="Symbol" w:hAnsi="Symbol" w:hint="default"/>
      </w:rPr>
    </w:lvl>
    <w:lvl w:ilvl="1" w:tplc="08090003">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423D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947D66"/>
    <w:multiLevelType w:val="hybridMultilevel"/>
    <w:tmpl w:val="115EAA74"/>
    <w:lvl w:ilvl="0" w:tplc="BA32A3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F892037"/>
    <w:multiLevelType w:val="hybridMultilevel"/>
    <w:tmpl w:val="B57A7A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3D46148"/>
    <w:multiLevelType w:val="hybridMultilevel"/>
    <w:tmpl w:val="163427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60F6BBD"/>
    <w:multiLevelType w:val="hybridMultilevel"/>
    <w:tmpl w:val="2136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8A20FE"/>
    <w:multiLevelType w:val="hybridMultilevel"/>
    <w:tmpl w:val="44DAEA48"/>
    <w:lvl w:ilvl="0" w:tplc="040C0017">
      <w:start w:val="1"/>
      <w:numFmt w:val="lowerLetter"/>
      <w:lvlText w:val="%1)"/>
      <w:lvlJc w:val="left"/>
      <w:pPr>
        <w:ind w:left="2138" w:hanging="360"/>
      </w:pPr>
    </w:lvl>
    <w:lvl w:ilvl="1" w:tplc="08090019">
      <w:start w:val="1"/>
      <w:numFmt w:val="lowerLetter"/>
      <w:lvlText w:val="%2."/>
      <w:lvlJc w:val="left"/>
      <w:pPr>
        <w:ind w:left="2858" w:hanging="360"/>
      </w:pPr>
    </w:lvl>
    <w:lvl w:ilvl="2" w:tplc="0809001B">
      <w:start w:val="1"/>
      <w:numFmt w:val="lowerRoman"/>
      <w:lvlText w:val="%3."/>
      <w:lvlJc w:val="right"/>
      <w:pPr>
        <w:ind w:left="3578" w:hanging="180"/>
      </w:pPr>
    </w:lvl>
    <w:lvl w:ilvl="3" w:tplc="0809000F">
      <w:start w:val="1"/>
      <w:numFmt w:val="decimal"/>
      <w:lvlText w:val="%4."/>
      <w:lvlJc w:val="left"/>
      <w:pPr>
        <w:ind w:left="4298" w:hanging="360"/>
      </w:pPr>
    </w:lvl>
    <w:lvl w:ilvl="4" w:tplc="08090019">
      <w:start w:val="1"/>
      <w:numFmt w:val="lowerLetter"/>
      <w:lvlText w:val="%5."/>
      <w:lvlJc w:val="left"/>
      <w:pPr>
        <w:ind w:left="5018" w:hanging="360"/>
      </w:pPr>
    </w:lvl>
    <w:lvl w:ilvl="5" w:tplc="0809001B">
      <w:start w:val="1"/>
      <w:numFmt w:val="lowerRoman"/>
      <w:lvlText w:val="%6."/>
      <w:lvlJc w:val="right"/>
      <w:pPr>
        <w:ind w:left="5738" w:hanging="180"/>
      </w:pPr>
    </w:lvl>
    <w:lvl w:ilvl="6" w:tplc="0809000F">
      <w:start w:val="1"/>
      <w:numFmt w:val="decimal"/>
      <w:lvlText w:val="%7."/>
      <w:lvlJc w:val="left"/>
      <w:pPr>
        <w:ind w:left="6458" w:hanging="360"/>
      </w:pPr>
    </w:lvl>
    <w:lvl w:ilvl="7" w:tplc="08090019">
      <w:start w:val="1"/>
      <w:numFmt w:val="lowerLetter"/>
      <w:lvlText w:val="%8."/>
      <w:lvlJc w:val="left"/>
      <w:pPr>
        <w:ind w:left="7178" w:hanging="360"/>
      </w:pPr>
    </w:lvl>
    <w:lvl w:ilvl="8" w:tplc="0809001B">
      <w:start w:val="1"/>
      <w:numFmt w:val="lowerRoman"/>
      <w:lvlText w:val="%9."/>
      <w:lvlJc w:val="right"/>
      <w:pPr>
        <w:ind w:left="7898" w:hanging="180"/>
      </w:pPr>
    </w:lvl>
  </w:abstractNum>
  <w:num w:numId="1">
    <w:abstractNumId w:val="28"/>
  </w:num>
  <w:num w:numId="2">
    <w:abstractNumId w:val="19"/>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19"/>
  </w:num>
  <w:num w:numId="16">
    <w:abstractNumId w:val="14"/>
  </w:num>
  <w:num w:numId="17">
    <w:abstractNumId w:val="18"/>
  </w:num>
  <w:num w:numId="18">
    <w:abstractNumId w:val="17"/>
  </w:num>
  <w:num w:numId="19">
    <w:abstractNumId w:val="10"/>
  </w:num>
  <w:num w:numId="20">
    <w:abstractNumId w:val="24"/>
  </w:num>
  <w:num w:numId="21">
    <w:abstractNumId w:val="25"/>
  </w:num>
  <w:num w:numId="22">
    <w:abstractNumId w:val="22"/>
  </w:num>
  <w:num w:numId="23">
    <w:abstractNumId w:val="16"/>
  </w:num>
  <w:num w:numId="24">
    <w:abstractNumId w:val="11"/>
  </w:num>
  <w:num w:numId="25">
    <w:abstractNumId w:val="27"/>
  </w:num>
  <w:num w:numId="26">
    <w:abstractNumId w:val="21"/>
  </w:num>
  <w:num w:numId="27">
    <w:abstractNumId w:val="32"/>
  </w:num>
  <w:num w:numId="28">
    <w:abstractNumId w:val="15"/>
  </w:num>
  <w:num w:numId="29">
    <w:abstractNumId w:val="12"/>
  </w:num>
  <w:num w:numId="30">
    <w:abstractNumId w:val="23"/>
  </w:num>
  <w:num w:numId="31">
    <w:abstractNumId w:val="13"/>
  </w:num>
  <w:num w:numId="32">
    <w:abstractNumId w:val="29"/>
  </w:num>
  <w:num w:numId="33">
    <w:abstractNumId w:val="20"/>
  </w:num>
  <w:num w:numId="34">
    <w:abstractNumId w:val="31"/>
  </w:num>
  <w:num w:numId="35">
    <w:abstractNumId w:val="30"/>
  </w:num>
  <w:num w:numId="36">
    <w:abstractNumId w:val="26"/>
  </w:num>
  <w:num w:numId="37">
    <w:abstractNumId w:val="19"/>
  </w:num>
  <w:num w:numId="38">
    <w:abstractNumId w:val="19"/>
  </w:num>
  <w:num w:numId="39">
    <w:abstractNumId w:val="19"/>
  </w:num>
  <w:num w:numId="40">
    <w:abstractNumId w:val="28"/>
  </w:num>
  <w:num w:numId="41">
    <w:abstractNumId w:val="28"/>
  </w:num>
  <w:num w:numId="42">
    <w:abstractNumId w:val="28"/>
  </w:num>
  <w:num w:numId="43">
    <w:abstractNumId w:val="1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95"/>
    <w:rsid w:val="00013855"/>
    <w:rsid w:val="00016E1D"/>
    <w:rsid w:val="00017F94"/>
    <w:rsid w:val="00023842"/>
    <w:rsid w:val="000305D3"/>
    <w:rsid w:val="000334F9"/>
    <w:rsid w:val="00043803"/>
    <w:rsid w:val="00046812"/>
    <w:rsid w:val="00047E5C"/>
    <w:rsid w:val="00072B6C"/>
    <w:rsid w:val="00076E18"/>
    <w:rsid w:val="0007796D"/>
    <w:rsid w:val="00084398"/>
    <w:rsid w:val="00091705"/>
    <w:rsid w:val="00093205"/>
    <w:rsid w:val="000A15C2"/>
    <w:rsid w:val="000B636C"/>
    <w:rsid w:val="000B7790"/>
    <w:rsid w:val="000C0E9C"/>
    <w:rsid w:val="000C4435"/>
    <w:rsid w:val="000C54B8"/>
    <w:rsid w:val="000E12C1"/>
    <w:rsid w:val="00111F2F"/>
    <w:rsid w:val="001231A3"/>
    <w:rsid w:val="00132B41"/>
    <w:rsid w:val="00132EA9"/>
    <w:rsid w:val="00140956"/>
    <w:rsid w:val="0014365E"/>
    <w:rsid w:val="00172E49"/>
    <w:rsid w:val="00176178"/>
    <w:rsid w:val="00192D6A"/>
    <w:rsid w:val="0019587F"/>
    <w:rsid w:val="00197C82"/>
    <w:rsid w:val="001C66A5"/>
    <w:rsid w:val="001E1F69"/>
    <w:rsid w:val="001F525A"/>
    <w:rsid w:val="00203F9B"/>
    <w:rsid w:val="00207B0E"/>
    <w:rsid w:val="00210BB9"/>
    <w:rsid w:val="00211A90"/>
    <w:rsid w:val="00217C24"/>
    <w:rsid w:val="00223272"/>
    <w:rsid w:val="00230C61"/>
    <w:rsid w:val="0024779E"/>
    <w:rsid w:val="002777C1"/>
    <w:rsid w:val="002800B5"/>
    <w:rsid w:val="00283190"/>
    <w:rsid w:val="002832AC"/>
    <w:rsid w:val="002B2F2B"/>
    <w:rsid w:val="002C6567"/>
    <w:rsid w:val="002D6BBB"/>
    <w:rsid w:val="002D7C93"/>
    <w:rsid w:val="00303703"/>
    <w:rsid w:val="003262AA"/>
    <w:rsid w:val="00345880"/>
    <w:rsid w:val="00345BD9"/>
    <w:rsid w:val="003F20D6"/>
    <w:rsid w:val="00413392"/>
    <w:rsid w:val="00414A82"/>
    <w:rsid w:val="00441C3B"/>
    <w:rsid w:val="00441C95"/>
    <w:rsid w:val="00446583"/>
    <w:rsid w:val="00446FE5"/>
    <w:rsid w:val="00452396"/>
    <w:rsid w:val="00454027"/>
    <w:rsid w:val="00463F3F"/>
    <w:rsid w:val="00485C96"/>
    <w:rsid w:val="004915E5"/>
    <w:rsid w:val="004A234B"/>
    <w:rsid w:val="004D5338"/>
    <w:rsid w:val="004E2995"/>
    <w:rsid w:val="004E468C"/>
    <w:rsid w:val="00505C71"/>
    <w:rsid w:val="00506727"/>
    <w:rsid w:val="00521A81"/>
    <w:rsid w:val="0052773D"/>
    <w:rsid w:val="00545B58"/>
    <w:rsid w:val="005466FB"/>
    <w:rsid w:val="005505B7"/>
    <w:rsid w:val="00573BE5"/>
    <w:rsid w:val="005838E8"/>
    <w:rsid w:val="00584DC4"/>
    <w:rsid w:val="00586ED3"/>
    <w:rsid w:val="00596AA9"/>
    <w:rsid w:val="005D00E6"/>
    <w:rsid w:val="005E1AB8"/>
    <w:rsid w:val="005E452C"/>
    <w:rsid w:val="00610305"/>
    <w:rsid w:val="00621249"/>
    <w:rsid w:val="00656B47"/>
    <w:rsid w:val="00664A4D"/>
    <w:rsid w:val="0068456F"/>
    <w:rsid w:val="00694387"/>
    <w:rsid w:val="006B5A61"/>
    <w:rsid w:val="006C008D"/>
    <w:rsid w:val="006D6926"/>
    <w:rsid w:val="0071601D"/>
    <w:rsid w:val="0072190B"/>
    <w:rsid w:val="00732320"/>
    <w:rsid w:val="00752B14"/>
    <w:rsid w:val="007705B5"/>
    <w:rsid w:val="007A62E6"/>
    <w:rsid w:val="007B787B"/>
    <w:rsid w:val="007C7FEC"/>
    <w:rsid w:val="007D5971"/>
    <w:rsid w:val="007E3707"/>
    <w:rsid w:val="00803710"/>
    <w:rsid w:val="0080684C"/>
    <w:rsid w:val="00812011"/>
    <w:rsid w:val="008123E0"/>
    <w:rsid w:val="00825CDD"/>
    <w:rsid w:val="00831DB9"/>
    <w:rsid w:val="0084689A"/>
    <w:rsid w:val="00865308"/>
    <w:rsid w:val="00871C75"/>
    <w:rsid w:val="00876D61"/>
    <w:rsid w:val="008776DC"/>
    <w:rsid w:val="00885D1D"/>
    <w:rsid w:val="008978B9"/>
    <w:rsid w:val="008B36E6"/>
    <w:rsid w:val="008B40CD"/>
    <w:rsid w:val="008B573D"/>
    <w:rsid w:val="008C54EF"/>
    <w:rsid w:val="008D328F"/>
    <w:rsid w:val="008D3E69"/>
    <w:rsid w:val="008D6E0D"/>
    <w:rsid w:val="008E7111"/>
    <w:rsid w:val="008F2EFB"/>
    <w:rsid w:val="00900FAE"/>
    <w:rsid w:val="009705C8"/>
    <w:rsid w:val="0098240C"/>
    <w:rsid w:val="009854A3"/>
    <w:rsid w:val="009C1CF4"/>
    <w:rsid w:val="009D061F"/>
    <w:rsid w:val="009E3E9C"/>
    <w:rsid w:val="009E4B6D"/>
    <w:rsid w:val="00A06C99"/>
    <w:rsid w:val="00A30353"/>
    <w:rsid w:val="00A62A57"/>
    <w:rsid w:val="00A81281"/>
    <w:rsid w:val="00A93042"/>
    <w:rsid w:val="00A959B4"/>
    <w:rsid w:val="00AB18F7"/>
    <w:rsid w:val="00AC3823"/>
    <w:rsid w:val="00AE323C"/>
    <w:rsid w:val="00B00181"/>
    <w:rsid w:val="00B00B0D"/>
    <w:rsid w:val="00B178A7"/>
    <w:rsid w:val="00B2292C"/>
    <w:rsid w:val="00B31692"/>
    <w:rsid w:val="00B3329D"/>
    <w:rsid w:val="00B34BC1"/>
    <w:rsid w:val="00B35DED"/>
    <w:rsid w:val="00B43439"/>
    <w:rsid w:val="00B7119F"/>
    <w:rsid w:val="00B765F7"/>
    <w:rsid w:val="00B82EF3"/>
    <w:rsid w:val="00B86A0C"/>
    <w:rsid w:val="00B96137"/>
    <w:rsid w:val="00B9642B"/>
    <w:rsid w:val="00BA0CA9"/>
    <w:rsid w:val="00BA7B31"/>
    <w:rsid w:val="00BC3D18"/>
    <w:rsid w:val="00BD3B5F"/>
    <w:rsid w:val="00BE0D12"/>
    <w:rsid w:val="00BE0EDD"/>
    <w:rsid w:val="00BF1D70"/>
    <w:rsid w:val="00BF3175"/>
    <w:rsid w:val="00C02897"/>
    <w:rsid w:val="00C10E82"/>
    <w:rsid w:val="00C16F94"/>
    <w:rsid w:val="00C22727"/>
    <w:rsid w:val="00C34078"/>
    <w:rsid w:val="00C35E18"/>
    <w:rsid w:val="00CC3935"/>
    <w:rsid w:val="00CE20CF"/>
    <w:rsid w:val="00CF1DD4"/>
    <w:rsid w:val="00D12C8F"/>
    <w:rsid w:val="00D3439C"/>
    <w:rsid w:val="00D44EDA"/>
    <w:rsid w:val="00D470CA"/>
    <w:rsid w:val="00D5425D"/>
    <w:rsid w:val="00D54738"/>
    <w:rsid w:val="00D5505A"/>
    <w:rsid w:val="00D57EA8"/>
    <w:rsid w:val="00D6498E"/>
    <w:rsid w:val="00DB1831"/>
    <w:rsid w:val="00DD3BFD"/>
    <w:rsid w:val="00DD3E8F"/>
    <w:rsid w:val="00DD7B82"/>
    <w:rsid w:val="00DE443B"/>
    <w:rsid w:val="00DF6678"/>
    <w:rsid w:val="00DF695F"/>
    <w:rsid w:val="00DF7CF3"/>
    <w:rsid w:val="00E17E52"/>
    <w:rsid w:val="00E31AF4"/>
    <w:rsid w:val="00E401AF"/>
    <w:rsid w:val="00E54CF0"/>
    <w:rsid w:val="00E605AA"/>
    <w:rsid w:val="00E81D4E"/>
    <w:rsid w:val="00E91E82"/>
    <w:rsid w:val="00E940C7"/>
    <w:rsid w:val="00EA4AA5"/>
    <w:rsid w:val="00EB3C9A"/>
    <w:rsid w:val="00EC24B6"/>
    <w:rsid w:val="00EE4117"/>
    <w:rsid w:val="00EE578F"/>
    <w:rsid w:val="00EF2E22"/>
    <w:rsid w:val="00F01738"/>
    <w:rsid w:val="00F27080"/>
    <w:rsid w:val="00F32019"/>
    <w:rsid w:val="00F4525B"/>
    <w:rsid w:val="00F463DE"/>
    <w:rsid w:val="00F64E73"/>
    <w:rsid w:val="00F660DF"/>
    <w:rsid w:val="00F730C8"/>
    <w:rsid w:val="00F877E8"/>
    <w:rsid w:val="00F87F0D"/>
    <w:rsid w:val="00F94CF7"/>
    <w:rsid w:val="00F95C08"/>
    <w:rsid w:val="00FA2752"/>
    <w:rsid w:val="00FA6C01"/>
    <w:rsid w:val="00FE76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8DACCD"/>
  <w15:docId w15:val="{D8394F5F-7D55-4C42-A7F1-6E7942B5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B178A7"/>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B178A7"/>
    <w:rPr>
      <w:rFonts w:ascii="Times New Roman" w:eastAsiaTheme="minorHAnsi" w:hAnsi="Times New Roman" w:cs="Times New Roman"/>
      <w:sz w:val="20"/>
      <w:szCs w:val="20"/>
      <w:lang w:eastAsia="en-US"/>
    </w:rPr>
  </w:style>
  <w:style w:type="character" w:customStyle="1" w:styleId="H1GChar">
    <w:name w:val="_ H_1_G Char"/>
    <w:link w:val="H1G"/>
    <w:rsid w:val="00B178A7"/>
    <w:rPr>
      <w:rFonts w:ascii="Times New Roman" w:eastAsiaTheme="minorHAnsi" w:hAnsi="Times New Roman" w:cs="Times New Roman"/>
      <w:b/>
      <w:sz w:val="24"/>
      <w:szCs w:val="20"/>
      <w:lang w:eastAsia="en-US"/>
    </w:rPr>
  </w:style>
  <w:style w:type="paragraph" w:styleId="NormalWeb">
    <w:name w:val="Normal (Web)"/>
    <w:basedOn w:val="Normal"/>
    <w:uiPriority w:val="99"/>
    <w:semiHidden/>
    <w:unhideWhenUsed/>
    <w:rsid w:val="00B178A7"/>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paragraph" w:customStyle="1" w:styleId="Default">
    <w:name w:val="Default"/>
    <w:uiPriority w:val="99"/>
    <w:rsid w:val="00B178A7"/>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character" w:styleId="CommentReference">
    <w:name w:val="annotation reference"/>
    <w:basedOn w:val="DefaultParagraphFont"/>
    <w:uiPriority w:val="99"/>
    <w:semiHidden/>
    <w:unhideWhenUsed/>
    <w:rsid w:val="00B178A7"/>
    <w:rPr>
      <w:sz w:val="16"/>
      <w:szCs w:val="16"/>
    </w:rPr>
  </w:style>
  <w:style w:type="character" w:styleId="UnresolvedMention">
    <w:name w:val="Unresolved Mention"/>
    <w:basedOn w:val="DefaultParagraphFont"/>
    <w:uiPriority w:val="99"/>
    <w:semiHidden/>
    <w:unhideWhenUsed/>
    <w:rsid w:val="006B5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www.oecd.org/chemicalsafety/risk-assessment/iata-integrated-approaches-to-testing-and-assessment.htm" TargetMode="Externa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file:///\\conf-share1\LS\FRA\COMMON\FINAL\https\doi.org\10.1787\9789264221444-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pubmed.ncbi.nlm.nih.gov/27965148/"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oecd.org/chemicalsafety/risk-assessment/iata-integrated-approaches-to-testing-and-assessment.htm" TargetMode="Externa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footer" Target="footer3.xml"/><Relationship Id="rId22" Type="http://schemas.openxmlformats.org/officeDocument/2006/relationships/hyperlink" Target="https://www.oecd.org/chemicalsafety/testing/series-testingassessment-publications-number.htm" TargetMode="External"/><Relationship Id="rId27"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10433</Words>
  <Characters>59471</Characters>
  <Application>Microsoft Office Word</Application>
  <DocSecurity>0</DocSecurity>
  <Lines>495</Lines>
  <Paragraphs>139</Paragraphs>
  <ScaleCrop>false</ScaleCrop>
  <HeadingPairs>
    <vt:vector size="2" baseType="variant">
      <vt:variant>
        <vt:lpstr>Titre</vt:lpstr>
      </vt:variant>
      <vt:variant>
        <vt:i4>1</vt:i4>
      </vt:variant>
    </vt:vector>
  </HeadingPairs>
  <TitlesOfParts>
    <vt:vector size="1" baseType="lpstr">
      <vt:lpstr>ST/SG/AC.10/C.4/2022/14</vt:lpstr>
    </vt:vector>
  </TitlesOfParts>
  <Company>DCM</Company>
  <LinksUpToDate>false</LinksUpToDate>
  <CharactersWithSpaces>69765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ST/SG/AC.10/C.4/2022/14</dc:title>
  <dc:subject/>
  <dc:creator>Nathalie VITTOZ</dc:creator>
  <cp:keywords/>
  <cp:lastModifiedBy>Laurence Berthet</cp:lastModifiedBy>
  <cp:revision>3</cp:revision>
  <cp:lastPrinted>2022-10-24T15:07:00Z</cp:lastPrinted>
  <dcterms:created xsi:type="dcterms:W3CDTF">2022-10-24T15:07:00Z</dcterms:created>
  <dcterms:modified xsi:type="dcterms:W3CDTF">2022-10-24T15:07:00Z</dcterms:modified>
</cp:coreProperties>
</file>