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07237C" w14:paraId="733BC40E" w14:textId="77777777" w:rsidTr="00FA63B2">
        <w:trPr>
          <w:cantSplit/>
          <w:trHeight w:hRule="exact" w:val="851"/>
        </w:trPr>
        <w:tc>
          <w:tcPr>
            <w:tcW w:w="9072" w:type="dxa"/>
            <w:tcBorders>
              <w:bottom w:val="single" w:sz="4" w:space="0" w:color="auto"/>
            </w:tcBorders>
            <w:vAlign w:val="bottom"/>
          </w:tcPr>
          <w:p w14:paraId="30457239" w14:textId="5CC70260" w:rsidR="00717408" w:rsidRPr="0007237C" w:rsidRDefault="00FA63B2" w:rsidP="00D660CB">
            <w:pPr>
              <w:jc w:val="right"/>
              <w:rPr>
                <w:b/>
                <w:sz w:val="40"/>
                <w:szCs w:val="40"/>
              </w:rPr>
            </w:pPr>
            <w:r w:rsidRPr="0007237C">
              <w:rPr>
                <w:b/>
                <w:sz w:val="40"/>
                <w:szCs w:val="40"/>
              </w:rPr>
              <w:t>UN/SCEGHS/</w:t>
            </w:r>
            <w:r w:rsidR="00260117" w:rsidRPr="0007237C">
              <w:rPr>
                <w:b/>
                <w:sz w:val="40"/>
                <w:szCs w:val="40"/>
              </w:rPr>
              <w:t>4</w:t>
            </w:r>
            <w:r w:rsidR="006775D4">
              <w:rPr>
                <w:b/>
                <w:sz w:val="40"/>
                <w:szCs w:val="40"/>
              </w:rPr>
              <w:t>3</w:t>
            </w:r>
            <w:r w:rsidRPr="0007237C">
              <w:rPr>
                <w:b/>
                <w:sz w:val="40"/>
                <w:szCs w:val="40"/>
              </w:rPr>
              <w:t>/INF.</w:t>
            </w:r>
            <w:r w:rsidR="00044F8B">
              <w:rPr>
                <w:b/>
                <w:sz w:val="40"/>
                <w:szCs w:val="40"/>
              </w:rPr>
              <w:t>7</w:t>
            </w:r>
          </w:p>
        </w:tc>
      </w:tr>
      <w:tr w:rsidR="00717408" w:rsidRPr="0007237C" w14:paraId="50374DD2" w14:textId="77777777" w:rsidTr="00144A37">
        <w:trPr>
          <w:cantSplit/>
          <w:trHeight w:hRule="exact" w:val="3689"/>
        </w:trPr>
        <w:tc>
          <w:tcPr>
            <w:tcW w:w="9072" w:type="dxa"/>
            <w:tcBorders>
              <w:top w:val="single" w:sz="4" w:space="0" w:color="auto"/>
            </w:tcBorders>
          </w:tcPr>
          <w:p w14:paraId="56DD34A3" w14:textId="77777777" w:rsidR="00717408" w:rsidRPr="0007237C" w:rsidRDefault="00717408" w:rsidP="00FA63B2">
            <w:pPr>
              <w:spacing w:before="120"/>
              <w:rPr>
                <w:b/>
                <w:sz w:val="24"/>
                <w:szCs w:val="24"/>
              </w:rPr>
            </w:pPr>
            <w:r w:rsidRPr="0007237C">
              <w:rPr>
                <w:b/>
                <w:sz w:val="24"/>
                <w:szCs w:val="24"/>
              </w:rPr>
              <w:t>Committee of Experts on the Transport of Dangerous Goods</w:t>
            </w:r>
            <w:r w:rsidRPr="0007237C">
              <w:rPr>
                <w:b/>
                <w:sz w:val="24"/>
                <w:szCs w:val="24"/>
              </w:rPr>
              <w:br/>
              <w:t>and on the Globally Harmonized System of Classification</w:t>
            </w:r>
            <w:r w:rsidRPr="0007237C">
              <w:rPr>
                <w:b/>
                <w:sz w:val="24"/>
                <w:szCs w:val="24"/>
              </w:rPr>
              <w:br/>
              <w:t>and Labelling of Chemicals</w:t>
            </w:r>
          </w:p>
          <w:p w14:paraId="7F392C40" w14:textId="052B312D" w:rsidR="00717408" w:rsidRPr="0007237C" w:rsidRDefault="00FA63B2" w:rsidP="00496520">
            <w:pPr>
              <w:tabs>
                <w:tab w:val="left" w:pos="7371"/>
              </w:tabs>
              <w:spacing w:before="120"/>
            </w:pPr>
            <w:r w:rsidRPr="0007237C">
              <w:rPr>
                <w:b/>
                <w:lang w:val="en-US"/>
              </w:rPr>
              <w:t>Sub-Committee of Experts on the Globally Harmonized</w:t>
            </w:r>
            <w:r w:rsidRPr="0007237C">
              <w:rPr>
                <w:b/>
                <w:lang w:val="en-US"/>
              </w:rPr>
              <w:br/>
              <w:t>System of Classification and Labelling of Chemicals</w:t>
            </w:r>
            <w:r w:rsidRPr="0007237C">
              <w:t xml:space="preserve"> </w:t>
            </w:r>
            <w:r w:rsidR="00717408" w:rsidRPr="0007237C">
              <w:tab/>
            </w:r>
            <w:r w:rsidR="00044F8B">
              <w:rPr>
                <w:b/>
                <w:bCs/>
              </w:rPr>
              <w:t>2</w:t>
            </w:r>
            <w:r w:rsidR="00BC25A6">
              <w:rPr>
                <w:b/>
                <w:bCs/>
              </w:rPr>
              <w:t>7</w:t>
            </w:r>
            <w:r w:rsidR="006F280C">
              <w:rPr>
                <w:b/>
                <w:bCs/>
              </w:rPr>
              <w:t xml:space="preserve"> </w:t>
            </w:r>
            <w:r w:rsidR="006775D4">
              <w:rPr>
                <w:b/>
                <w:bCs/>
              </w:rPr>
              <w:t>September</w:t>
            </w:r>
            <w:r w:rsidR="008123B0" w:rsidRPr="0007237C">
              <w:rPr>
                <w:b/>
                <w:bCs/>
              </w:rPr>
              <w:t xml:space="preserve"> </w:t>
            </w:r>
            <w:r w:rsidR="008B5DD0" w:rsidRPr="0007237C">
              <w:rPr>
                <w:b/>
                <w:bCs/>
              </w:rPr>
              <w:t>2022</w:t>
            </w:r>
          </w:p>
          <w:p w14:paraId="6956C3CF" w14:textId="1639FE65" w:rsidR="00333A50" w:rsidRPr="0007237C" w:rsidRDefault="00333A50" w:rsidP="00333A50">
            <w:pPr>
              <w:spacing w:before="120"/>
              <w:rPr>
                <w:b/>
              </w:rPr>
            </w:pPr>
            <w:r w:rsidRPr="0007237C">
              <w:rPr>
                <w:b/>
              </w:rPr>
              <w:t>Forty-</w:t>
            </w:r>
            <w:r w:rsidR="006F280C">
              <w:rPr>
                <w:b/>
              </w:rPr>
              <w:t xml:space="preserve">third </w:t>
            </w:r>
            <w:r w:rsidRPr="0007237C">
              <w:rPr>
                <w:b/>
              </w:rPr>
              <w:t>session</w:t>
            </w:r>
          </w:p>
          <w:p w14:paraId="40A2DCED" w14:textId="28B628B9" w:rsidR="00333A50" w:rsidRPr="0007237C" w:rsidRDefault="00333A50" w:rsidP="003658E0">
            <w:r w:rsidRPr="0007237C">
              <w:t xml:space="preserve">Geneva, </w:t>
            </w:r>
            <w:r w:rsidR="009143FF">
              <w:t>7</w:t>
            </w:r>
            <w:r w:rsidRPr="0007237C">
              <w:t>-</w:t>
            </w:r>
            <w:r w:rsidR="009143FF">
              <w:t>9</w:t>
            </w:r>
            <w:r w:rsidRPr="0007237C">
              <w:t xml:space="preserve"> </w:t>
            </w:r>
            <w:r w:rsidR="006F280C">
              <w:t>December</w:t>
            </w:r>
            <w:r w:rsidRPr="0007237C">
              <w:t xml:space="preserve"> 2022 </w:t>
            </w:r>
          </w:p>
          <w:p w14:paraId="43024C2F" w14:textId="6FE45942" w:rsidR="00333A50" w:rsidRPr="0007237C" w:rsidRDefault="00333A50" w:rsidP="00333A50">
            <w:r w:rsidRPr="0007237C">
              <w:t xml:space="preserve">Item </w:t>
            </w:r>
            <w:r w:rsidR="00CA79A1" w:rsidRPr="0007237C">
              <w:t>2</w:t>
            </w:r>
            <w:r w:rsidR="0024786A" w:rsidRPr="0007237C">
              <w:t xml:space="preserve"> </w:t>
            </w:r>
            <w:r w:rsidRPr="0007237C">
              <w:t>(</w:t>
            </w:r>
            <w:r w:rsidR="00144A37" w:rsidRPr="0007237C">
              <w:t>f</w:t>
            </w:r>
            <w:r w:rsidRPr="0007237C">
              <w:t>) of the provisional agenda</w:t>
            </w:r>
          </w:p>
          <w:p w14:paraId="0A7F2EF9" w14:textId="77777777" w:rsidR="00144A37" w:rsidRPr="00FC13F0" w:rsidRDefault="00144A37" w:rsidP="00333A50">
            <w:pPr>
              <w:spacing w:line="240" w:lineRule="exact"/>
              <w:rPr>
                <w:b/>
                <w:bCs/>
              </w:rPr>
            </w:pPr>
            <w:r w:rsidRPr="00FC13F0">
              <w:rPr>
                <w:b/>
                <w:bCs/>
              </w:rPr>
              <w:t xml:space="preserve">Work on the Globally Harmonized System </w:t>
            </w:r>
          </w:p>
          <w:p w14:paraId="5F11A6D0" w14:textId="77777777" w:rsidR="00144A37" w:rsidRPr="00FC13F0" w:rsidRDefault="00144A37" w:rsidP="00333A50">
            <w:pPr>
              <w:spacing w:line="240" w:lineRule="exact"/>
              <w:rPr>
                <w:b/>
                <w:bCs/>
              </w:rPr>
            </w:pPr>
            <w:r w:rsidRPr="00FC13F0">
              <w:rPr>
                <w:b/>
                <w:bCs/>
              </w:rPr>
              <w:t xml:space="preserve">of Classification and Labelling of Chemicals: </w:t>
            </w:r>
          </w:p>
          <w:p w14:paraId="7F67E7DF" w14:textId="3A231959" w:rsidR="00333A50" w:rsidRPr="0007237C" w:rsidRDefault="00144A37" w:rsidP="00DF0398">
            <w:pPr>
              <w:spacing w:line="240" w:lineRule="exact"/>
              <w:rPr>
                <w:b/>
                <w:bCs/>
              </w:rPr>
            </w:pPr>
            <w:r w:rsidRPr="00FC13F0">
              <w:rPr>
                <w:b/>
                <w:bCs/>
              </w:rPr>
              <w:t xml:space="preserve">Practical classification issues </w:t>
            </w:r>
            <w:r w:rsidR="003378A9" w:rsidRPr="00FC13F0">
              <w:rPr>
                <w:b/>
                <w:bCs/>
              </w:rPr>
              <w:t>(</w:t>
            </w:r>
            <w:r w:rsidRPr="00FC13F0">
              <w:rPr>
                <w:b/>
                <w:bCs/>
              </w:rPr>
              <w:t xml:space="preserve">proposed amendments </w:t>
            </w:r>
            <w:r w:rsidR="003378A9" w:rsidRPr="00FC13F0">
              <w:rPr>
                <w:b/>
                <w:bCs/>
              </w:rPr>
              <w:br/>
            </w:r>
            <w:r w:rsidRPr="00FC13F0">
              <w:rPr>
                <w:b/>
                <w:bCs/>
              </w:rPr>
              <w:t>to the Globally Harmonized System)</w:t>
            </w:r>
          </w:p>
        </w:tc>
      </w:tr>
    </w:tbl>
    <w:p w14:paraId="6635F88E" w14:textId="15B8DA34" w:rsidR="00BA4B76" w:rsidRPr="0007237C" w:rsidRDefault="00BA4B76" w:rsidP="00BA4B76">
      <w:pPr>
        <w:pStyle w:val="HChG"/>
        <w:rPr>
          <w:rFonts w:eastAsia="MS Mincho"/>
        </w:rPr>
      </w:pPr>
      <w:r w:rsidRPr="0007237C">
        <w:tab/>
      </w:r>
      <w:r w:rsidRPr="0007237C">
        <w:tab/>
      </w:r>
      <w:r w:rsidR="00EC6691">
        <w:t>P</w:t>
      </w:r>
      <w:r w:rsidRPr="0007237C">
        <w:t>roposal</w:t>
      </w:r>
      <w:r w:rsidR="00E167D5">
        <w:t>s</w:t>
      </w:r>
      <w:r w:rsidRPr="0007237C">
        <w:t xml:space="preserve"> to address </w:t>
      </w:r>
      <w:r w:rsidRPr="0007237C">
        <w:rPr>
          <w:rFonts w:eastAsia="MS Mincho"/>
        </w:rPr>
        <w:t>issues from the program of work for the practical classification issues correspondence group</w:t>
      </w:r>
    </w:p>
    <w:p w14:paraId="58E47D51" w14:textId="7FED0FEC" w:rsidR="00BA4B76" w:rsidRPr="0007237C" w:rsidRDefault="00BA4B76" w:rsidP="00BA4B76">
      <w:pPr>
        <w:pStyle w:val="H1G"/>
        <w:rPr>
          <w:rFonts w:eastAsia="MS Mincho"/>
        </w:rPr>
      </w:pPr>
      <w:r w:rsidRPr="0007237C">
        <w:rPr>
          <w:rFonts w:eastAsia="MS Mincho"/>
        </w:rPr>
        <w:tab/>
      </w:r>
      <w:r w:rsidRPr="0007237C">
        <w:rPr>
          <w:rFonts w:eastAsia="MS Mincho"/>
        </w:rPr>
        <w:tab/>
        <w:t>Transmitted by the expert from the United States of America on behalf of the practical classification issues informal correspondence group</w:t>
      </w:r>
    </w:p>
    <w:p w14:paraId="6B1B0464" w14:textId="532A59B1" w:rsidR="0024091A" w:rsidRPr="0007237C" w:rsidRDefault="0024091A" w:rsidP="0024091A">
      <w:pPr>
        <w:pStyle w:val="HChG"/>
      </w:pPr>
      <w:bookmarkStart w:id="0" w:name="_Hlk56087534"/>
      <w:r w:rsidRPr="0007237C">
        <w:tab/>
      </w:r>
      <w:r w:rsidRPr="0007237C">
        <w:tab/>
        <w:t>Purpose</w:t>
      </w:r>
    </w:p>
    <w:p w14:paraId="1B88B060" w14:textId="7AA6D6C1" w:rsidR="00AE6AE8" w:rsidRPr="00FC13F0" w:rsidRDefault="00FC13F0" w:rsidP="00FC13F0">
      <w:pPr>
        <w:pStyle w:val="SingleTxtG"/>
      </w:pPr>
      <w:r w:rsidRPr="00FC13F0">
        <w:t>1.</w:t>
      </w:r>
      <w:r w:rsidRPr="00FC13F0">
        <w:tab/>
      </w:r>
      <w:r w:rsidR="00C35D54" w:rsidRPr="00FC13F0">
        <w:t>This informal document serves as a companion document to set out the changes proposed in document ST/SG/AC.10/C.4/2022/</w:t>
      </w:r>
      <w:r w:rsidR="00C50416" w:rsidRPr="00FC13F0">
        <w:t>21</w:t>
      </w:r>
      <w:r w:rsidR="00C35D54" w:rsidRPr="00FC13F0">
        <w:t xml:space="preserve">. The proposed updates are indicated using </w:t>
      </w:r>
      <w:r w:rsidR="00C35D54" w:rsidRPr="00FC13F0">
        <w:rPr>
          <w:strike/>
        </w:rPr>
        <w:t>strikeout</w:t>
      </w:r>
      <w:r w:rsidR="00C35D54" w:rsidRPr="00FC13F0">
        <w:t xml:space="preserve"> and </w:t>
      </w:r>
      <w:r w:rsidR="00C35D54" w:rsidRPr="00FC13F0">
        <w:rPr>
          <w:u w:val="single"/>
        </w:rPr>
        <w:t>underline</w:t>
      </w:r>
      <w:r w:rsidR="00C35D54" w:rsidRPr="00FC13F0">
        <w:t xml:space="preserve"> font.</w:t>
      </w:r>
      <w:r w:rsidR="00920C54" w:rsidRPr="00FC13F0">
        <w:t xml:space="preserve">  </w:t>
      </w:r>
    </w:p>
    <w:p w14:paraId="45DD847B" w14:textId="5FD1CC4D" w:rsidR="00AA1429" w:rsidRDefault="00FC13F0" w:rsidP="00207B8C">
      <w:pPr>
        <w:pStyle w:val="SingleTxtG"/>
      </w:pPr>
      <w:r w:rsidRPr="00FC13F0">
        <w:t>2.</w:t>
      </w:r>
      <w:r w:rsidRPr="00FC13F0">
        <w:tab/>
      </w:r>
      <w:r w:rsidR="00511CF6">
        <w:t xml:space="preserve">Amendments to paragraphs </w:t>
      </w:r>
      <w:r w:rsidR="00E32FFC" w:rsidRPr="00FC13F0">
        <w:t>3.2.2.8.1, 3.3.2.10.1 and 3.3.5.3.4.2</w:t>
      </w:r>
      <w:r w:rsidR="007441A2">
        <w:t xml:space="preserve"> in </w:t>
      </w:r>
      <w:r w:rsidR="007441A2" w:rsidRPr="00FC13F0">
        <w:t>ST/SG/AC.10/C.4/2022/21</w:t>
      </w:r>
      <w:r w:rsidR="00E32FFC">
        <w:t xml:space="preserve"> refer to the texts </w:t>
      </w:r>
      <w:r w:rsidR="00341040">
        <w:t xml:space="preserve">consolidated in ST/SG/AC.10/C.4/2022/13, </w:t>
      </w:r>
      <w:r w:rsidR="00E32FFC">
        <w:t xml:space="preserve">as provisionally adopted by the Sub-Committee at its </w:t>
      </w:r>
      <w:r w:rsidR="00665EC6">
        <w:t>fortieth session (see ST/SG/AC.10/</w:t>
      </w:r>
      <w:r w:rsidR="00B50D68">
        <w:t>C.4/80</w:t>
      </w:r>
      <w:r w:rsidR="00207B8C">
        <w:t>).</w:t>
      </w:r>
    </w:p>
    <w:p w14:paraId="7E798929" w14:textId="3FE4C75B" w:rsidR="00E2727C" w:rsidRPr="00FC13F0" w:rsidRDefault="00207B8C" w:rsidP="00BC25A6">
      <w:pPr>
        <w:pStyle w:val="SingleTxtG"/>
      </w:pPr>
      <w:r>
        <w:t>3.</w:t>
      </w:r>
      <w:r>
        <w:tab/>
      </w:r>
      <w:r w:rsidR="00920C54" w:rsidRPr="00FC13F0">
        <w:t xml:space="preserve"> </w:t>
      </w:r>
      <w:r w:rsidR="007D36D2">
        <w:t>T</w:t>
      </w:r>
      <w:r>
        <w:t xml:space="preserve">he </w:t>
      </w:r>
      <w:r w:rsidR="00C20533">
        <w:t xml:space="preserve">Sub-Committee is invited to </w:t>
      </w:r>
      <w:r w:rsidR="00AE613A">
        <w:t xml:space="preserve">note that </w:t>
      </w:r>
      <w:r w:rsidR="00152B49">
        <w:t xml:space="preserve">in </w:t>
      </w:r>
      <w:r w:rsidR="00AE613A">
        <w:t xml:space="preserve">paragraph </w:t>
      </w:r>
      <w:r w:rsidR="00C20533">
        <w:t xml:space="preserve">15 (b) in document </w:t>
      </w:r>
      <w:r w:rsidR="00E2727C" w:rsidRPr="00FC13F0">
        <w:t>ST/SG/AC.10/C.4/2022/21</w:t>
      </w:r>
      <w:r w:rsidR="00AE613A">
        <w:t xml:space="preserve">, </w:t>
      </w:r>
      <w:r w:rsidR="00152B49">
        <w:t>“</w:t>
      </w:r>
      <w:r w:rsidR="0033267B" w:rsidRPr="00FC13F0">
        <w:t>3.1.3.5.6”</w:t>
      </w:r>
      <w:r w:rsidR="00152B49">
        <w:t xml:space="preserve"> should </w:t>
      </w:r>
      <w:r w:rsidR="00DC45AC">
        <w:t xml:space="preserve">read </w:t>
      </w:r>
      <w:r w:rsidR="0033267B" w:rsidRPr="00FC13F0">
        <w:t xml:space="preserve">“3.1.3.5.7” </w:t>
      </w:r>
      <w:r w:rsidR="00DC45AC">
        <w:t>(</w:t>
      </w:r>
      <w:r w:rsidR="0033267B" w:rsidRPr="00FC13F0">
        <w:t>three times</w:t>
      </w:r>
      <w:r w:rsidR="00DC45AC">
        <w:t>)</w:t>
      </w:r>
      <w:r w:rsidR="0033267B" w:rsidRPr="00FC13F0">
        <w:t>.</w:t>
      </w:r>
      <w:r w:rsidR="00DC45AC">
        <w:t xml:space="preserve"> This correction has been </w:t>
      </w:r>
      <w:proofErr w:type="gramStart"/>
      <w:r w:rsidR="00DC45AC">
        <w:t>taken into account</w:t>
      </w:r>
      <w:proofErr w:type="gramEnd"/>
      <w:r w:rsidR="00DC45AC">
        <w:t xml:space="preserve"> in this </w:t>
      </w:r>
      <w:r w:rsidR="007441A2">
        <w:t>document.</w:t>
      </w:r>
    </w:p>
    <w:p w14:paraId="30FE316D" w14:textId="6D3331EE" w:rsidR="00BD787A" w:rsidRPr="0007237C" w:rsidRDefault="00BD787A" w:rsidP="00E167D5">
      <w:pPr>
        <w:pStyle w:val="SingleTxtG"/>
        <w:ind w:left="1494"/>
      </w:pPr>
    </w:p>
    <w:p w14:paraId="3D9B487C" w14:textId="5B404BF1" w:rsidR="004C2F12" w:rsidRDefault="005B2428" w:rsidP="005B2428">
      <w:pPr>
        <w:pStyle w:val="HChG"/>
      </w:pPr>
      <w:r w:rsidRPr="0007237C">
        <w:tab/>
      </w:r>
      <w:r w:rsidRPr="0007237C">
        <w:tab/>
      </w:r>
    </w:p>
    <w:p w14:paraId="2F6CAA94" w14:textId="4BDB7B1F" w:rsidR="00364666" w:rsidRDefault="004C2F12" w:rsidP="00364666">
      <w:pPr>
        <w:pStyle w:val="SingleTxtG"/>
        <w:tabs>
          <w:tab w:val="left" w:pos="1701"/>
        </w:tabs>
        <w:spacing w:after="240" w:line="240" w:lineRule="auto"/>
        <w:ind w:right="521"/>
      </w:pPr>
      <w:r>
        <w:br w:type="page"/>
      </w:r>
    </w:p>
    <w:p w14:paraId="7643C61B" w14:textId="3A9CFCBF" w:rsidR="00E80599" w:rsidRPr="000516D7" w:rsidRDefault="0024091A" w:rsidP="000516D7">
      <w:pPr>
        <w:pStyle w:val="HChG"/>
      </w:pPr>
      <w:r w:rsidRPr="000516D7">
        <w:lastRenderedPageBreak/>
        <w:t xml:space="preserve">Annex  </w:t>
      </w:r>
    </w:p>
    <w:p w14:paraId="5E369F03" w14:textId="5CBF9025" w:rsidR="00CC5877" w:rsidRPr="00E772B2" w:rsidRDefault="00CC5877" w:rsidP="000516D7">
      <w:pPr>
        <w:pStyle w:val="HChG"/>
      </w:pPr>
      <w:r w:rsidRPr="00E772B2">
        <w:t>Proposed amendments to address Item 1</w:t>
      </w:r>
    </w:p>
    <w:p w14:paraId="6141FC59" w14:textId="21E2C8F8" w:rsidR="00046E3E" w:rsidRPr="000516D7" w:rsidRDefault="00046E3E" w:rsidP="000516D7">
      <w:pPr>
        <w:pStyle w:val="SingleTxtG"/>
      </w:pPr>
      <w:r w:rsidRPr="000516D7">
        <w:t>For consistency, the group reviewed the different terms Weight of Evidence (</w:t>
      </w:r>
      <w:proofErr w:type="spellStart"/>
      <w:r w:rsidRPr="000516D7">
        <w:t>WoE</w:t>
      </w:r>
      <w:proofErr w:type="spellEnd"/>
      <w:r w:rsidRPr="000516D7">
        <w:t xml:space="preserve">) approach/determination/evaluation/analysis throughout the GHS, and where appropriate, revised the text to </w:t>
      </w:r>
      <w:proofErr w:type="spellStart"/>
      <w:r w:rsidRPr="000516D7">
        <w:t>WoE</w:t>
      </w:r>
      <w:proofErr w:type="spellEnd"/>
      <w:r w:rsidRPr="000516D7">
        <w:t xml:space="preserve"> “assessment”.  As part of the review, it was agreed that in some cases it was more appropriate to retain the term </w:t>
      </w:r>
      <w:proofErr w:type="spellStart"/>
      <w:r w:rsidRPr="000516D7">
        <w:t>WoE</w:t>
      </w:r>
      <w:proofErr w:type="spellEnd"/>
      <w:r w:rsidRPr="000516D7">
        <w:t xml:space="preserve"> “approach” and as such, these cases are not included in the proposals below. </w:t>
      </w:r>
    </w:p>
    <w:p w14:paraId="2BEF061D" w14:textId="2CFF34B1" w:rsidR="0024091A" w:rsidRPr="0007237C" w:rsidRDefault="0024091A" w:rsidP="00137EE2">
      <w:pPr>
        <w:pStyle w:val="H1G"/>
        <w:rPr>
          <w:color w:val="000000"/>
        </w:rPr>
      </w:pPr>
      <w:r w:rsidRPr="0007237C">
        <w:t>Chapter 1.3</w:t>
      </w:r>
      <w:r w:rsidR="00FF1C02" w:rsidRPr="0007237C">
        <w:tab/>
      </w:r>
      <w:r w:rsidR="00762E1B" w:rsidRPr="0007237C">
        <w:tab/>
      </w:r>
    </w:p>
    <w:p w14:paraId="53F30A75" w14:textId="263BF3F8" w:rsidR="00A43F19" w:rsidRPr="0007237C" w:rsidRDefault="00762E1B" w:rsidP="00762E1B">
      <w:pPr>
        <w:pStyle w:val="SingleTxtG"/>
        <w:tabs>
          <w:tab w:val="left" w:pos="1134"/>
        </w:tabs>
        <w:ind w:left="0"/>
      </w:pPr>
      <w:r w:rsidRPr="0007237C">
        <w:t>1.3.2.4.8</w:t>
      </w:r>
      <w:r w:rsidRPr="0007237C">
        <w:tab/>
      </w:r>
      <w:r w:rsidR="00A43F19" w:rsidRPr="0007237C">
        <w:t xml:space="preserve">Amend as shown: </w:t>
      </w:r>
    </w:p>
    <w:p w14:paraId="0BCA446E" w14:textId="2DE50F95" w:rsidR="0024091A" w:rsidRPr="0007237C" w:rsidRDefault="00A43F19" w:rsidP="00762E1B">
      <w:pPr>
        <w:pStyle w:val="SingleTxtG"/>
        <w:tabs>
          <w:tab w:val="left" w:pos="1134"/>
        </w:tabs>
        <w:ind w:left="0"/>
        <w:rPr>
          <w:b/>
          <w:bCs/>
        </w:rPr>
      </w:pPr>
      <w:r w:rsidRPr="0007237C">
        <w:tab/>
      </w:r>
      <w:r w:rsidR="00762E1B" w:rsidRPr="0007237C">
        <w:t>“</w:t>
      </w:r>
      <w:r w:rsidR="0024091A" w:rsidRPr="0007237C">
        <w:t>1.3.2.4.8</w:t>
      </w:r>
      <w:r w:rsidR="0024091A" w:rsidRPr="0007237C">
        <w:tab/>
        <w:t>Expert judgement</w:t>
      </w:r>
    </w:p>
    <w:p w14:paraId="69AFE4C8" w14:textId="60059C73" w:rsidR="0024091A" w:rsidRPr="0007237C" w:rsidRDefault="00762E1B" w:rsidP="00762E1B">
      <w:pPr>
        <w:pStyle w:val="SingleTxtG"/>
        <w:tabs>
          <w:tab w:val="left" w:pos="2268"/>
        </w:tabs>
        <w:ind w:firstLine="306"/>
        <w:rPr>
          <w:snapToGrid w:val="0"/>
        </w:rPr>
      </w:pPr>
      <w:r w:rsidRPr="0007237C">
        <w:rPr>
          <w:snapToGrid w:val="0"/>
        </w:rPr>
        <w:tab/>
      </w:r>
      <w:r w:rsidR="0024091A" w:rsidRPr="0007237C">
        <w:rPr>
          <w:snapToGrid w:val="0"/>
        </w:rPr>
        <w:t xml:space="preserve">The approach to classifying mixtures includes the application of expert judgement in </w:t>
      </w:r>
      <w:proofErr w:type="gramStart"/>
      <w:r w:rsidR="0024091A" w:rsidRPr="0007237C">
        <w:rPr>
          <w:snapToGrid w:val="0"/>
        </w:rPr>
        <w:t>a number of</w:t>
      </w:r>
      <w:proofErr w:type="gramEnd"/>
      <w:r w:rsidR="0024091A" w:rsidRPr="0007237C">
        <w:rPr>
          <w:snapToGrid w:val="0"/>
        </w:rPr>
        <w:t xml:space="preserve"> areas in order to ensure existing information can be used for as many mixtures as possible to provide protection for human health and the environment. Expert judgement may also be required in interpreting data for hazard classification of substances, especially where weight of evidence </w:t>
      </w:r>
      <w:r w:rsidR="0024091A" w:rsidRPr="0007237C">
        <w:rPr>
          <w:strike/>
          <w:snapToGrid w:val="0"/>
        </w:rPr>
        <w:t xml:space="preserve">determinations </w:t>
      </w:r>
      <w:r w:rsidR="0024091A" w:rsidRPr="0007237C">
        <w:rPr>
          <w:snapToGrid w:val="0"/>
          <w:u w:val="single"/>
        </w:rPr>
        <w:t>assessments</w:t>
      </w:r>
      <w:r w:rsidR="0024091A" w:rsidRPr="0007237C">
        <w:rPr>
          <w:snapToGrid w:val="0"/>
        </w:rPr>
        <w:t xml:space="preserve"> </w:t>
      </w:r>
      <w:proofErr w:type="gramStart"/>
      <w:r w:rsidR="0024091A" w:rsidRPr="0007237C">
        <w:rPr>
          <w:snapToGrid w:val="0"/>
        </w:rPr>
        <w:t>are</w:t>
      </w:r>
      <w:proofErr w:type="gramEnd"/>
      <w:r w:rsidR="0024091A" w:rsidRPr="0007237C">
        <w:rPr>
          <w:snapToGrid w:val="0"/>
        </w:rPr>
        <w:t xml:space="preserve"> needed.</w:t>
      </w:r>
      <w:r w:rsidRPr="0007237C">
        <w:rPr>
          <w:snapToGrid w:val="0"/>
        </w:rPr>
        <w:t>”</w:t>
      </w:r>
    </w:p>
    <w:p w14:paraId="05C3F992" w14:textId="650B4516" w:rsidR="00A43F19" w:rsidRPr="0007237C" w:rsidRDefault="00762E1B" w:rsidP="00A43F19">
      <w:pPr>
        <w:pStyle w:val="SingleTxtG"/>
        <w:tabs>
          <w:tab w:val="left" w:pos="1134"/>
        </w:tabs>
        <w:ind w:hanging="1134"/>
      </w:pPr>
      <w:r w:rsidRPr="0007237C">
        <w:t>1.3.</w:t>
      </w:r>
      <w:r w:rsidR="00A43F19" w:rsidRPr="0007237C">
        <w:t>2.4.9.2</w:t>
      </w:r>
      <w:r w:rsidR="00A43F19" w:rsidRPr="0007237C">
        <w:tab/>
        <w:t xml:space="preserve">Amend as shown: </w:t>
      </w:r>
    </w:p>
    <w:p w14:paraId="1BE8CF09" w14:textId="07B93524" w:rsidR="0024091A" w:rsidRPr="0007237C" w:rsidRDefault="001A35E0" w:rsidP="00A43F19">
      <w:pPr>
        <w:pStyle w:val="SingleTxtG"/>
        <w:tabs>
          <w:tab w:val="left" w:pos="1134"/>
        </w:tabs>
        <w:ind w:hanging="1134"/>
      </w:pPr>
      <w:r w:rsidRPr="0007237C">
        <w:tab/>
      </w:r>
      <w:r w:rsidR="00A43F19" w:rsidRPr="0007237C">
        <w:t>“</w:t>
      </w:r>
      <w:r w:rsidR="0024091A" w:rsidRPr="0007237C">
        <w:t>1.3.2.4.9.2</w:t>
      </w:r>
      <w:r w:rsidR="0024091A" w:rsidRPr="0007237C">
        <w:tab/>
        <w:t xml:space="preserve">The quality and consistency of the data are important. Evaluation of substances or mixtures related to the material being classified should be included, as should site of action and mechanism or mode of action study results. Both positive and negative results are </w:t>
      </w:r>
      <w:proofErr w:type="gramStart"/>
      <w:r w:rsidR="0024091A" w:rsidRPr="0007237C">
        <w:t>assembled together</w:t>
      </w:r>
      <w:proofErr w:type="gramEnd"/>
      <w:r w:rsidR="0024091A" w:rsidRPr="0007237C">
        <w:t xml:space="preserve"> in a single weight of evidence </w:t>
      </w:r>
      <w:r w:rsidR="0024091A" w:rsidRPr="0007237C">
        <w:rPr>
          <w:strike/>
        </w:rPr>
        <w:t xml:space="preserve">determination </w:t>
      </w:r>
      <w:r w:rsidR="0024091A" w:rsidRPr="0007237C">
        <w:rPr>
          <w:u w:val="single"/>
        </w:rPr>
        <w:t>assessment</w:t>
      </w:r>
      <w:r w:rsidR="0024091A" w:rsidRPr="0007237C">
        <w:t>.</w:t>
      </w:r>
      <w:r w:rsidR="00A43F19" w:rsidRPr="0007237C">
        <w:t>”</w:t>
      </w:r>
    </w:p>
    <w:p w14:paraId="6BBE214D" w14:textId="7C664E95" w:rsidR="001A35E0" w:rsidRPr="0007237C" w:rsidRDefault="001A35E0" w:rsidP="001A35E0">
      <w:pPr>
        <w:pStyle w:val="SingleTxtG"/>
        <w:tabs>
          <w:tab w:val="left" w:pos="1134"/>
        </w:tabs>
        <w:ind w:hanging="1134"/>
      </w:pPr>
      <w:r w:rsidRPr="0007237C">
        <w:t xml:space="preserve">1.3.2.4.9.5 </w:t>
      </w:r>
      <w:r w:rsidRPr="0007237C">
        <w:tab/>
        <w:t xml:space="preserve">Amend as shown: </w:t>
      </w:r>
    </w:p>
    <w:p w14:paraId="4D5B41D8" w14:textId="4A169353" w:rsidR="0024091A" w:rsidRPr="0007237C" w:rsidRDefault="003949B7" w:rsidP="003949B7">
      <w:pPr>
        <w:pStyle w:val="SingleTxtG"/>
      </w:pPr>
      <w:r w:rsidRPr="0007237C">
        <w:t>“</w:t>
      </w:r>
      <w:r w:rsidR="0024091A" w:rsidRPr="0007237C">
        <w:t>1.3.2.4.9.5</w:t>
      </w:r>
      <w:r w:rsidR="0024091A" w:rsidRPr="0007237C">
        <w:tab/>
        <w:t xml:space="preserve">Both positive and negative results are </w:t>
      </w:r>
      <w:proofErr w:type="gramStart"/>
      <w:r w:rsidR="0024091A" w:rsidRPr="0007237C">
        <w:t>assembled together</w:t>
      </w:r>
      <w:proofErr w:type="gramEnd"/>
      <w:r w:rsidR="0024091A" w:rsidRPr="0007237C">
        <w:t xml:space="preserve"> in the weight of evidence </w:t>
      </w:r>
      <w:r w:rsidR="0024091A" w:rsidRPr="0007237C">
        <w:rPr>
          <w:strike/>
        </w:rPr>
        <w:t xml:space="preserve">determination </w:t>
      </w:r>
      <w:r w:rsidR="0024091A" w:rsidRPr="0007237C">
        <w:rPr>
          <w:u w:val="single"/>
        </w:rPr>
        <w:t>assessment</w:t>
      </w:r>
      <w:r w:rsidR="0024091A" w:rsidRPr="0007237C">
        <w:t>. However, a single positive study performed according to good scientific principles and with statistically and biologically significant positive results may justify classification.</w:t>
      </w:r>
      <w:r w:rsidRPr="0007237C">
        <w:t>”</w:t>
      </w:r>
    </w:p>
    <w:p w14:paraId="40F9D070" w14:textId="77777777" w:rsidR="0024091A" w:rsidRPr="0007237C" w:rsidRDefault="0024091A" w:rsidP="00137EE2">
      <w:pPr>
        <w:pStyle w:val="H1G"/>
      </w:pPr>
      <w:r w:rsidRPr="0007237C">
        <w:t>Chapter 3.1</w:t>
      </w:r>
    </w:p>
    <w:p w14:paraId="26668699" w14:textId="4BA25F58" w:rsidR="005F2949" w:rsidRPr="0007237C" w:rsidRDefault="005F2949" w:rsidP="005F2949">
      <w:pPr>
        <w:tabs>
          <w:tab w:val="left" w:pos="1134"/>
        </w:tabs>
        <w:spacing w:after="240"/>
      </w:pPr>
      <w:r w:rsidRPr="0007237C">
        <w:t>3.1.2.3</w:t>
      </w:r>
      <w:r w:rsidRPr="0007237C">
        <w:tab/>
        <w:t>Amend as shown:</w:t>
      </w:r>
    </w:p>
    <w:p w14:paraId="4ABE31C7" w14:textId="66665800" w:rsidR="0024091A" w:rsidRPr="0007237C" w:rsidRDefault="005F2949" w:rsidP="005F2949">
      <w:pPr>
        <w:pStyle w:val="SingleTxtG"/>
        <w:rPr>
          <w:sz w:val="24"/>
          <w:szCs w:val="24"/>
        </w:rPr>
      </w:pPr>
      <w:r w:rsidRPr="0007237C">
        <w:t>“</w:t>
      </w:r>
      <w:r w:rsidR="0024091A" w:rsidRPr="0007237C">
        <w:t>3.1.2.3</w:t>
      </w:r>
      <w:r w:rsidR="0024091A" w:rsidRPr="0007237C">
        <w:tab/>
        <w:t>The preferred test species for evaluation of acute toxicity by the oral and inhalation routes is the rat, while the rat or rabbit are preferred for evaluation of acute dermal toxicity. Test data already generated for the classification of chemicals under existing systems should be accepted when reclassifying these chemicals under the harmonized system. When experimental data for acute toxicity are available in several animal species, scientific judgement should be used in selecting the most appropriate LD</w:t>
      </w:r>
      <w:r w:rsidR="0024091A" w:rsidRPr="0007237C">
        <w:rPr>
          <w:vertAlign w:val="subscript"/>
        </w:rPr>
        <w:t xml:space="preserve">50 </w:t>
      </w:r>
      <w:r w:rsidR="0024091A" w:rsidRPr="0007237C">
        <w:t>value from among valid, well-performed tests. In cases where data from human experience (</w:t>
      </w:r>
      <w:proofErr w:type="gramStart"/>
      <w:r w:rsidR="0024091A" w:rsidRPr="0007237C">
        <w:t>i.e.</w:t>
      </w:r>
      <w:proofErr w:type="gramEnd"/>
      <w:r w:rsidR="0024091A" w:rsidRPr="0007237C">
        <w:t xml:space="preserve"> occupational data, data from accident databases, epidemiology studies, clinical reports) are also available, they should be considered in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consistent with the principles described in 1.3.2.4.9.</w:t>
      </w:r>
      <w:r w:rsidRPr="0007237C">
        <w:t>”</w:t>
      </w:r>
    </w:p>
    <w:p w14:paraId="7D887801" w14:textId="77777777" w:rsidR="0024091A" w:rsidRPr="0007237C" w:rsidRDefault="0024091A" w:rsidP="00583360">
      <w:pPr>
        <w:pStyle w:val="H1G"/>
        <w:keepNext w:val="0"/>
        <w:keepLines w:val="0"/>
      </w:pPr>
      <w:r w:rsidRPr="0007237C">
        <w:t>Chapter 3.2</w:t>
      </w:r>
    </w:p>
    <w:p w14:paraId="5391FFF6" w14:textId="64B454AB" w:rsidR="00B77F0A" w:rsidRPr="0007237C" w:rsidRDefault="00B77F0A" w:rsidP="00583360">
      <w:pPr>
        <w:spacing w:after="240"/>
        <w:rPr>
          <w:rStyle w:val="SingleTxtGCar"/>
        </w:rPr>
      </w:pPr>
      <w:r w:rsidRPr="0007237C">
        <w:rPr>
          <w:rStyle w:val="SingleTxtGCar"/>
        </w:rPr>
        <w:t>3.2.5.3.5.2.6</w:t>
      </w:r>
      <w:r w:rsidRPr="0007237C">
        <w:rPr>
          <w:rStyle w:val="SingleTxtGCar"/>
        </w:rPr>
        <w:tab/>
        <w:t>Amend as shown:</w:t>
      </w:r>
    </w:p>
    <w:p w14:paraId="7770C0F6" w14:textId="00CD0052" w:rsidR="0024091A" w:rsidRPr="0007237C" w:rsidRDefault="00B77F0A" w:rsidP="00583360">
      <w:pPr>
        <w:pStyle w:val="SingleTxtG"/>
        <w:rPr>
          <w:sz w:val="24"/>
          <w:szCs w:val="24"/>
        </w:rPr>
      </w:pPr>
      <w:r w:rsidRPr="0007237C">
        <w:rPr>
          <w:rStyle w:val="SingleTxtGCar"/>
        </w:rPr>
        <w:t>“</w:t>
      </w:r>
      <w:r w:rsidR="0024091A" w:rsidRPr="0007237C">
        <w:rPr>
          <w:rStyle w:val="SingleTxtGCar"/>
        </w:rPr>
        <w:t>3.2.5.3.5.2.6</w:t>
      </w:r>
      <w:r w:rsidR="0024091A" w:rsidRPr="0007237C">
        <w:rPr>
          <w:rStyle w:val="SingleTxtGCar"/>
        </w:rPr>
        <w:tab/>
        <w:t>In skin absorption studies (</w:t>
      </w:r>
      <w:proofErr w:type="gramStart"/>
      <w:r w:rsidR="0024091A" w:rsidRPr="0007237C">
        <w:rPr>
          <w:rStyle w:val="SingleTxtGCar"/>
        </w:rPr>
        <w:t>e.g.</w:t>
      </w:r>
      <w:proofErr w:type="gramEnd"/>
      <w:r w:rsidR="0024091A" w:rsidRPr="0007237C">
        <w:rPr>
          <w:rStyle w:val="SingleTxtGCar"/>
        </w:rPr>
        <w:t xml:space="preserve"> OECD Test Guideline 427), corrosive exposure conditions are generally avoided as this affects the absorption. Therefore, information on skin effects from these studies does not allow classification directly but may be considered within a weight of evidence </w:t>
      </w:r>
      <w:r w:rsidR="0024091A" w:rsidRPr="0007237C">
        <w:rPr>
          <w:rStyle w:val="SingleTxtGCar"/>
          <w:strike/>
        </w:rPr>
        <w:t>approach</w:t>
      </w:r>
      <w:r w:rsidR="0024091A" w:rsidRPr="0007237C">
        <w:rPr>
          <w:rStyle w:val="SingleTxtGCar"/>
        </w:rPr>
        <w:t xml:space="preserve"> </w:t>
      </w:r>
      <w:r w:rsidR="0024091A" w:rsidRPr="0007237C">
        <w:rPr>
          <w:u w:val="single"/>
        </w:rPr>
        <w:t>assessment</w:t>
      </w:r>
      <w:r w:rsidR="0024091A" w:rsidRPr="0007237C">
        <w:rPr>
          <w:rStyle w:val="SingleTxtGCar"/>
        </w:rPr>
        <w:t xml:space="preserve">. However, information on the dermal absorption may be </w:t>
      </w:r>
      <w:proofErr w:type="gramStart"/>
      <w:r w:rsidR="0024091A" w:rsidRPr="0007237C">
        <w:rPr>
          <w:rStyle w:val="SingleTxtGCar"/>
        </w:rPr>
        <w:t>taken into account</w:t>
      </w:r>
      <w:proofErr w:type="gramEnd"/>
      <w:r w:rsidR="0024091A" w:rsidRPr="0007237C">
        <w:rPr>
          <w:rStyle w:val="SingleTxtGCar"/>
        </w:rPr>
        <w:t xml:space="preserve"> in a weight-of-evidence assessment as a high dermal absorption in combination with additional evidence for high cytotoxicity may indicate irritation or corrosivity.</w:t>
      </w:r>
      <w:r w:rsidRPr="0007237C">
        <w:rPr>
          <w:rStyle w:val="SingleTxtGCar"/>
        </w:rPr>
        <w:t>”</w:t>
      </w:r>
    </w:p>
    <w:p w14:paraId="3BA78E49" w14:textId="77777777" w:rsidR="0024091A" w:rsidRPr="0007237C" w:rsidRDefault="0024091A" w:rsidP="00583360">
      <w:pPr>
        <w:pStyle w:val="H1G"/>
        <w:keepNext w:val="0"/>
        <w:keepLines w:val="0"/>
      </w:pPr>
      <w:r w:rsidRPr="0007237C">
        <w:t>Chapter 3.4</w:t>
      </w:r>
    </w:p>
    <w:p w14:paraId="16C37053" w14:textId="04AE3609" w:rsidR="00B77F0A" w:rsidRPr="0007237C" w:rsidRDefault="00B77F0A" w:rsidP="00B77F0A">
      <w:pPr>
        <w:tabs>
          <w:tab w:val="left" w:pos="1134"/>
        </w:tabs>
        <w:spacing w:after="200"/>
      </w:pPr>
      <w:r w:rsidRPr="0007237C">
        <w:t>3.4.2.1.1.3</w:t>
      </w:r>
      <w:r w:rsidRPr="0007237C">
        <w:tab/>
        <w:t>Amend as shown:</w:t>
      </w:r>
    </w:p>
    <w:p w14:paraId="260A562C" w14:textId="10726309" w:rsidR="0024091A" w:rsidRPr="0007237C" w:rsidRDefault="00B77F0A" w:rsidP="00B77F0A">
      <w:pPr>
        <w:pStyle w:val="SingleTxtG"/>
      </w:pPr>
      <w:r w:rsidRPr="0007237C">
        <w:t>“</w:t>
      </w:r>
      <w:r w:rsidR="0024091A" w:rsidRPr="0007237C">
        <w:t>3.4.2.1.1.3</w:t>
      </w:r>
      <w:r w:rsidR="0024091A" w:rsidRPr="0007237C">
        <w:tab/>
        <w:t xml:space="preserve">Effects seen in either humans or animals will normally justify classification in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for respiratory sensitizers.  Substances may be allocated to one of the two sub-categories 1A or 1B using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in accordance with the criteria given in Table 3.4.1 and </w:t>
      </w:r>
      <w:proofErr w:type="gramStart"/>
      <w:r w:rsidR="0024091A" w:rsidRPr="0007237C">
        <w:t>on the basis of</w:t>
      </w:r>
      <w:proofErr w:type="gramEnd"/>
      <w:r w:rsidR="0024091A" w:rsidRPr="0007237C">
        <w:t xml:space="preserve"> reliable and good quality evidence from human cases or epidemiological studies and/or observations from appropriate studies in experimental animals.</w:t>
      </w:r>
      <w:r w:rsidRPr="0007237C">
        <w:t>”</w:t>
      </w:r>
    </w:p>
    <w:p w14:paraId="40999B63" w14:textId="77777777" w:rsidR="00B77F0A" w:rsidRPr="0007237C" w:rsidRDefault="00B77F0A" w:rsidP="00B77F0A">
      <w:pPr>
        <w:pStyle w:val="SingleTxtG"/>
        <w:tabs>
          <w:tab w:val="left" w:pos="1134"/>
        </w:tabs>
        <w:ind w:left="0"/>
      </w:pPr>
      <w:r w:rsidRPr="0007237C">
        <w:t>3.4.3.1</w:t>
      </w:r>
      <w:r w:rsidRPr="0007237C">
        <w:tab/>
        <w:t>Amend as shown:</w:t>
      </w:r>
    </w:p>
    <w:p w14:paraId="2AF261E6" w14:textId="7589BCBF" w:rsidR="0024091A" w:rsidRPr="0007237C" w:rsidRDefault="00B77F0A" w:rsidP="00B77F0A">
      <w:pPr>
        <w:pStyle w:val="SingleTxtG"/>
        <w:rPr>
          <w:color w:val="000000"/>
        </w:rPr>
      </w:pPr>
      <w:r w:rsidRPr="0007237C">
        <w:rPr>
          <w:b/>
          <w:bCs/>
        </w:rPr>
        <w:t>“</w:t>
      </w:r>
      <w:r w:rsidR="0024091A" w:rsidRPr="0007237C">
        <w:rPr>
          <w:b/>
          <w:bCs/>
        </w:rPr>
        <w:t>3.4.3.1</w:t>
      </w:r>
      <w:r w:rsidR="0024091A" w:rsidRPr="0007237C">
        <w:tab/>
      </w:r>
      <w:r w:rsidR="0024091A" w:rsidRPr="0007237C">
        <w:rPr>
          <w:b/>
          <w:bCs/>
        </w:rPr>
        <w:t>Classification of mixtures when data are available for the complete mixture</w:t>
      </w:r>
    </w:p>
    <w:p w14:paraId="2FA27392" w14:textId="3309E963" w:rsidR="0024091A" w:rsidRPr="0007237C" w:rsidRDefault="0024091A" w:rsidP="00B77F0A">
      <w:pPr>
        <w:pStyle w:val="SingleTxtG"/>
        <w:tabs>
          <w:tab w:val="left" w:pos="2268"/>
        </w:tabs>
      </w:pPr>
      <w:r w:rsidRPr="0007237C">
        <w:tab/>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these data. Care should be exercised in evaluating data on mixtures that the dose used does not render the results inconclusive. (For special labelling required by some competent authorities, see the note to Table 3.4.5 of this chapter and 3.4.4.2.)</w:t>
      </w:r>
      <w:r w:rsidR="00B77F0A" w:rsidRPr="0007237C">
        <w:t>.”</w:t>
      </w:r>
    </w:p>
    <w:p w14:paraId="063878AA" w14:textId="77777777" w:rsidR="0024091A" w:rsidRPr="0007237C" w:rsidRDefault="0024091A" w:rsidP="00137EE2">
      <w:pPr>
        <w:pStyle w:val="H1G"/>
      </w:pPr>
      <w:r w:rsidRPr="0007237C">
        <w:t>Chapter 3.5</w:t>
      </w:r>
    </w:p>
    <w:p w14:paraId="3F79D651" w14:textId="3C600DF9" w:rsidR="0024091A" w:rsidRPr="0007237C" w:rsidRDefault="0024091A" w:rsidP="003548DF">
      <w:pPr>
        <w:tabs>
          <w:tab w:val="left" w:pos="1134"/>
          <w:tab w:val="left" w:pos="1418"/>
        </w:tabs>
        <w:spacing w:after="240"/>
      </w:pPr>
      <w:r w:rsidRPr="0007237C">
        <w:t>3.5.5.1</w:t>
      </w:r>
      <w:r w:rsidR="00765300" w:rsidRPr="0007237C">
        <w:t>.</w:t>
      </w:r>
      <w:r w:rsidR="00536F4D" w:rsidRPr="0007237C">
        <w:t>1</w:t>
      </w:r>
      <w:r w:rsidR="00765300" w:rsidRPr="0007237C">
        <w:tab/>
        <w:t>Decision logic 3.5.1, second</w:t>
      </w:r>
      <w:r w:rsidRPr="0007237C">
        <w:t xml:space="preserve"> </w:t>
      </w:r>
      <w:r w:rsidR="00536F4D" w:rsidRPr="0007237C">
        <w:t xml:space="preserve">and third </w:t>
      </w:r>
      <w:r w:rsidRPr="0007237C">
        <w:t>textbox down</w:t>
      </w:r>
      <w:r w:rsidR="00765300" w:rsidRPr="0007237C">
        <w:t>, amend as shown:</w:t>
      </w:r>
    </w:p>
    <w:p w14:paraId="401FC2FC" w14:textId="10FC9912" w:rsidR="0024091A" w:rsidRPr="0007237C" w:rsidRDefault="00765300" w:rsidP="00765300">
      <w:pPr>
        <w:pStyle w:val="SingleTxtG"/>
      </w:pPr>
      <w:r w:rsidRPr="0007237C">
        <w:t>“</w:t>
      </w:r>
      <w:r w:rsidR="0024091A" w:rsidRPr="0007237C">
        <w:t xml:space="preserve">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359F2E52" w14:textId="77777777" w:rsidR="0024091A" w:rsidRPr="0007237C" w:rsidRDefault="0024091A" w:rsidP="00137EE2">
      <w:pPr>
        <w:pStyle w:val="H1G"/>
      </w:pPr>
      <w:r w:rsidRPr="0007237C">
        <w:t>Chapter 3.6</w:t>
      </w:r>
    </w:p>
    <w:p w14:paraId="0CB0571E" w14:textId="3C1CE70B" w:rsidR="00D56126" w:rsidRPr="0007237C" w:rsidRDefault="00D56126" w:rsidP="003548DF">
      <w:pPr>
        <w:spacing w:after="240"/>
        <w:ind w:left="1134" w:hanging="1134"/>
      </w:pPr>
      <w:r w:rsidRPr="0007237C">
        <w:t>3.6.5.3.2</w:t>
      </w:r>
      <w:r w:rsidRPr="0007237C">
        <w:tab/>
        <w:t xml:space="preserve">Amend as shown: </w:t>
      </w:r>
    </w:p>
    <w:p w14:paraId="36C0E1CC" w14:textId="038C8C02" w:rsidR="0024091A" w:rsidRPr="0007237C" w:rsidRDefault="00D56126" w:rsidP="00D56126">
      <w:pPr>
        <w:pStyle w:val="SingleTxtG"/>
      </w:pPr>
      <w:r w:rsidRPr="0007237C">
        <w:t>“</w:t>
      </w:r>
      <w:r w:rsidR="0024091A" w:rsidRPr="0007237C">
        <w:t>3.6.5.3.2</w:t>
      </w:r>
      <w:r w:rsidR="0024091A" w:rsidRPr="0007237C">
        <w:tab/>
        <w:t>Guidance on how to consider important factors in classification of carcinogenicity*</w:t>
      </w:r>
    </w:p>
    <w:p w14:paraId="20A31911" w14:textId="77777777" w:rsidR="0024091A" w:rsidRPr="0007237C" w:rsidRDefault="0024091A" w:rsidP="00D56126">
      <w:pPr>
        <w:pStyle w:val="SingleTxtG"/>
      </w:pPr>
      <w:r w:rsidRPr="0007237C">
        <w:t xml:space="preserve">The guidance provides an approach to analysis rather than hard and fast rules. This section provides some considerations. The weight of evidence </w:t>
      </w:r>
      <w:r w:rsidRPr="0007237C">
        <w:rPr>
          <w:strike/>
        </w:rPr>
        <w:t>analysis</w:t>
      </w:r>
      <w:r w:rsidRPr="0007237C">
        <w:t xml:space="preserve"> </w:t>
      </w:r>
      <w:r w:rsidRPr="0007237C">
        <w:rPr>
          <w:u w:val="single"/>
        </w:rPr>
        <w:t>assessment</w:t>
      </w:r>
      <w:r w:rsidRPr="0007237C">
        <w:t xml:space="preserve"> called for in GHS is an integrative approach which considers important factors in determining carcinogenic potential along with the strength of evidence analysis. The IPCS “Conceptual Framework for Evaluating a Mode of Action for Chemical carcinogenesis” (2001), the International Life Sciences Institute (ILSI) “Framework for Human Relevance Analysis of Information on Carcinogenic Modes of Action” (Meek et al., 2003; Cohen et al., 2003, 2004) and the IARC (Preamble section 12(b)) provide a basis for systematic assessments which may be performed in a consistent fashion internationally; the IPCS also convened a panel in 2004 to further develop and clarify the human relevance framework. However, the internationally available documents are not intended to dictate answers, nor provide lists of criteria to be checked off. </w:t>
      </w:r>
    </w:p>
    <w:p w14:paraId="698E431D" w14:textId="59AE19B5" w:rsidR="00D56126" w:rsidRPr="0007237C" w:rsidRDefault="00D56126" w:rsidP="00583360">
      <w:pPr>
        <w:spacing w:after="240"/>
        <w:ind w:left="1134" w:hanging="1418"/>
      </w:pPr>
      <w:r w:rsidRPr="0007237C">
        <w:t>3.6.5.3.2.1</w:t>
      </w:r>
      <w:r w:rsidRPr="0007237C">
        <w:tab/>
        <w:t>Amend as shown:</w:t>
      </w:r>
    </w:p>
    <w:p w14:paraId="2C055F5E" w14:textId="4087E669" w:rsidR="0024091A" w:rsidRPr="0007237C" w:rsidRDefault="00D56126" w:rsidP="00583360">
      <w:pPr>
        <w:pStyle w:val="SingleTxtG"/>
        <w:tabs>
          <w:tab w:val="left" w:pos="2268"/>
        </w:tabs>
      </w:pPr>
      <w:r w:rsidRPr="0007237C">
        <w:t>“</w:t>
      </w:r>
      <w:r w:rsidR="0024091A" w:rsidRPr="0007237C">
        <w:t>3.6.5.3.2.1</w:t>
      </w:r>
      <w:r w:rsidR="0024091A" w:rsidRPr="0007237C">
        <w:tab/>
        <w:t>Mode of action</w:t>
      </w:r>
    </w:p>
    <w:p w14:paraId="652869D8" w14:textId="5BE0C9EA" w:rsidR="0024091A" w:rsidRPr="0007237C" w:rsidRDefault="0024091A" w:rsidP="00583360">
      <w:pPr>
        <w:pStyle w:val="SingleTxtG"/>
        <w:tabs>
          <w:tab w:val="left" w:pos="2268"/>
        </w:tabs>
      </w:pPr>
      <w:r w:rsidRPr="0007237C">
        <w:tab/>
        <w:t xml:space="preserve">The various international documents on carcinogen assessment all note that mode of action in and of itself, or consideration of comparative metabolism, should be evaluated on a case-by-case basis and are part of an analytic evaluative approach. One must look closely at any mode of action in animal experiments taking into consideration comparative </w:t>
      </w:r>
      <w:proofErr w:type="spellStart"/>
      <w:r w:rsidRPr="0007237C">
        <w:t>toxicokinetics</w:t>
      </w:r>
      <w:proofErr w:type="spellEnd"/>
      <w:r w:rsidRPr="0007237C">
        <w:t>/</w:t>
      </w:r>
      <w:proofErr w:type="spellStart"/>
      <w:r w:rsidRPr="0007237C">
        <w:t>toxicodynamics</w:t>
      </w:r>
      <w:proofErr w:type="spellEnd"/>
      <w:r w:rsidRPr="0007237C">
        <w:t xml:space="preserve"> between the animal test species and humans to determine the relevance of the results to humans. This may lead to the possibility of discounting very specific effects of certain types of chemicals. Life stage-dependent effects on cellular differentiation may also lead to qualitative differences between animals and humans. Only if a mode of action of tumour development is conclusively determined not to be operative in humans may the carcinogenic evidence for that tumour be discounted. However, a weight of evidence </w:t>
      </w:r>
      <w:r w:rsidRPr="0007237C">
        <w:rPr>
          <w:strike/>
        </w:rPr>
        <w:t>evaluation</w:t>
      </w:r>
      <w:r w:rsidRPr="0007237C">
        <w:t xml:space="preserve"> </w:t>
      </w:r>
      <w:r w:rsidRPr="0007237C">
        <w:rPr>
          <w:u w:val="single"/>
        </w:rPr>
        <w:t>assessment</w:t>
      </w:r>
      <w:r w:rsidRPr="0007237C">
        <w:t xml:space="preserve"> for a substance calls for any other tumorigenic activity to be evaluated as well.</w:t>
      </w:r>
      <w:r w:rsidR="00D56126" w:rsidRPr="0007237C">
        <w:t>”</w:t>
      </w:r>
    </w:p>
    <w:p w14:paraId="5A71755C" w14:textId="76CD2E27" w:rsidR="0024091A" w:rsidRPr="0007237C" w:rsidRDefault="0024091A" w:rsidP="003C0E03">
      <w:pPr>
        <w:tabs>
          <w:tab w:val="left" w:pos="1134"/>
        </w:tabs>
        <w:spacing w:after="240"/>
      </w:pPr>
      <w:r w:rsidRPr="0007237C">
        <w:t xml:space="preserve">3.6.5.1 </w:t>
      </w:r>
      <w:r w:rsidR="00D56126" w:rsidRPr="0007237C">
        <w:tab/>
      </w:r>
      <w:r w:rsidRPr="0007237C">
        <w:t>Decision logic 3.6.1 for substances (</w:t>
      </w:r>
      <w:r w:rsidR="00D56126" w:rsidRPr="0007237C">
        <w:t xml:space="preserve">second and third </w:t>
      </w:r>
      <w:r w:rsidRPr="0007237C">
        <w:t>textbox down)</w:t>
      </w:r>
      <w:r w:rsidR="00D56126" w:rsidRPr="0007237C">
        <w:t>, amend as shown:</w:t>
      </w:r>
    </w:p>
    <w:p w14:paraId="4DB027DB" w14:textId="5F05B6B0" w:rsidR="0024091A" w:rsidRPr="0007237C" w:rsidRDefault="00D56126" w:rsidP="00D56126">
      <w:pPr>
        <w:pStyle w:val="SingleTxtG"/>
      </w:pPr>
      <w:r w:rsidRPr="0007237C">
        <w:t>“</w:t>
      </w:r>
      <w:r w:rsidR="0024091A" w:rsidRPr="0007237C">
        <w:t xml:space="preserve">Application of the criteria needs expert judgment in a </w:t>
      </w:r>
      <w:bookmarkStart w:id="1" w:name="_Hlk103714555"/>
      <w:r w:rsidR="0024091A" w:rsidRPr="0007237C">
        <w:t xml:space="preserve">strength and </w:t>
      </w:r>
      <w:bookmarkEnd w:id="1"/>
      <w:r w:rsidR="0024091A" w:rsidRPr="0007237C">
        <w:t xml:space="preserve">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4E0BB06E" w14:textId="6F6739BB" w:rsidR="0024091A" w:rsidRPr="0007237C" w:rsidRDefault="0024091A" w:rsidP="00137EE2">
      <w:pPr>
        <w:pStyle w:val="H1G"/>
      </w:pPr>
      <w:r w:rsidRPr="0007237C">
        <w:t>Chapter 3.7</w:t>
      </w:r>
    </w:p>
    <w:p w14:paraId="3EF02A57" w14:textId="3C429AC0" w:rsidR="003C0E03" w:rsidRPr="0007237C" w:rsidRDefault="003C0E03" w:rsidP="003C0E03">
      <w:pPr>
        <w:pStyle w:val="SingleTxtG"/>
        <w:tabs>
          <w:tab w:val="left" w:pos="1134"/>
        </w:tabs>
        <w:ind w:left="0"/>
      </w:pPr>
      <w:r w:rsidRPr="0007237C">
        <w:t>3.7.2.2</w:t>
      </w:r>
      <w:r w:rsidRPr="0007237C">
        <w:tab/>
        <w:t>Amend as shown:</w:t>
      </w:r>
    </w:p>
    <w:p w14:paraId="317C5A68" w14:textId="5104C46B" w:rsidR="0024091A" w:rsidRPr="0007237C" w:rsidRDefault="003C0E03" w:rsidP="003C0E03">
      <w:pPr>
        <w:pStyle w:val="SingleTxtG"/>
      </w:pPr>
      <w:r w:rsidRPr="0007237C">
        <w:t>“</w:t>
      </w:r>
      <w:r w:rsidR="0024091A" w:rsidRPr="0007237C">
        <w:t>3.7.2.2</w:t>
      </w:r>
      <w:r w:rsidR="0024091A" w:rsidRPr="0007237C">
        <w:tab/>
        <w:t>Basis of classification</w:t>
      </w:r>
    </w:p>
    <w:p w14:paraId="0AA51795" w14:textId="49A16DF9" w:rsidR="0024091A" w:rsidRPr="0007237C" w:rsidRDefault="0024091A" w:rsidP="003C0E03">
      <w:pPr>
        <w:pStyle w:val="SingleTxtG"/>
      </w:pPr>
      <w:r w:rsidRPr="0007237C">
        <w:t>3.7.2.2.1</w:t>
      </w:r>
      <w:r w:rsidRPr="0007237C">
        <w:tab/>
        <w:t xml:space="preserve">Classification is made </w:t>
      </w:r>
      <w:proofErr w:type="gramStart"/>
      <w:r w:rsidRPr="0007237C">
        <w:t>on the basis of</w:t>
      </w:r>
      <w:proofErr w:type="gramEnd"/>
      <w:r w:rsidRPr="0007237C">
        <w:t xml:space="preserve"> the appropriate criteria, outlined above, and </w:t>
      </w:r>
      <w:r w:rsidRPr="0007237C">
        <w:rPr>
          <w:u w:val="single"/>
        </w:rPr>
        <w:t xml:space="preserve">a total weight of evidence assessment </w:t>
      </w:r>
      <w:r w:rsidRPr="0007237C">
        <w:rPr>
          <w:strike/>
        </w:rPr>
        <w:t>an assessment of the total weight of evidence</w:t>
      </w:r>
      <w:r w:rsidRPr="0007237C">
        <w:t>. Classification as a reproductive toxicant is intended to be used for chemicals which have an intrinsic, specific property to produce an adverse effect on reproduction and chemicals should not be so classified if such an effect is produced solely as a non-specific secondary consequence of other toxic effects.</w:t>
      </w:r>
      <w:r w:rsidR="003C0E03" w:rsidRPr="0007237C">
        <w:t>”</w:t>
      </w:r>
    </w:p>
    <w:p w14:paraId="05CB42B5" w14:textId="6B697B59" w:rsidR="003C0E03" w:rsidRPr="0007237C" w:rsidRDefault="003C0E03" w:rsidP="003C0E03">
      <w:pPr>
        <w:pStyle w:val="SingleTxtG"/>
        <w:tabs>
          <w:tab w:val="left" w:pos="1134"/>
        </w:tabs>
        <w:ind w:left="0"/>
      </w:pPr>
      <w:r w:rsidRPr="0007237C">
        <w:t>3.7.2.3</w:t>
      </w:r>
      <w:r w:rsidRPr="0007237C">
        <w:tab/>
        <w:t>Amend as shown:</w:t>
      </w:r>
    </w:p>
    <w:p w14:paraId="7A8673C3" w14:textId="2FD43E22" w:rsidR="0024091A" w:rsidRPr="0007237C" w:rsidRDefault="003C0E03" w:rsidP="003C0E03">
      <w:pPr>
        <w:pStyle w:val="SingleTxtG"/>
      </w:pPr>
      <w:r w:rsidRPr="0007237C">
        <w:t>“</w:t>
      </w:r>
      <w:r w:rsidR="0024091A" w:rsidRPr="0007237C">
        <w:t>3.7.2.3</w:t>
      </w:r>
      <w:r w:rsidR="0024091A" w:rsidRPr="0007237C">
        <w:tab/>
        <w:t>Weight of evidence</w:t>
      </w:r>
    </w:p>
    <w:p w14:paraId="1313E85E" w14:textId="24B75731" w:rsidR="0024091A" w:rsidRPr="0007237C" w:rsidRDefault="0024091A" w:rsidP="003C0E03">
      <w:pPr>
        <w:pStyle w:val="SingleTxtG"/>
      </w:pPr>
      <w:r w:rsidRPr="0007237C">
        <w:t>3.7.2.3.1</w:t>
      </w:r>
      <w:r w:rsidRPr="0007237C">
        <w:tab/>
        <w:t xml:space="preserve">Classification as a reproductive toxicant is made </w:t>
      </w:r>
      <w:proofErr w:type="gramStart"/>
      <w:r w:rsidRPr="0007237C">
        <w:t>on the basis of</w:t>
      </w:r>
      <w:proofErr w:type="gramEnd"/>
      <w:r w:rsidRPr="0007237C">
        <w:t xml:space="preserve"> </w:t>
      </w:r>
      <w:r w:rsidRPr="0007237C">
        <w:rPr>
          <w:strike/>
        </w:rPr>
        <w:t>an assessment of the total weight of evidence</w:t>
      </w:r>
      <w:r w:rsidRPr="0007237C">
        <w:t xml:space="preserve"> </w:t>
      </w:r>
      <w:r w:rsidRPr="0007237C">
        <w:rPr>
          <w:u w:val="single"/>
        </w:rPr>
        <w:t>a total weight of evidence assessment</w:t>
      </w:r>
      <w:r w:rsidRPr="0007237C">
        <w:t xml:space="preserve">. This means that all available information that bears on the determination of reproductive toxicity is considered together. Included is information such as epidemiological studies and case reports in humans and specific reproduction studies along with sub-chronic, </w:t>
      </w:r>
      <w:proofErr w:type="gramStart"/>
      <w:r w:rsidRPr="0007237C">
        <w:t>chronic</w:t>
      </w:r>
      <w:proofErr w:type="gramEnd"/>
      <w:r w:rsidRPr="0007237C">
        <w:t xml:space="preserve"> and special study results in animals that provide relevant information regarding toxicity to reproductive and related endocrine organs. Evaluation of substances chemically related to the material under study may also be included, particularly when information on the material is scarce. The weight given to the available evidence will be influenced by factors such as the quality of the studies, consistency of results, nature and severity of effects, level of statistical significance for intergroup differences, number of endpoints affected, relevance of route of administration to humans and freedom from bias. Both positive and negative results are </w:t>
      </w:r>
      <w:proofErr w:type="gramStart"/>
      <w:r w:rsidRPr="0007237C">
        <w:t>assembled together</w:t>
      </w:r>
      <w:proofErr w:type="gramEnd"/>
      <w:r w:rsidRPr="0007237C">
        <w:t xml:space="preserve"> into a weight of evidence </w:t>
      </w:r>
      <w:r w:rsidRPr="0007237C">
        <w:rPr>
          <w:strike/>
        </w:rPr>
        <w:t>determination</w:t>
      </w:r>
      <w:r w:rsidRPr="0007237C">
        <w:t xml:space="preserve"> </w:t>
      </w:r>
      <w:r w:rsidRPr="0007237C">
        <w:rPr>
          <w:u w:val="single"/>
        </w:rPr>
        <w:t>assessment</w:t>
      </w:r>
      <w:r w:rsidRPr="0007237C">
        <w:t>. However, a single, positive study performed according to good scientific principles and with statistically or biologically significant positive results may justify classification (see also 3.7.2.2.3).</w:t>
      </w:r>
      <w:r w:rsidR="003C0E03" w:rsidRPr="0007237C">
        <w:t>”</w:t>
      </w:r>
    </w:p>
    <w:p w14:paraId="383F31E2" w14:textId="35204768" w:rsidR="002C0672" w:rsidRPr="0007237C" w:rsidRDefault="002C0672" w:rsidP="00583360">
      <w:pPr>
        <w:pStyle w:val="SingleTxtG"/>
        <w:tabs>
          <w:tab w:val="left" w:pos="1134"/>
        </w:tabs>
        <w:ind w:left="0"/>
      </w:pPr>
      <w:r w:rsidRPr="0007237C">
        <w:t>3.7.2.4</w:t>
      </w:r>
      <w:r w:rsidRPr="0007237C">
        <w:tab/>
        <w:t>Amend as shown:</w:t>
      </w:r>
    </w:p>
    <w:p w14:paraId="7DC6209B" w14:textId="603100AA" w:rsidR="0024091A" w:rsidRPr="0007237C" w:rsidRDefault="002C0672" w:rsidP="00583360">
      <w:pPr>
        <w:pStyle w:val="SingleTxtG"/>
      </w:pPr>
      <w:r w:rsidRPr="0007237C">
        <w:t>“</w:t>
      </w:r>
      <w:r w:rsidR="0024091A" w:rsidRPr="0007237C">
        <w:t>3.7.2.4</w:t>
      </w:r>
      <w:r w:rsidR="0024091A" w:rsidRPr="0007237C">
        <w:tab/>
        <w:t>Maternal toxicity</w:t>
      </w:r>
    </w:p>
    <w:p w14:paraId="34DDDEEF" w14:textId="18B3AB50" w:rsidR="0024091A" w:rsidRPr="0007237C" w:rsidRDefault="0024091A" w:rsidP="00583360">
      <w:pPr>
        <w:pStyle w:val="SingleTxtG"/>
      </w:pPr>
      <w:r w:rsidRPr="0007237C">
        <w:t>3.7.2.4.1</w:t>
      </w:r>
      <w:r w:rsidRPr="0007237C">
        <w:tab/>
        <w:t xml:space="preserve">Development of the offspring throughout gestation and during the early postnatal stages can be influenced by toxic effects in the mother either through non-specific mechanisms related to stress and the disruption of maternal homeostasis, or by specific </w:t>
      </w:r>
      <w:proofErr w:type="gramStart"/>
      <w:r w:rsidRPr="0007237C">
        <w:t>maternally-mediated</w:t>
      </w:r>
      <w:proofErr w:type="gramEnd"/>
      <w:r w:rsidRPr="0007237C">
        <w:t xml:space="preserve"> mechanisms. So, in the interpretation of the developmental outcome to decide classification for developmental effects it is important to consider the possible influence of maternal toxicity. This is a complex issue because of uncertainties surrounding the relationship between maternal toxicity and developmental outcome. Expert judgement and a weight of evidence </w:t>
      </w:r>
      <w:r w:rsidRPr="0007237C">
        <w:rPr>
          <w:strike/>
        </w:rPr>
        <w:t>approach</w:t>
      </w:r>
      <w:r w:rsidRPr="0007237C">
        <w:t xml:space="preserve"> </w:t>
      </w:r>
      <w:r w:rsidRPr="0007237C">
        <w:rPr>
          <w:u w:val="single"/>
        </w:rPr>
        <w:t>assessment</w:t>
      </w:r>
      <w:r w:rsidRPr="0007237C">
        <w:t>, using all available studies, should be used to determine the degree of influence that should be attributed to maternal toxicity when interpreting the criteria for classification for developmental effects. The adverse effects in the embryo/foetus should be first considered, and then maternal toxicity, along with any other factors which are likely to have influenced these effects, as weight of evidence, to help reach a conclusion about classification.</w:t>
      </w:r>
      <w:r w:rsidR="002C0672" w:rsidRPr="0007237C">
        <w:t>”</w:t>
      </w:r>
    </w:p>
    <w:p w14:paraId="3EBE3DC8" w14:textId="7705E7C5" w:rsidR="0024091A" w:rsidRPr="0007237C" w:rsidRDefault="0024091A" w:rsidP="00583360">
      <w:pPr>
        <w:pStyle w:val="SingleTxtG"/>
        <w:keepNext/>
        <w:keepLines/>
        <w:tabs>
          <w:tab w:val="left" w:pos="1134"/>
        </w:tabs>
        <w:ind w:hanging="1134"/>
      </w:pPr>
      <w:r w:rsidRPr="0007237C">
        <w:t>3.7.5.1.1</w:t>
      </w:r>
      <w:r w:rsidRPr="0007237C">
        <w:tab/>
        <w:t>Decision logic 3.7.1 for substances (</w:t>
      </w:r>
      <w:r w:rsidR="00076071" w:rsidRPr="0007237C">
        <w:t>second and third</w:t>
      </w:r>
      <w:r w:rsidRPr="0007237C">
        <w:t xml:space="preserve"> textbox</w:t>
      </w:r>
      <w:r w:rsidR="00076071" w:rsidRPr="0007237C">
        <w:t>es</w:t>
      </w:r>
      <w:r w:rsidRPr="0007237C">
        <w:t xml:space="preserve"> down)</w:t>
      </w:r>
      <w:r w:rsidR="00076071" w:rsidRPr="0007237C">
        <w:t>, amend the sentence below as shown:</w:t>
      </w:r>
    </w:p>
    <w:p w14:paraId="73E8ABD2" w14:textId="6FB2ACA3" w:rsidR="0024091A" w:rsidRPr="007D1CD7" w:rsidRDefault="00076071" w:rsidP="007D1CD7">
      <w:pPr>
        <w:pStyle w:val="SingleTxtG"/>
      </w:pPr>
      <w:r w:rsidRPr="0007237C">
        <w:t>“</w:t>
      </w:r>
      <w:r w:rsidR="0024091A" w:rsidRPr="0007237C">
        <w:t xml:space="preserve">Application of the criteria needs expert judgment in a weight of evidence </w:t>
      </w:r>
      <w:r w:rsidR="0024091A" w:rsidRPr="0007237C">
        <w:rPr>
          <w:strike/>
        </w:rPr>
        <w:t xml:space="preserve">approach </w:t>
      </w:r>
      <w:r w:rsidR="0024091A" w:rsidRPr="0007237C">
        <w:rPr>
          <w:u w:val="single"/>
        </w:rPr>
        <w:t>assessment</w:t>
      </w:r>
      <w:r w:rsidR="0024091A" w:rsidRPr="0007237C">
        <w:t>.</w:t>
      </w:r>
      <w:r w:rsidRPr="0007237C">
        <w:t>”</w:t>
      </w:r>
    </w:p>
    <w:p w14:paraId="20C4CA3B" w14:textId="77777777" w:rsidR="0024091A" w:rsidRPr="0007237C" w:rsidRDefault="0024091A" w:rsidP="00137EE2">
      <w:pPr>
        <w:pStyle w:val="H1G"/>
      </w:pPr>
      <w:r w:rsidRPr="0007237C">
        <w:t>Chapter 3.8</w:t>
      </w:r>
    </w:p>
    <w:p w14:paraId="388F0B08" w14:textId="2062A3D4" w:rsidR="0024091A" w:rsidRPr="0007237C" w:rsidRDefault="00C96E3B" w:rsidP="00CE2A99">
      <w:pPr>
        <w:pStyle w:val="SingleTxtG"/>
        <w:ind w:left="0"/>
      </w:pPr>
      <w:r w:rsidRPr="0007237C">
        <w:t xml:space="preserve">Notes to </w:t>
      </w:r>
      <w:r w:rsidR="0024091A" w:rsidRPr="0007237C">
        <w:t>Table 3.8.1</w:t>
      </w:r>
      <w:r w:rsidR="005632E6" w:rsidRPr="0007237C">
        <w:t>,</w:t>
      </w:r>
      <w:r w:rsidR="00CE2A99" w:rsidRPr="0007237C">
        <w:t xml:space="preserve"> </w:t>
      </w:r>
      <w:r w:rsidR="005632E6" w:rsidRPr="0007237C">
        <w:t>am</w:t>
      </w:r>
      <w:r w:rsidRPr="0007237C">
        <w:t>end as shown</w:t>
      </w:r>
      <w:r w:rsidR="0024091A" w:rsidRPr="0007237C">
        <w:t xml:space="preserve">:  </w:t>
      </w:r>
    </w:p>
    <w:p w14:paraId="62A70453" w14:textId="78EE0B1C" w:rsidR="0024091A" w:rsidRPr="0007237C" w:rsidRDefault="00CE2A99" w:rsidP="00CE2A99">
      <w:pPr>
        <w:pStyle w:val="SingleTxtG"/>
        <w:rPr>
          <w:i/>
          <w:iCs/>
        </w:rPr>
      </w:pPr>
      <w:r w:rsidRPr="0007237C">
        <w:rPr>
          <w:b/>
          <w:bCs/>
          <w:i/>
          <w:iCs/>
          <w:vertAlign w:val="superscript"/>
        </w:rPr>
        <w:t>“</w:t>
      </w:r>
      <w:proofErr w:type="spellStart"/>
      <w:r w:rsidR="0024091A" w:rsidRPr="0007237C">
        <w:rPr>
          <w:b/>
          <w:bCs/>
          <w:i/>
          <w:iCs/>
          <w:vertAlign w:val="superscript"/>
        </w:rPr>
        <w:t>a</w:t>
      </w:r>
      <w:proofErr w:type="spellEnd"/>
      <w:r w:rsidR="0024091A" w:rsidRPr="0007237C">
        <w:rPr>
          <w:i/>
          <w:iCs/>
        </w:rPr>
        <w:tab/>
      </w:r>
      <w:proofErr w:type="gramStart"/>
      <w:r w:rsidR="0024091A" w:rsidRPr="0007237C">
        <w:rPr>
          <w:i/>
          <w:iCs/>
        </w:rPr>
        <w:t>The</w:t>
      </w:r>
      <w:proofErr w:type="gramEnd"/>
      <w:r w:rsidR="0024091A" w:rsidRPr="0007237C">
        <w:rPr>
          <w:i/>
          <w:iCs/>
        </w:rPr>
        <w:t xml:space="preserve"> guidance values and ranges mentioned in Table 3.8.1. above are intended only for guidance purposes, </w:t>
      </w:r>
      <w:proofErr w:type="gramStart"/>
      <w:r w:rsidR="0024091A" w:rsidRPr="0007237C">
        <w:rPr>
          <w:i/>
          <w:iCs/>
        </w:rPr>
        <w:t>i.e.</w:t>
      </w:r>
      <w:proofErr w:type="gramEnd"/>
      <w:r w:rsidR="0024091A" w:rsidRPr="0007237C">
        <w:rPr>
          <w:i/>
          <w:iCs/>
        </w:rPr>
        <w:t xml:space="preserve"> to be used as part of the weight of evidence </w:t>
      </w:r>
      <w:r w:rsidR="0024091A" w:rsidRPr="0007237C">
        <w:rPr>
          <w:i/>
          <w:iCs/>
          <w:strike/>
        </w:rPr>
        <w:t>approach</w:t>
      </w:r>
      <w:r w:rsidR="0024091A" w:rsidRPr="0007237C">
        <w:rPr>
          <w:i/>
          <w:iCs/>
        </w:rPr>
        <w:t xml:space="preserve"> </w:t>
      </w:r>
      <w:r w:rsidR="0024091A" w:rsidRPr="0007237C">
        <w:rPr>
          <w:i/>
          <w:iCs/>
          <w:u w:val="single"/>
        </w:rPr>
        <w:t>assessment</w:t>
      </w:r>
      <w:r w:rsidR="0024091A" w:rsidRPr="0007237C">
        <w:rPr>
          <w:i/>
          <w:iCs/>
        </w:rPr>
        <w:t>, and to assist with decision about classification. They are not intended as strict demarcation values.</w:t>
      </w:r>
    </w:p>
    <w:p w14:paraId="3C5DDCDD" w14:textId="6BEBDAF6" w:rsidR="0024091A" w:rsidRPr="0007237C" w:rsidRDefault="0024091A" w:rsidP="00CE2A99">
      <w:pPr>
        <w:pStyle w:val="SingleTxtG"/>
        <w:rPr>
          <w:i/>
          <w:iCs/>
        </w:rPr>
      </w:pPr>
      <w:r w:rsidRPr="0007237C">
        <w:rPr>
          <w:b/>
          <w:bCs/>
          <w:i/>
          <w:iCs/>
          <w:vertAlign w:val="superscript"/>
        </w:rPr>
        <w:t>b</w:t>
      </w:r>
      <w:r w:rsidRPr="0007237C">
        <w:rPr>
          <w:i/>
          <w:iCs/>
        </w:rPr>
        <w:tab/>
        <w:t xml:space="preserve">Guidance values are not provided since this classification is primarily based on human data. Animal data may be included in the weight of evidence </w:t>
      </w:r>
      <w:r w:rsidRPr="0007237C">
        <w:rPr>
          <w:i/>
          <w:iCs/>
          <w:strike/>
        </w:rPr>
        <w:t>evaluation</w:t>
      </w:r>
      <w:r w:rsidRPr="0007237C">
        <w:rPr>
          <w:i/>
          <w:iCs/>
        </w:rPr>
        <w:t xml:space="preserve"> </w:t>
      </w:r>
      <w:r w:rsidRPr="0007237C">
        <w:rPr>
          <w:i/>
          <w:iCs/>
          <w:u w:val="single"/>
        </w:rPr>
        <w:t>assessment</w:t>
      </w:r>
      <w:r w:rsidRPr="0007237C">
        <w:rPr>
          <w:i/>
          <w:iCs/>
        </w:rPr>
        <w:t>.</w:t>
      </w:r>
      <w:r w:rsidR="00CE2A99" w:rsidRPr="0007237C">
        <w:rPr>
          <w:i/>
          <w:iCs/>
        </w:rPr>
        <w:t>”</w:t>
      </w:r>
    </w:p>
    <w:p w14:paraId="6814BEAC" w14:textId="3E563797" w:rsidR="00CE2A99" w:rsidRPr="0007237C" w:rsidRDefault="00CE2A99" w:rsidP="00CE2A99">
      <w:pPr>
        <w:pStyle w:val="SingleTxtG"/>
        <w:tabs>
          <w:tab w:val="left" w:pos="1134"/>
        </w:tabs>
        <w:ind w:left="0"/>
      </w:pPr>
      <w:r w:rsidRPr="0007237C">
        <w:t>3.8.2.1.10</w:t>
      </w:r>
      <w:r w:rsidRPr="0007237C">
        <w:tab/>
        <w:t>Amend as shown:</w:t>
      </w:r>
    </w:p>
    <w:p w14:paraId="77EED5A9" w14:textId="6A1A7115" w:rsidR="0024091A" w:rsidRPr="0007237C" w:rsidRDefault="00CE2A99" w:rsidP="00CE2A99">
      <w:pPr>
        <w:pStyle w:val="SingleTxtG"/>
      </w:pPr>
      <w:r w:rsidRPr="0007237C">
        <w:t>“</w:t>
      </w:r>
      <w:r w:rsidR="0024091A" w:rsidRPr="0007237C">
        <w:t>3.8.2.1.10</w:t>
      </w:r>
      <w:r w:rsidR="0024091A" w:rsidRPr="0007237C">
        <w:tab/>
        <w:t>Other considerations</w:t>
      </w:r>
    </w:p>
    <w:p w14:paraId="6C823640" w14:textId="319E639A" w:rsidR="0064473E" w:rsidRPr="0007237C" w:rsidRDefault="0024091A" w:rsidP="0064473E">
      <w:pPr>
        <w:pStyle w:val="SingleTxtG"/>
      </w:pPr>
      <w:r w:rsidRPr="0007237C">
        <w:t>3.8.2.1.10.1</w:t>
      </w:r>
      <w:r w:rsidRPr="0007237C">
        <w:tab/>
        <w:t xml:space="preserve">When a substance is characterized only by use of animal data (typical of new substances, but also true for many existing substances), the classification process would include reference to dose/concentration guidance values as one of the elements that contribute to the weight of evidence </w:t>
      </w:r>
      <w:r w:rsidRPr="0007237C">
        <w:rPr>
          <w:strike/>
        </w:rPr>
        <w:t>approach</w:t>
      </w:r>
      <w:r w:rsidRPr="0007237C">
        <w:t xml:space="preserve"> </w:t>
      </w:r>
      <w:r w:rsidRPr="0007237C">
        <w:rPr>
          <w:u w:val="single"/>
        </w:rPr>
        <w:t>assessment</w:t>
      </w:r>
      <w:r w:rsidRPr="0007237C">
        <w:t>.</w:t>
      </w:r>
      <w:r w:rsidR="00CE2A99" w:rsidRPr="0007237C">
        <w:t>”</w:t>
      </w:r>
    </w:p>
    <w:p w14:paraId="0DC1C5BB" w14:textId="6F983D11" w:rsidR="0064473E" w:rsidRPr="0007237C" w:rsidRDefault="0064473E" w:rsidP="0064473E">
      <w:pPr>
        <w:pStyle w:val="SingleTxtG"/>
        <w:tabs>
          <w:tab w:val="left" w:pos="1134"/>
        </w:tabs>
        <w:ind w:left="0"/>
      </w:pPr>
      <w:r w:rsidRPr="0007237C">
        <w:t>3.8.2.2.1</w:t>
      </w:r>
      <w:r w:rsidR="00E56308" w:rsidRPr="0007237C">
        <w:t xml:space="preserve"> (d)</w:t>
      </w:r>
      <w:r w:rsidRPr="0007237C">
        <w:tab/>
        <w:t>Amend as shown:</w:t>
      </w:r>
    </w:p>
    <w:p w14:paraId="59EB18F6" w14:textId="1664FAA3" w:rsidR="0024091A" w:rsidRPr="0007237C" w:rsidRDefault="00E56308" w:rsidP="00E56308">
      <w:pPr>
        <w:pStyle w:val="SingleTxtG"/>
        <w:ind w:left="1701" w:hanging="567"/>
      </w:pPr>
      <w:r w:rsidRPr="0007237C">
        <w:t>“</w:t>
      </w:r>
      <w:r w:rsidR="0024091A" w:rsidRPr="0007237C">
        <w:t>(d)</w:t>
      </w:r>
      <w:r w:rsidR="0024091A" w:rsidRPr="0007237C">
        <w:tab/>
        <w:t xml:space="preserve">There are currently no validated animal tests that deal specifically with </w:t>
      </w:r>
      <w:proofErr w:type="gramStart"/>
      <w:r w:rsidR="0024091A" w:rsidRPr="0007237C">
        <w:t>RTI,</w:t>
      </w:r>
      <w:proofErr w:type="gramEnd"/>
      <w:r w:rsidR="0024091A" w:rsidRPr="0007237C">
        <w:t xml:space="preserve"> however, useful information may be obtained from the single and repeated inhalation toxicity tests. For example, animal studies may</w:t>
      </w:r>
      <w:r w:rsidR="0024091A" w:rsidRPr="0007237C">
        <w:rPr>
          <w:i/>
        </w:rPr>
        <w:t xml:space="preserve"> </w:t>
      </w:r>
      <w:r w:rsidR="0024091A" w:rsidRPr="0007237C">
        <w:t>provide useful information in terms of clinical signs of toxicity (dyspnoea, rhinitis etc) and histopathology (</w:t>
      </w:r>
      <w:proofErr w:type="gramStart"/>
      <w:r w:rsidR="0024091A" w:rsidRPr="0007237C">
        <w:t>e.g.</w:t>
      </w:r>
      <w:proofErr w:type="gramEnd"/>
      <w:r w:rsidR="0024091A" w:rsidRPr="0007237C">
        <w:t xml:space="preserve"> </w:t>
      </w:r>
      <w:proofErr w:type="spellStart"/>
      <w:r w:rsidR="0024091A" w:rsidRPr="0007237C">
        <w:t>hyperemia</w:t>
      </w:r>
      <w:proofErr w:type="spellEnd"/>
      <w:r w:rsidR="0024091A" w:rsidRPr="0007237C">
        <w:t xml:space="preserve">, </w:t>
      </w:r>
      <w:proofErr w:type="spellStart"/>
      <w:r w:rsidR="0024091A" w:rsidRPr="0007237C">
        <w:t>edema</w:t>
      </w:r>
      <w:proofErr w:type="spellEnd"/>
      <w:r w:rsidR="0024091A" w:rsidRPr="0007237C">
        <w:t xml:space="preserve">, minimal inflammation, thickened mucous layer) which are reversible and may be reflective of the characteristic clinical symptoms described above. Such animal studies can be used as part of weight of evidence </w:t>
      </w:r>
      <w:r w:rsidR="0024091A" w:rsidRPr="0007237C">
        <w:rPr>
          <w:strike/>
        </w:rPr>
        <w:t>evaluation</w:t>
      </w:r>
      <w:r w:rsidR="0024091A" w:rsidRPr="0007237C">
        <w:t xml:space="preserve"> </w:t>
      </w:r>
      <w:r w:rsidR="0024091A" w:rsidRPr="0007237C">
        <w:rPr>
          <w:u w:val="single"/>
        </w:rPr>
        <w:t>assessment</w:t>
      </w:r>
      <w:r w:rsidR="0024091A" w:rsidRPr="0007237C">
        <w:t>;</w:t>
      </w:r>
      <w:r w:rsidRPr="0007237C">
        <w:t>”</w:t>
      </w:r>
    </w:p>
    <w:p w14:paraId="21BCE7CB" w14:textId="109D0B59" w:rsidR="00E56308" w:rsidRPr="0007237C" w:rsidRDefault="00E56308" w:rsidP="005632E6">
      <w:pPr>
        <w:pStyle w:val="SingleTxtG"/>
        <w:tabs>
          <w:tab w:val="left" w:pos="1134"/>
        </w:tabs>
        <w:ind w:left="0"/>
      </w:pPr>
      <w:r w:rsidRPr="0007237C">
        <w:t>3.8.3.2</w:t>
      </w:r>
      <w:r w:rsidRPr="0007237C">
        <w:tab/>
        <w:t>Amend as shown:</w:t>
      </w:r>
    </w:p>
    <w:p w14:paraId="2B297880" w14:textId="527128D3" w:rsidR="0024091A" w:rsidRPr="0007237C" w:rsidRDefault="00E56308" w:rsidP="00E56308">
      <w:pPr>
        <w:pStyle w:val="SingleTxtG"/>
      </w:pPr>
      <w:r w:rsidRPr="0007237C">
        <w:t>“</w:t>
      </w:r>
      <w:r w:rsidR="0024091A" w:rsidRPr="0007237C">
        <w:t>3.8.3.2</w:t>
      </w:r>
      <w:r w:rsidR="0024091A" w:rsidRPr="0007237C">
        <w:tab/>
        <w:t>Classification of mixtures when data are available for the complete mixture</w:t>
      </w:r>
    </w:p>
    <w:p w14:paraId="710085E3" w14:textId="32E2E403" w:rsidR="0024091A" w:rsidRPr="0007237C" w:rsidRDefault="0024091A" w:rsidP="00E56308">
      <w:pPr>
        <w:pStyle w:val="SingleTxtG"/>
      </w:pPr>
      <w:r w:rsidRPr="0007237C">
        <w:tab/>
      </w:r>
      <w:r w:rsidR="00E56308" w:rsidRPr="0007237C">
        <w:tab/>
      </w:r>
      <w:r w:rsidRPr="0007237C">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this data. Care should be exercised in evaluating data on mixtures, that the dose, duration, </w:t>
      </w:r>
      <w:proofErr w:type="gramStart"/>
      <w:r w:rsidRPr="0007237C">
        <w:t>observation</w:t>
      </w:r>
      <w:proofErr w:type="gramEnd"/>
      <w:r w:rsidRPr="0007237C">
        <w:t xml:space="preserve"> or analysis, do not render the results inconclusive.</w:t>
      </w:r>
      <w:r w:rsidR="00E56308" w:rsidRPr="0007237C">
        <w:t>”</w:t>
      </w:r>
    </w:p>
    <w:p w14:paraId="3C1D48EE" w14:textId="3063D3FD" w:rsidR="0024091A" w:rsidRPr="0007237C" w:rsidRDefault="00E56308" w:rsidP="00103FA3">
      <w:pPr>
        <w:pStyle w:val="SingleTxtG"/>
        <w:keepNext/>
        <w:keepLines/>
        <w:tabs>
          <w:tab w:val="left" w:pos="1134"/>
        </w:tabs>
        <w:ind w:left="0"/>
        <w:rPr>
          <w:rFonts w:ascii="Times" w:hAnsi="Times"/>
          <w:b/>
          <w:bCs/>
          <w:i/>
          <w:iCs/>
          <w:color w:val="FFFFFF"/>
          <w:sz w:val="24"/>
          <w:szCs w:val="24"/>
        </w:rPr>
      </w:pPr>
      <w:r w:rsidRPr="0007237C">
        <w:t>3.8.5.1</w:t>
      </w:r>
      <w:r w:rsidRPr="0007237C">
        <w:tab/>
      </w:r>
      <w:r w:rsidR="0024091A" w:rsidRPr="0007237C">
        <w:t>Decision logic 3.8.1 (</w:t>
      </w:r>
      <w:r w:rsidR="00996D2E" w:rsidRPr="0007237C">
        <w:t>fourth and fifth</w:t>
      </w:r>
      <w:r w:rsidR="0024091A" w:rsidRPr="0007237C">
        <w:t xml:space="preserve"> textbox down)</w:t>
      </w:r>
      <w:r w:rsidR="00BE52E1" w:rsidRPr="0007237C">
        <w:t>, amend the sentence below as shown:</w:t>
      </w:r>
      <w:r w:rsidR="0024091A" w:rsidRPr="0007237C">
        <w:t xml:space="preserve"> </w:t>
      </w:r>
    </w:p>
    <w:p w14:paraId="4A83A8DA" w14:textId="35BEDA4C" w:rsidR="0024091A" w:rsidRPr="0007237C" w:rsidRDefault="00BE52E1" w:rsidP="00BE52E1">
      <w:pPr>
        <w:pStyle w:val="SingleTxtG"/>
        <w:rPr>
          <w:sz w:val="24"/>
          <w:szCs w:val="24"/>
        </w:rPr>
      </w:pPr>
      <w:r w:rsidRPr="0007237C">
        <w:t>“</w:t>
      </w:r>
      <w:r w:rsidR="0024091A" w:rsidRPr="0007237C">
        <w:t xml:space="preserve">See 3.8.2 for criteria and guidance values. 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27604197" w14:textId="77777777" w:rsidR="0024091A" w:rsidRPr="0007237C" w:rsidRDefault="0024091A" w:rsidP="0024091A"/>
    <w:p w14:paraId="32C0FE98" w14:textId="32657B18" w:rsidR="0024091A" w:rsidRPr="0007237C" w:rsidRDefault="0024091A" w:rsidP="00BE52E1">
      <w:pPr>
        <w:pStyle w:val="SingleTxtG"/>
      </w:pPr>
      <w:r w:rsidRPr="0007237C">
        <w:t>Decision logic 3.8.1 (</w:t>
      </w:r>
      <w:r w:rsidR="00BE52E1" w:rsidRPr="0007237C">
        <w:t>sixth</w:t>
      </w:r>
      <w:r w:rsidRPr="0007237C">
        <w:t xml:space="preserve"> textbox down)</w:t>
      </w:r>
      <w:r w:rsidR="00BE52E1" w:rsidRPr="0007237C">
        <w:t xml:space="preserve">, amend the sentence below as shown: </w:t>
      </w:r>
    </w:p>
    <w:p w14:paraId="30F3E4A9" w14:textId="5D7CDDCC" w:rsidR="0024091A" w:rsidRPr="0007237C" w:rsidRDefault="00BE52E1" w:rsidP="000D092B">
      <w:pPr>
        <w:ind w:left="1134" w:right="1183"/>
        <w:rPr>
          <w:sz w:val="24"/>
          <w:szCs w:val="24"/>
        </w:rPr>
      </w:pPr>
      <w:r w:rsidRPr="0007237C">
        <w:t>“</w:t>
      </w:r>
      <w:r w:rsidR="0024091A" w:rsidRPr="0007237C">
        <w:t xml:space="preserve">See 3.8.2 and 3.8.3 for criteria. 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3D4ECE27" w14:textId="05B4CD5D" w:rsidR="0024091A" w:rsidRPr="0007237C" w:rsidRDefault="0024091A" w:rsidP="00137EE2">
      <w:pPr>
        <w:pStyle w:val="H1G"/>
        <w:rPr>
          <w:szCs w:val="24"/>
        </w:rPr>
      </w:pPr>
      <w:r w:rsidRPr="0007237C">
        <w:t>Chapter 3.9</w:t>
      </w:r>
    </w:p>
    <w:p w14:paraId="50E7825F" w14:textId="20880C27" w:rsidR="00C5440F" w:rsidRPr="0007237C" w:rsidRDefault="00C5440F" w:rsidP="00C5440F">
      <w:pPr>
        <w:pStyle w:val="SingleTxtG"/>
        <w:tabs>
          <w:tab w:val="left" w:pos="1134"/>
        </w:tabs>
        <w:ind w:left="0"/>
      </w:pPr>
      <w:r w:rsidRPr="0007237C">
        <w:t>3.9.2.9.8</w:t>
      </w:r>
      <w:r w:rsidRPr="0007237C">
        <w:tab/>
        <w:t>Amend as shown:</w:t>
      </w:r>
    </w:p>
    <w:p w14:paraId="2284A75B" w14:textId="2CAE14F3" w:rsidR="00C5440F" w:rsidRPr="0007237C" w:rsidRDefault="005632E6" w:rsidP="00C5440F">
      <w:pPr>
        <w:pStyle w:val="SingleTxtG"/>
      </w:pPr>
      <w:r w:rsidRPr="0007237C">
        <w:t>“</w:t>
      </w:r>
      <w:r w:rsidR="0024091A" w:rsidRPr="0007237C">
        <w:t>3.9.2.9.8</w:t>
      </w:r>
      <w:r w:rsidR="0024091A" w:rsidRPr="0007237C">
        <w:tab/>
        <w:t xml:space="preserve">The guidance values and ranges mentioned in 3.9.2.9.6 and 3.9.2.9.7 are intended only for guidance purposes, </w:t>
      </w:r>
      <w:proofErr w:type="gramStart"/>
      <w:r w:rsidR="0024091A" w:rsidRPr="0007237C">
        <w:t>i.e.</w:t>
      </w:r>
      <w:proofErr w:type="gramEnd"/>
      <w:r w:rsidR="0024091A" w:rsidRPr="0007237C">
        <w:t xml:space="preserve"> to be used as part of the weight of evidence </w:t>
      </w:r>
      <w:r w:rsidR="0024091A" w:rsidRPr="0007237C">
        <w:rPr>
          <w:strike/>
        </w:rPr>
        <w:t>approach</w:t>
      </w:r>
      <w:r w:rsidR="0024091A" w:rsidRPr="0007237C">
        <w:t xml:space="preserve"> </w:t>
      </w:r>
      <w:r w:rsidR="0024091A" w:rsidRPr="0007237C">
        <w:rPr>
          <w:u w:val="single"/>
        </w:rPr>
        <w:t>assessment</w:t>
      </w:r>
      <w:r w:rsidR="0024091A" w:rsidRPr="0007237C">
        <w:t>, and to assist with decisions about classification. They are not intended as strict demarcation values.</w:t>
      </w:r>
      <w:r w:rsidRPr="0007237C">
        <w:t>”</w:t>
      </w:r>
    </w:p>
    <w:p w14:paraId="297D1585" w14:textId="35588581" w:rsidR="00C5440F" w:rsidRPr="0007237C" w:rsidRDefault="00C5440F" w:rsidP="00C5440F">
      <w:pPr>
        <w:pStyle w:val="SingleTxtG"/>
        <w:tabs>
          <w:tab w:val="left" w:pos="1134"/>
        </w:tabs>
        <w:ind w:left="0"/>
      </w:pPr>
      <w:r w:rsidRPr="0007237C">
        <w:t>3.9.2.10</w:t>
      </w:r>
      <w:r w:rsidRPr="0007237C">
        <w:tab/>
        <w:t>Amend as shown:</w:t>
      </w:r>
    </w:p>
    <w:p w14:paraId="36B00F23" w14:textId="47ABED2E" w:rsidR="0024091A" w:rsidRPr="0007237C" w:rsidRDefault="00C5440F" w:rsidP="00C5440F">
      <w:pPr>
        <w:pStyle w:val="SingleTxtG"/>
      </w:pPr>
      <w:r w:rsidRPr="0007237C">
        <w:t>“</w:t>
      </w:r>
      <w:r w:rsidR="0024091A" w:rsidRPr="0007237C">
        <w:t>3.9.2.10</w:t>
      </w:r>
      <w:r w:rsidR="0024091A" w:rsidRPr="0007237C">
        <w:tab/>
        <w:t>Other considerations</w:t>
      </w:r>
    </w:p>
    <w:p w14:paraId="1B4184E3" w14:textId="4601F05A" w:rsidR="0024091A" w:rsidRPr="0007237C" w:rsidRDefault="0024091A" w:rsidP="00C5440F">
      <w:pPr>
        <w:pStyle w:val="SingleTxtG"/>
      </w:pPr>
      <w:r w:rsidRPr="0007237C">
        <w:t>3.9.2.10.1</w:t>
      </w:r>
      <w:r w:rsidRPr="0007237C">
        <w:tab/>
        <w:t xml:space="preserve">When a substance is characterized only by use of animal data (typical of new substances, but also true for many existing substances), the classification process would include reference to dose/concentration guidance values as one of the elements that contribute to the weight of evidence </w:t>
      </w:r>
      <w:r w:rsidRPr="0007237C">
        <w:rPr>
          <w:strike/>
        </w:rPr>
        <w:t>approach</w:t>
      </w:r>
      <w:r w:rsidRPr="0007237C">
        <w:t xml:space="preserve"> </w:t>
      </w:r>
      <w:r w:rsidRPr="0007237C">
        <w:rPr>
          <w:u w:val="single"/>
        </w:rPr>
        <w:t>assessment</w:t>
      </w:r>
      <w:r w:rsidRPr="0007237C">
        <w:t>.</w:t>
      </w:r>
      <w:r w:rsidR="00C5440F" w:rsidRPr="0007237C">
        <w:t>”</w:t>
      </w:r>
    </w:p>
    <w:p w14:paraId="5179CF75" w14:textId="59F848FA" w:rsidR="00C5440F" w:rsidRPr="0007237C" w:rsidRDefault="00C5440F" w:rsidP="00C5440F">
      <w:pPr>
        <w:pStyle w:val="SingleTxtG"/>
        <w:tabs>
          <w:tab w:val="left" w:pos="1134"/>
        </w:tabs>
        <w:ind w:left="0"/>
      </w:pPr>
      <w:r w:rsidRPr="0007237C">
        <w:t>3.9.3.2</w:t>
      </w:r>
      <w:r w:rsidRPr="0007237C">
        <w:tab/>
        <w:t>Amend as shown:</w:t>
      </w:r>
    </w:p>
    <w:p w14:paraId="3B93C3C5" w14:textId="4EA8CD59" w:rsidR="0024091A" w:rsidRPr="0007237C" w:rsidRDefault="00C5440F" w:rsidP="00C5440F">
      <w:pPr>
        <w:pStyle w:val="SingleTxtG"/>
      </w:pPr>
      <w:r w:rsidRPr="0007237C">
        <w:t>“</w:t>
      </w:r>
      <w:r w:rsidR="0024091A" w:rsidRPr="0007237C">
        <w:t>3.9.3.2</w:t>
      </w:r>
      <w:r w:rsidR="0024091A" w:rsidRPr="0007237C">
        <w:tab/>
        <w:t xml:space="preserve">Classification of mixtures when data are available for the complete mixture </w:t>
      </w:r>
    </w:p>
    <w:p w14:paraId="2ECA2519" w14:textId="399202C9" w:rsidR="0024091A" w:rsidRPr="0007237C" w:rsidRDefault="0024091A" w:rsidP="00C5440F">
      <w:pPr>
        <w:pStyle w:val="SingleTxtG"/>
        <w:tabs>
          <w:tab w:val="left" w:pos="2268"/>
        </w:tabs>
      </w:pPr>
      <w:r w:rsidRPr="0007237C">
        <w:tab/>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this data. Care should be exercised in evaluating data on mixtures, that the dose, duration, </w:t>
      </w:r>
      <w:proofErr w:type="gramStart"/>
      <w:r w:rsidRPr="0007237C">
        <w:t>observation</w:t>
      </w:r>
      <w:proofErr w:type="gramEnd"/>
      <w:r w:rsidRPr="0007237C">
        <w:t xml:space="preserve"> or analysis, do not render the results inconclusive.</w:t>
      </w:r>
      <w:r w:rsidR="00C5440F" w:rsidRPr="0007237C">
        <w:t>”</w:t>
      </w:r>
    </w:p>
    <w:p w14:paraId="3CF133D8" w14:textId="27FA7965" w:rsidR="0024091A" w:rsidRPr="0007237C" w:rsidRDefault="00F41DD7" w:rsidP="00F41DD7">
      <w:pPr>
        <w:pStyle w:val="SingleTxtG"/>
        <w:ind w:hanging="1134"/>
      </w:pPr>
      <w:r w:rsidRPr="0007237C">
        <w:rPr>
          <w:color w:val="000000"/>
        </w:rPr>
        <w:t>3.9.5.1</w:t>
      </w:r>
      <w:r w:rsidRPr="0007237C">
        <w:rPr>
          <w:color w:val="000000"/>
        </w:rPr>
        <w:tab/>
        <w:t>Decision logic</w:t>
      </w:r>
      <w:r w:rsidR="0024091A" w:rsidRPr="0007237C">
        <w:rPr>
          <w:color w:val="000000"/>
        </w:rPr>
        <w:t xml:space="preserve"> 3.9.1</w:t>
      </w:r>
      <w:r w:rsidR="0024091A" w:rsidRPr="0007237C">
        <w:rPr>
          <w:color w:val="FFFFFF"/>
        </w:rPr>
        <w:t xml:space="preserve"> </w:t>
      </w:r>
      <w:r w:rsidRPr="0007237C">
        <w:t>fourth and fifth</w:t>
      </w:r>
      <w:r w:rsidR="0024091A" w:rsidRPr="0007237C">
        <w:t xml:space="preserve"> textbox down</w:t>
      </w:r>
      <w:r w:rsidRPr="0007237C">
        <w:t>, amend the sentence below as shown:</w:t>
      </w:r>
    </w:p>
    <w:p w14:paraId="29C14CAA" w14:textId="7E0D99E3" w:rsidR="0024091A" w:rsidRPr="0041194B" w:rsidRDefault="00F41DD7" w:rsidP="0041194B">
      <w:pPr>
        <w:pStyle w:val="SingleTxtG"/>
      </w:pPr>
      <w:r w:rsidRPr="0007237C">
        <w:t>“</w:t>
      </w:r>
      <w:r w:rsidR="0024091A" w:rsidRPr="0007237C">
        <w:t>See 3.9.2 for criteria and guidance values</w:t>
      </w:r>
      <w:r w:rsidR="0024091A" w:rsidRPr="0007237C">
        <w:rPr>
          <w:vertAlign w:val="superscript"/>
        </w:rPr>
        <w:t>1</w:t>
      </w:r>
      <w:r w:rsidR="0024091A" w:rsidRPr="0007237C">
        <w:t xml:space="preserve">. 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r w:rsidR="00B513FB" w:rsidRPr="0007237C">
        <w:t>.</w:t>
      </w:r>
    </w:p>
    <w:p w14:paraId="284A37D2" w14:textId="77777777" w:rsidR="0024091A" w:rsidRPr="0007237C" w:rsidRDefault="0024091A" w:rsidP="00137EE2">
      <w:pPr>
        <w:pStyle w:val="H1G"/>
      </w:pPr>
      <w:r w:rsidRPr="0007237C">
        <w:t>Chapter 4.1</w:t>
      </w:r>
    </w:p>
    <w:p w14:paraId="3DB36E98" w14:textId="112510B5" w:rsidR="00B350AE" w:rsidRPr="0007237C" w:rsidRDefault="00B350AE" w:rsidP="00103FA3">
      <w:pPr>
        <w:pStyle w:val="SingleTxtG"/>
        <w:keepNext/>
        <w:keepLines/>
        <w:ind w:left="0"/>
      </w:pPr>
      <w:r w:rsidRPr="0007237C">
        <w:t>4.1.2.5</w:t>
      </w:r>
      <w:r w:rsidRPr="0007237C">
        <w:tab/>
        <w:t xml:space="preserve">Amend as shown: </w:t>
      </w:r>
    </w:p>
    <w:p w14:paraId="424C3933" w14:textId="6FBD1F45" w:rsidR="0024091A" w:rsidRPr="0007237C" w:rsidRDefault="00B350AE" w:rsidP="00B350AE">
      <w:pPr>
        <w:pStyle w:val="SingleTxtG"/>
      </w:pPr>
      <w:r w:rsidRPr="0007237C">
        <w:t>“</w:t>
      </w:r>
      <w:r w:rsidR="0024091A" w:rsidRPr="0007237C">
        <w:t>4.1.2.5</w:t>
      </w:r>
      <w:r w:rsidR="0024091A" w:rsidRPr="0007237C">
        <w:tab/>
        <w:t>The system for classification recognizes that the core intrinsic hazard to aquatic organisms is represented by both the acute and chronic toxicity of a substance, the relative importance of which is determined by the specific regulatory system in operation. Distinction can be made between the short-term (acute) hazard and the long-term (chronic) hazard and therefore separate</w:t>
      </w:r>
      <w:r w:rsidR="0024091A" w:rsidRPr="0007237C">
        <w:rPr>
          <w:i/>
        </w:rPr>
        <w:t xml:space="preserve"> </w:t>
      </w:r>
      <w:r w:rsidR="0024091A" w:rsidRPr="0007237C">
        <w:t>hazard categories are defined for both properties representing a gradation in the level of hazard identified. The lowest of the available toxicity values between and within the different trophic levels (fish, crustacean, algae) will normally be used to define the appropriate</w:t>
      </w:r>
      <w:r w:rsidR="0024091A" w:rsidRPr="0007237C">
        <w:rPr>
          <w:i/>
        </w:rPr>
        <w:t xml:space="preserve"> </w:t>
      </w:r>
      <w:r w:rsidR="0024091A" w:rsidRPr="0007237C">
        <w:t>hazard category(</w:t>
      </w:r>
      <w:proofErr w:type="spellStart"/>
      <w:r w:rsidR="0024091A" w:rsidRPr="0007237C">
        <w:t>ies</w:t>
      </w:r>
      <w:proofErr w:type="spellEnd"/>
      <w:r w:rsidR="0024091A" w:rsidRPr="0007237C">
        <w:t>). There may be circumstances, however, when</w:t>
      </w:r>
      <w:r w:rsidR="0024091A" w:rsidRPr="0007237C">
        <w:rPr>
          <w:b/>
          <w:i/>
        </w:rPr>
        <w:t xml:space="preserve"> </w:t>
      </w:r>
      <w:r w:rsidR="0024091A" w:rsidRPr="0007237C">
        <w:t xml:space="preserve">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may be used</w:t>
      </w:r>
      <w:r w:rsidR="0024091A" w:rsidRPr="0007237C">
        <w:rPr>
          <w:i/>
        </w:rPr>
        <w:t>.</w:t>
      </w:r>
      <w:r w:rsidR="0024091A" w:rsidRPr="0007237C">
        <w:t xml:space="preserve"> Acute toxicity data are the most readily available and the tests used are the most standardized.</w:t>
      </w:r>
      <w:r w:rsidRPr="0007237C">
        <w:t>”</w:t>
      </w:r>
    </w:p>
    <w:p w14:paraId="013B1F11" w14:textId="77777777" w:rsidR="0024091A" w:rsidRPr="0007237C" w:rsidRDefault="0024091A" w:rsidP="00137EE2">
      <w:pPr>
        <w:pStyle w:val="H1G"/>
      </w:pPr>
      <w:r w:rsidRPr="0007237C">
        <w:t>Annex 9</w:t>
      </w:r>
    </w:p>
    <w:p w14:paraId="1A6ED723" w14:textId="269A7579" w:rsidR="0079209A" w:rsidRPr="0007237C" w:rsidRDefault="0079209A" w:rsidP="0079209A">
      <w:pPr>
        <w:pStyle w:val="SingleTxtG"/>
        <w:tabs>
          <w:tab w:val="left" w:pos="1134"/>
        </w:tabs>
        <w:ind w:left="0"/>
      </w:pPr>
      <w:r w:rsidRPr="0007237C">
        <w:t>A9.4.3.5.1</w:t>
      </w:r>
      <w:r w:rsidRPr="0007237C">
        <w:tab/>
        <w:t>Amend as shown:</w:t>
      </w:r>
    </w:p>
    <w:p w14:paraId="6ED42F4F" w14:textId="3B0A9429" w:rsidR="0024091A" w:rsidRPr="0007237C" w:rsidRDefault="0079209A" w:rsidP="0079209A">
      <w:pPr>
        <w:pStyle w:val="SingleTxtG"/>
      </w:pPr>
      <w:r w:rsidRPr="0007237C">
        <w:t>“</w:t>
      </w:r>
      <w:r w:rsidR="0024091A" w:rsidRPr="0007237C">
        <w:t>A9.4.3.5.1</w:t>
      </w:r>
      <w:r w:rsidR="0024091A" w:rsidRPr="0007237C">
        <w:tab/>
        <w:t xml:space="preserve">The situation where more degradation data are available for the same substance introduces the possibility of conflicting results. In general, conflicting results for a substance which has been tested several times with an appropriate biodegradability test could be interpreted by a </w:t>
      </w:r>
      <w:r w:rsidR="0024091A" w:rsidRPr="0007237C">
        <w:rPr>
          <w:strike/>
        </w:rPr>
        <w:t>“</w:t>
      </w:r>
      <w:r w:rsidR="0024091A" w:rsidRPr="0007237C">
        <w:t xml:space="preserve">weight of evidence </w:t>
      </w:r>
      <w:r w:rsidR="0024091A" w:rsidRPr="0007237C">
        <w:rPr>
          <w:strike/>
        </w:rPr>
        <w:t>approach</w:t>
      </w:r>
      <w:r w:rsidR="0024091A" w:rsidRPr="0007237C">
        <w:t xml:space="preserve"> </w:t>
      </w:r>
      <w:r w:rsidR="0024091A" w:rsidRPr="0007237C">
        <w:rPr>
          <w:u w:val="single"/>
        </w:rPr>
        <w:t>assessment</w:t>
      </w:r>
      <w:r w:rsidR="0024091A" w:rsidRPr="0007237C">
        <w:rPr>
          <w:strike/>
        </w:rPr>
        <w:t>”</w:t>
      </w:r>
      <w:r w:rsidR="0024091A" w:rsidRPr="0007237C">
        <w:t>. This implies that if both positive (</w:t>
      </w:r>
      <w:proofErr w:type="gramStart"/>
      <w:r w:rsidR="0024091A" w:rsidRPr="0007237C">
        <w:t>i.e.</w:t>
      </w:r>
      <w:proofErr w:type="gramEnd"/>
      <w:r w:rsidR="0024091A" w:rsidRPr="0007237C">
        <w:t xml:space="preserve"> higher degradation than the pass level) and negative results have been obtained for a substance in ready biodegradability tests, then the data of the highest quality and the best documentation should be used for determining the ready biodegradability of the substance. However, positive results in ready biodegradability tests could be considered valid, irrespective of negative results, when the scientific quality is good and the test conditions are well documented, </w:t>
      </w:r>
      <w:proofErr w:type="gramStart"/>
      <w:r w:rsidR="0024091A" w:rsidRPr="0007237C">
        <w:t>i.e.</w:t>
      </w:r>
      <w:proofErr w:type="gramEnd"/>
      <w:r w:rsidR="0024091A" w:rsidRPr="0007237C">
        <w:t xml:space="preserve"> guideline criteria are fulfilled, including the use of non-pre-exposed (non-adapted) inoculum. None of the various screening tests are suitable for the testing of all types of substances, and results obtained </w:t>
      </w:r>
      <w:proofErr w:type="gramStart"/>
      <w:r w:rsidR="0024091A" w:rsidRPr="0007237C">
        <w:t>by the use of</w:t>
      </w:r>
      <w:proofErr w:type="gramEnd"/>
      <w:r w:rsidR="0024091A" w:rsidRPr="0007237C">
        <w:t xml:space="preserve"> a test procedure which is not suitable for the specific substance should be evaluated carefully before a decision on the use is taken.</w:t>
      </w:r>
      <w:r w:rsidRPr="0007237C">
        <w:t>”</w:t>
      </w:r>
    </w:p>
    <w:p w14:paraId="3B47F543" w14:textId="3B03865B" w:rsidR="0079209A" w:rsidRPr="0007237C" w:rsidRDefault="0079209A" w:rsidP="0079209A">
      <w:pPr>
        <w:pStyle w:val="SingleTxtG"/>
        <w:tabs>
          <w:tab w:val="left" w:pos="1134"/>
        </w:tabs>
        <w:ind w:left="0"/>
      </w:pPr>
      <w:r w:rsidRPr="0007237C">
        <w:t>A9.4.3.6</w:t>
      </w:r>
      <w:r w:rsidRPr="0007237C">
        <w:tab/>
        <w:t>Amend as shown:</w:t>
      </w:r>
    </w:p>
    <w:p w14:paraId="5D27D0F3" w14:textId="0C873B88" w:rsidR="0024091A" w:rsidRPr="0007237C" w:rsidRDefault="0079209A" w:rsidP="0079209A">
      <w:pPr>
        <w:pStyle w:val="SingleTxtG"/>
        <w:ind w:left="414" w:firstLine="720"/>
        <w:rPr>
          <w:sz w:val="24"/>
          <w:szCs w:val="24"/>
        </w:rPr>
      </w:pPr>
      <w:r w:rsidRPr="0007237C">
        <w:t>“</w:t>
      </w:r>
      <w:r w:rsidR="0024091A" w:rsidRPr="0007237C">
        <w:t>A9.4.3.6</w:t>
      </w:r>
      <w:r w:rsidR="0024091A" w:rsidRPr="0007237C">
        <w:tab/>
        <w:t>Variation in simulation test data</w:t>
      </w:r>
    </w:p>
    <w:p w14:paraId="5B87DFCE" w14:textId="106745AE" w:rsidR="0024091A" w:rsidRPr="0007237C" w:rsidRDefault="0024091A" w:rsidP="0079209A">
      <w:pPr>
        <w:pStyle w:val="SingleTxtG"/>
        <w:tabs>
          <w:tab w:val="left" w:pos="2127"/>
        </w:tabs>
        <w:rPr>
          <w:b/>
        </w:rPr>
      </w:pPr>
      <w:r w:rsidRPr="0007237C">
        <w:rPr>
          <w:b/>
        </w:rPr>
        <w:tab/>
      </w:r>
      <w:proofErr w:type="gramStart"/>
      <w:r w:rsidRPr="0007237C">
        <w:t>A number of</w:t>
      </w:r>
      <w:proofErr w:type="gramEnd"/>
      <w:r w:rsidRPr="0007237C">
        <w:t xml:space="preserve"> simulation test data may be available for certain high priority chemicals. Often such data provide a range of </w:t>
      </w:r>
      <w:r w:rsidR="000516D7" w:rsidRPr="0007237C">
        <w:t>half-lives</w:t>
      </w:r>
      <w:r w:rsidRPr="0007237C">
        <w:t xml:space="preserve"> in environmental media such as soil, sediment and/or surface water. The observed differences in half-lives from simulation tests performed on the same substance may reflect differences in test conditions, all of which may be environmentally relevant. A suitable </w:t>
      </w:r>
      <w:r w:rsidR="000516D7" w:rsidRPr="0007237C">
        <w:t>half-life</w:t>
      </w:r>
      <w:r w:rsidRPr="0007237C">
        <w:t xml:space="preserve"> in the higher end of the observed range of </w:t>
      </w:r>
      <w:r w:rsidR="000516D7" w:rsidRPr="0007237C">
        <w:t>half-lives</w:t>
      </w:r>
      <w:r w:rsidRPr="0007237C">
        <w:t xml:space="preserve"> from such investigations should be selected for classification by employing a weight of evidence </w:t>
      </w:r>
      <w:r w:rsidRPr="0007237C">
        <w:rPr>
          <w:strike/>
        </w:rPr>
        <w:t>approach</w:t>
      </w:r>
      <w:r w:rsidRPr="0007237C">
        <w:t xml:space="preserve"> </w:t>
      </w:r>
      <w:r w:rsidRPr="0007237C">
        <w:rPr>
          <w:u w:val="single"/>
        </w:rPr>
        <w:t>assessment</w:t>
      </w:r>
      <w:r w:rsidRPr="0007237C">
        <w:t xml:space="preserve"> and taking the realism and relevance of the employed tests into account in relation to environmental conditions. In general, simulation test data of surface water are preferred relative to aquatic sediment or soil simulation test data in relation to the evaluation of rapid degradability in the aquatic environment.</w:t>
      </w:r>
      <w:r w:rsidR="0079209A" w:rsidRPr="0007237C">
        <w:t>”</w:t>
      </w:r>
      <w:r w:rsidRPr="0007237C">
        <w:t xml:space="preserve"> </w:t>
      </w:r>
    </w:p>
    <w:p w14:paraId="7D662AEF" w14:textId="5A15DB3A" w:rsidR="0079209A" w:rsidRPr="0007237C" w:rsidRDefault="0079209A" w:rsidP="0079209A">
      <w:pPr>
        <w:tabs>
          <w:tab w:val="left" w:pos="1134"/>
        </w:tabs>
        <w:spacing w:after="240"/>
        <w:rPr>
          <w:bCs/>
        </w:rPr>
      </w:pPr>
      <w:r w:rsidRPr="0007237C">
        <w:rPr>
          <w:bCs/>
        </w:rPr>
        <w:t>A9.5.4.1</w:t>
      </w:r>
      <w:r w:rsidRPr="0007237C">
        <w:rPr>
          <w:bCs/>
        </w:rPr>
        <w:tab/>
      </w:r>
      <w:r w:rsidRPr="0007237C">
        <w:t>Amend as shown:</w:t>
      </w:r>
    </w:p>
    <w:p w14:paraId="06A1C066" w14:textId="313627C6" w:rsidR="0024091A" w:rsidRPr="0007237C" w:rsidRDefault="0079209A" w:rsidP="0079209A">
      <w:pPr>
        <w:pStyle w:val="SingleTxtG"/>
      </w:pPr>
      <w:r w:rsidRPr="0007237C">
        <w:t>“</w:t>
      </w:r>
      <w:r w:rsidR="0024091A" w:rsidRPr="0007237C">
        <w:t>A9.5.4.1</w:t>
      </w:r>
      <w:r w:rsidR="0024091A" w:rsidRPr="0007237C">
        <w:tab/>
        <w:t>Conflicting BCF data</w:t>
      </w:r>
    </w:p>
    <w:p w14:paraId="065EC560" w14:textId="126B8F19" w:rsidR="0024091A" w:rsidRDefault="0024091A" w:rsidP="0079209A">
      <w:pPr>
        <w:pStyle w:val="SingleTxtG"/>
        <w:tabs>
          <w:tab w:val="left" w:pos="2268"/>
        </w:tabs>
      </w:pPr>
      <w:r w:rsidRPr="0007237C">
        <w:tab/>
        <w:t xml:space="preserve">In situations where multiple BCF data are available for the same substance, the possibility of conflicting results might arise. In general, conflicting results for a substance, which has been tested several times with an appropriate bioconcentration test, should be interpreted by a </w:t>
      </w:r>
      <w:r w:rsidRPr="0007237C">
        <w:rPr>
          <w:strike/>
        </w:rPr>
        <w:t>“</w:t>
      </w:r>
      <w:r w:rsidRPr="0007237C">
        <w:t xml:space="preserve">weight of evidence </w:t>
      </w:r>
      <w:r w:rsidRPr="0007237C">
        <w:rPr>
          <w:strike/>
        </w:rPr>
        <w:t>approach</w:t>
      </w:r>
      <w:r w:rsidRPr="0007237C">
        <w:t xml:space="preserve"> </w:t>
      </w:r>
      <w:r w:rsidRPr="0007237C">
        <w:rPr>
          <w:u w:val="single"/>
        </w:rPr>
        <w:t>assessment</w:t>
      </w:r>
      <w:r w:rsidRPr="0007237C">
        <w:rPr>
          <w:strike/>
        </w:rPr>
        <w:t>”</w:t>
      </w:r>
      <w:r w:rsidRPr="0007237C">
        <w:t xml:space="preserve">. This implies that if experimental determined BCF data, both </w:t>
      </w:r>
      <w:r w:rsidRPr="0007237C">
        <w:fldChar w:fldCharType="begin"/>
      </w:r>
      <w:r w:rsidRPr="0007237C">
        <w:instrText>SYMBOL 179 \f "Symbol" \s 11</w:instrText>
      </w:r>
      <w:r w:rsidRPr="0007237C">
        <w:fldChar w:fldCharType="separate"/>
      </w:r>
      <w:r w:rsidRPr="0007237C">
        <w:t>³</w:t>
      </w:r>
      <w:r w:rsidRPr="0007237C">
        <w:fldChar w:fldCharType="end"/>
      </w:r>
      <w:r w:rsidRPr="0007237C">
        <w:t xml:space="preserve"> and &lt; 500, have been obtained for a substance the data of the highest quality and with the best documentation should be used for determining the bioconcentration potential of the substance. If differences still remain, if </w:t>
      </w:r>
      <w:proofErr w:type="gramStart"/>
      <w:r w:rsidRPr="0007237C">
        <w:t>e.g.</w:t>
      </w:r>
      <w:proofErr w:type="gramEnd"/>
      <w:r w:rsidRPr="0007237C">
        <w:t xml:space="preserve"> high-quality BCF values for different fish species are available, generally the highest valid value should be used as the basis for classification.</w:t>
      </w:r>
      <w:r w:rsidR="0079209A" w:rsidRPr="0007237C">
        <w:t>”</w:t>
      </w:r>
    </w:p>
    <w:p w14:paraId="2CDAC640" w14:textId="77777777" w:rsidR="003E31AB" w:rsidRPr="0007237C" w:rsidRDefault="003E31AB" w:rsidP="00137EE2">
      <w:pPr>
        <w:pStyle w:val="H1G"/>
      </w:pPr>
      <w:r w:rsidRPr="0007237C">
        <w:t>Chapter 3.4</w:t>
      </w:r>
    </w:p>
    <w:p w14:paraId="0DB92817" w14:textId="158936C4" w:rsidR="00B35D8D" w:rsidRPr="004537F8" w:rsidRDefault="00B35D8D" w:rsidP="004537F8">
      <w:pPr>
        <w:pStyle w:val="SingleTxtG"/>
        <w:rPr>
          <w:i/>
          <w:iCs/>
        </w:rPr>
      </w:pPr>
      <w:r w:rsidRPr="004537F8">
        <w:rPr>
          <w:i/>
          <w:iCs/>
        </w:rPr>
        <w:t>The following proposed amendments related to Issue 1 are only needed if the Non-animal Test Methods Working Group’s proposal to amend the hazard class Skin Sensitization in Chapter 3.4 are not adopted</w:t>
      </w:r>
      <w:r w:rsidR="004537F8" w:rsidRPr="004537F8">
        <w:rPr>
          <w:i/>
          <w:iCs/>
        </w:rPr>
        <w:t>.</w:t>
      </w:r>
    </w:p>
    <w:p w14:paraId="41B3DA58" w14:textId="06E3AD1F" w:rsidR="00B35D8D" w:rsidRPr="003E31AB" w:rsidRDefault="00B35D8D" w:rsidP="00B35D8D">
      <w:pPr>
        <w:pStyle w:val="SingleTxtG"/>
        <w:tabs>
          <w:tab w:val="left" w:pos="1134"/>
        </w:tabs>
        <w:ind w:left="0"/>
      </w:pPr>
      <w:r w:rsidRPr="003E31AB">
        <w:t>3.4.2.2.1.3</w:t>
      </w:r>
      <w:r w:rsidRPr="003E31AB">
        <w:tab/>
        <w:t>Amend as shown:</w:t>
      </w:r>
    </w:p>
    <w:p w14:paraId="2BCC3C55" w14:textId="77777777" w:rsidR="00B35D8D" w:rsidRPr="003E31AB" w:rsidRDefault="00B35D8D" w:rsidP="00B35D8D">
      <w:pPr>
        <w:pStyle w:val="SingleTxtG"/>
      </w:pPr>
      <w:r w:rsidRPr="003E31AB">
        <w:t>“3.4.2.2.1.3</w:t>
      </w:r>
      <w:r w:rsidRPr="003E31AB">
        <w:tab/>
        <w:t xml:space="preserve">Effects seen in either humans or animals will normally justify classification in a weight of evidence </w:t>
      </w:r>
      <w:r w:rsidRPr="003E31AB">
        <w:rPr>
          <w:strike/>
        </w:rPr>
        <w:t>approach</w:t>
      </w:r>
      <w:r w:rsidRPr="003E31AB">
        <w:t xml:space="preserve"> </w:t>
      </w:r>
      <w:r w:rsidRPr="003E31AB">
        <w:rPr>
          <w:u w:val="single"/>
        </w:rPr>
        <w:t>assessment</w:t>
      </w:r>
      <w:r w:rsidRPr="003E31AB">
        <w:t xml:space="preserve"> for skin sensitizers as described in 3.4.2.2.2. Substances may be allocated to one of the two sub-categories 1A or 1B using a weight of evidence </w:t>
      </w:r>
      <w:r w:rsidRPr="003E31AB">
        <w:rPr>
          <w:strike/>
        </w:rPr>
        <w:t>approach</w:t>
      </w:r>
      <w:r w:rsidRPr="003E31AB">
        <w:t xml:space="preserve"> </w:t>
      </w:r>
      <w:r w:rsidRPr="003E31AB">
        <w:rPr>
          <w:u w:val="single"/>
        </w:rPr>
        <w:t>assessment</w:t>
      </w:r>
      <w:r w:rsidRPr="003E31AB">
        <w:t xml:space="preserve"> in accordance with the criteria given in Table 3.4.2 and </w:t>
      </w:r>
      <w:proofErr w:type="gramStart"/>
      <w:r w:rsidRPr="003E31AB">
        <w:t>on the basis of</w:t>
      </w:r>
      <w:proofErr w:type="gramEnd"/>
      <w:r w:rsidRPr="003E31AB">
        <w:t xml:space="preserve"> reliable and good quality evidence from human cases or epidemiological studies and/or observations from appropriate studies in experimental animals according to the guidance values provided in 3.4.2.2.2.1 and 3.4.2.2.3.2 for sub-category 1A and in 3.4.2.2.2.2 and 3.4.2.2.3.3 for sub-category 1B.”</w:t>
      </w:r>
    </w:p>
    <w:p w14:paraId="553364F7" w14:textId="6856E598" w:rsidR="00B35D8D" w:rsidRPr="003E31AB" w:rsidRDefault="00B35D8D" w:rsidP="00B35D8D">
      <w:pPr>
        <w:pStyle w:val="SingleTxtG"/>
        <w:tabs>
          <w:tab w:val="left" w:pos="1134"/>
        </w:tabs>
        <w:ind w:left="0"/>
      </w:pPr>
      <w:r w:rsidRPr="003E31AB">
        <w:t>3.4.2.2.4.1</w:t>
      </w:r>
      <w:r w:rsidRPr="003E31AB">
        <w:tab/>
        <w:t>Amend as shown:</w:t>
      </w:r>
    </w:p>
    <w:p w14:paraId="2843C597" w14:textId="43A69D98" w:rsidR="00DE594E" w:rsidRDefault="00B35D8D" w:rsidP="007D1CD7">
      <w:pPr>
        <w:pStyle w:val="SingleTxtG"/>
      </w:pPr>
      <w:r w:rsidRPr="003E31AB">
        <w:t>“3.4.2.2.4.1</w:t>
      </w:r>
      <w:r w:rsidRPr="003E31AB">
        <w:tab/>
        <w:t xml:space="preserve">For classification of a substance, evidence should include any or all of the following </w:t>
      </w:r>
      <w:r w:rsidRPr="003E31AB">
        <w:rPr>
          <w:strike/>
        </w:rPr>
        <w:t>using</w:t>
      </w:r>
      <w:r w:rsidRPr="003E31AB">
        <w:t xml:space="preserve"> </w:t>
      </w:r>
      <w:r w:rsidRPr="003E31AB">
        <w:rPr>
          <w:u w:val="single"/>
        </w:rPr>
        <w:t>in</w:t>
      </w:r>
      <w:r w:rsidRPr="003E31AB">
        <w:t xml:space="preserve"> a weight of evidence </w:t>
      </w:r>
      <w:r w:rsidRPr="003E31AB">
        <w:rPr>
          <w:strike/>
        </w:rPr>
        <w:t>approach</w:t>
      </w:r>
      <w:r w:rsidRPr="003E31AB">
        <w:t xml:space="preserve"> </w:t>
      </w:r>
      <w:r w:rsidRPr="003E31AB">
        <w:rPr>
          <w:u w:val="single"/>
        </w:rPr>
        <w:t>assessment</w:t>
      </w:r>
      <w:r w:rsidRPr="003E31AB">
        <w:t>:”</w:t>
      </w:r>
    </w:p>
    <w:p w14:paraId="2EEC4E4F" w14:textId="77777777" w:rsidR="007242AA" w:rsidRDefault="007242AA" w:rsidP="00C35D54">
      <w:pPr>
        <w:pStyle w:val="HMG"/>
        <w:spacing w:before="0" w:after="0" w:line="240" w:lineRule="auto"/>
        <w:ind w:left="0" w:firstLine="0"/>
        <w:rPr>
          <w:bCs/>
          <w:sz w:val="28"/>
          <w:szCs w:val="28"/>
        </w:rPr>
      </w:pPr>
    </w:p>
    <w:p w14:paraId="243EF2B9" w14:textId="54F0A4BA" w:rsidR="00CC5877" w:rsidRPr="008312D4" w:rsidRDefault="00CC5877" w:rsidP="00C35D54">
      <w:pPr>
        <w:pStyle w:val="HMG"/>
        <w:spacing w:before="0" w:after="0" w:line="240" w:lineRule="auto"/>
        <w:ind w:left="0" w:firstLine="0"/>
        <w:rPr>
          <w:bCs/>
          <w:sz w:val="28"/>
          <w:szCs w:val="28"/>
        </w:rPr>
      </w:pPr>
      <w:r w:rsidRPr="008312D4">
        <w:rPr>
          <w:bCs/>
          <w:sz w:val="28"/>
          <w:szCs w:val="28"/>
        </w:rPr>
        <w:t>Proposed amendments to address Item 2</w:t>
      </w:r>
    </w:p>
    <w:p w14:paraId="0F7C2D1B" w14:textId="1F23B641" w:rsidR="009C7B7F" w:rsidRDefault="00DE594E" w:rsidP="00137EE2">
      <w:pPr>
        <w:pStyle w:val="SingleTxtG"/>
        <w:spacing w:before="240"/>
      </w:pPr>
      <w:r w:rsidRPr="00137EE2">
        <w:t>Clarify in paragraphs 3.2.2.8.1, 3.3.2.10.1 and 3.3.5.3.4.2</w:t>
      </w:r>
      <w:r w:rsidR="00323E70" w:rsidRPr="00137EE2">
        <w:t xml:space="preserve"> </w:t>
      </w:r>
      <w:r w:rsidR="00AE6AE8" w:rsidRPr="00137EE2">
        <w:t>(</w:t>
      </w:r>
      <w:r w:rsidR="007265D0" w:rsidRPr="00137EE2">
        <w:t>as provisionally adopted by the Sub-Committee at its fortieth session (see ST/SG/AC.10/C.4/80</w:t>
      </w:r>
      <w:r w:rsidR="004537F8">
        <w:t>)</w:t>
      </w:r>
      <w:r w:rsidR="00137EE2" w:rsidRPr="00137EE2">
        <w:t xml:space="preserve"> and consolidated in ST/SG/AC.10/C.4/2022/13</w:t>
      </w:r>
      <w:r w:rsidR="007265D0" w:rsidRPr="00137EE2">
        <w:t>)</w:t>
      </w:r>
      <w:r w:rsidR="00AE6AE8" w:rsidRPr="00137EE2">
        <w:t xml:space="preserve"> </w:t>
      </w:r>
      <w:r w:rsidRPr="00137EE2">
        <w:t>the meaning of the term “elements”</w:t>
      </w:r>
      <w:r w:rsidR="00AE6AE8" w:rsidRPr="00137EE2">
        <w:t>.</w:t>
      </w:r>
      <w:r w:rsidRPr="00137EE2">
        <w:t xml:space="preserve"> </w:t>
      </w:r>
    </w:p>
    <w:p w14:paraId="3BA2929B" w14:textId="148855C4" w:rsidR="00797CE1" w:rsidRPr="00ED445B" w:rsidRDefault="00797CE1" w:rsidP="00BE105F">
      <w:pPr>
        <w:tabs>
          <w:tab w:val="left" w:pos="1418"/>
        </w:tabs>
        <w:spacing w:after="240"/>
        <w:ind w:left="1134" w:right="1041" w:hanging="1134"/>
        <w:jc w:val="both"/>
      </w:pPr>
      <w:r w:rsidRPr="00ED445B">
        <w:t>3.2.</w:t>
      </w:r>
      <w:r w:rsidRPr="000A57E7">
        <w:t>2.8.</w:t>
      </w:r>
      <w:r w:rsidRPr="00ED445B">
        <w:t>1</w:t>
      </w:r>
      <w:r w:rsidRPr="00ED445B">
        <w:tab/>
        <w:t xml:space="preserve">A tiered approach to the evaluation of </w:t>
      </w:r>
      <w:r w:rsidRPr="00751EFA">
        <w:rPr>
          <w:strike/>
        </w:rPr>
        <w:t xml:space="preserve">initial </w:t>
      </w:r>
      <w:r w:rsidRPr="00ED445B">
        <w:t xml:space="preserve">information should be considered, where applicable (Figure 3.2.1), recognising that not all </w:t>
      </w:r>
      <w:proofErr w:type="gramStart"/>
      <w:r w:rsidRPr="00D651C0">
        <w:rPr>
          <w:strike/>
        </w:rPr>
        <w:t>elements</w:t>
      </w:r>
      <w:proofErr w:type="gramEnd"/>
      <w:r w:rsidRPr="00ED445B">
        <w:t xml:space="preserve"> </w:t>
      </w:r>
      <w:r w:rsidRPr="00D651C0">
        <w:rPr>
          <w:u w:val="single"/>
        </w:rPr>
        <w:t>tiers as well as information within a tier</w:t>
      </w:r>
      <w:r w:rsidRPr="00ED445B">
        <w:t xml:space="preserve"> may be relevant. However, all available and relevant information of sufficient quality needs to be examined for consistency with respect to the resulting classification.</w:t>
      </w:r>
    </w:p>
    <w:p w14:paraId="66DF20C5" w14:textId="4D4EFB3F" w:rsidR="00797CE1" w:rsidRPr="000A57E7" w:rsidRDefault="00797CE1" w:rsidP="00F97CAC">
      <w:pPr>
        <w:pStyle w:val="Default"/>
        <w:tabs>
          <w:tab w:val="left" w:pos="1418"/>
          <w:tab w:val="left" w:pos="2268"/>
        </w:tabs>
        <w:spacing w:after="240"/>
        <w:ind w:left="1134" w:right="1041" w:hanging="1134"/>
        <w:jc w:val="both"/>
        <w:rPr>
          <w:color w:val="auto"/>
          <w:sz w:val="20"/>
          <w:szCs w:val="20"/>
          <w:lang w:val="en-GB"/>
        </w:rPr>
      </w:pPr>
      <w:r w:rsidRPr="00BF6225">
        <w:rPr>
          <w:color w:val="000000" w:themeColor="text1"/>
          <w:sz w:val="20"/>
          <w:szCs w:val="20"/>
          <w:lang w:val="en-GB"/>
        </w:rPr>
        <w:t>3.3.2.10.1</w:t>
      </w:r>
      <w:r w:rsidRPr="00ED445B">
        <w:rPr>
          <w:sz w:val="20"/>
          <w:szCs w:val="20"/>
          <w:lang w:val="en-GB"/>
        </w:rPr>
        <w:tab/>
        <w:t xml:space="preserve">A tiered approach to the evaluation of </w:t>
      </w:r>
      <w:r w:rsidRPr="00751EFA">
        <w:rPr>
          <w:strike/>
          <w:sz w:val="20"/>
          <w:szCs w:val="20"/>
          <w:lang w:val="en-GB"/>
        </w:rPr>
        <w:t>initial</w:t>
      </w:r>
      <w:r w:rsidRPr="00ED445B">
        <w:rPr>
          <w:sz w:val="20"/>
          <w:szCs w:val="20"/>
          <w:lang w:val="en-GB"/>
        </w:rPr>
        <w:t xml:space="preserve"> information should be considered, where applicable (Figure 3.3.1), recognizing that not all</w:t>
      </w:r>
      <w:r w:rsidRPr="00ED445B">
        <w:rPr>
          <w:color w:val="FF0000"/>
          <w:sz w:val="20"/>
          <w:szCs w:val="20"/>
          <w:lang w:val="en-GB"/>
        </w:rPr>
        <w:t xml:space="preserve"> </w:t>
      </w:r>
      <w:proofErr w:type="gramStart"/>
      <w:r w:rsidRPr="00D651C0">
        <w:rPr>
          <w:strike/>
          <w:sz w:val="20"/>
          <w:szCs w:val="20"/>
          <w:lang w:val="en-GB"/>
        </w:rPr>
        <w:t>elements</w:t>
      </w:r>
      <w:proofErr w:type="gramEnd"/>
      <w:r w:rsidRPr="00ED445B">
        <w:rPr>
          <w:sz w:val="20"/>
          <w:szCs w:val="20"/>
          <w:lang w:val="en-GB"/>
        </w:rPr>
        <w:t xml:space="preserve"> </w:t>
      </w:r>
      <w:r w:rsidRPr="00D651C0">
        <w:rPr>
          <w:sz w:val="20"/>
          <w:szCs w:val="20"/>
          <w:u w:val="single"/>
        </w:rPr>
        <w:t>tiers as well as information within a tier</w:t>
      </w:r>
      <w:r w:rsidRPr="00ED445B">
        <w:rPr>
          <w:sz w:val="20"/>
          <w:szCs w:val="20"/>
        </w:rPr>
        <w:t xml:space="preserve"> </w:t>
      </w:r>
      <w:r w:rsidRPr="00ED445B">
        <w:rPr>
          <w:sz w:val="20"/>
          <w:szCs w:val="20"/>
          <w:lang w:val="en-GB"/>
        </w:rPr>
        <w:t xml:space="preserve">may be relevant. </w:t>
      </w:r>
      <w:r w:rsidRPr="000A57E7">
        <w:rPr>
          <w:color w:val="auto"/>
          <w:sz w:val="20"/>
          <w:szCs w:val="20"/>
          <w:lang w:val="en-GB"/>
        </w:rPr>
        <w:t>However, all available and relevant information of sufficient quality needs to be examined for consistency with respect to the resulting classification.</w:t>
      </w:r>
    </w:p>
    <w:p w14:paraId="73531244" w14:textId="6A097ED2" w:rsidR="007242AA" w:rsidRDefault="00797CE1" w:rsidP="00F97CAC">
      <w:pPr>
        <w:tabs>
          <w:tab w:val="left" w:pos="1418"/>
          <w:tab w:val="left" w:pos="2268"/>
        </w:tabs>
        <w:spacing w:after="240"/>
        <w:ind w:left="1134" w:right="1041" w:hanging="1134"/>
        <w:jc w:val="both"/>
        <w:rPr>
          <w:bCs/>
          <w:sz w:val="28"/>
          <w:szCs w:val="28"/>
        </w:rPr>
      </w:pPr>
      <w:r w:rsidRPr="000A57E7">
        <w:t>3.3.5.3.4.2</w:t>
      </w:r>
      <w:r w:rsidRPr="000A57E7">
        <w:tab/>
        <w:t xml:space="preserve">A stepwise approach to the evaluation of information derived from Tier 2 of Figure 3.3.1, </w:t>
      </w:r>
      <w:proofErr w:type="gramStart"/>
      <w:r w:rsidRPr="000A57E7">
        <w:t>i.e.</w:t>
      </w:r>
      <w:proofErr w:type="gramEnd"/>
      <w:r w:rsidRPr="000A57E7">
        <w:t xml:space="preserve"> defined approaches and/or </w:t>
      </w:r>
      <w:r w:rsidRPr="000A57E7">
        <w:rPr>
          <w:i/>
        </w:rPr>
        <w:t>in vitro</w:t>
      </w:r>
      <w:r w:rsidRPr="000A57E7">
        <w:t>/</w:t>
      </w:r>
      <w:r w:rsidRPr="000A57E7">
        <w:rPr>
          <w:i/>
        </w:rPr>
        <w:t>ex vivo</w:t>
      </w:r>
      <w:r w:rsidRPr="000A57E7">
        <w:t xml:space="preserve"> test methods, should be considered where applicable (Figure 3.3.3), recognizing that not all </w:t>
      </w:r>
      <w:r w:rsidRPr="000A57E7">
        <w:rPr>
          <w:strike/>
        </w:rPr>
        <w:t>elements</w:t>
      </w:r>
      <w:r w:rsidRPr="000A57E7">
        <w:t xml:space="preserve"> </w:t>
      </w:r>
      <w:r w:rsidRPr="000A57E7">
        <w:rPr>
          <w:u w:val="single"/>
        </w:rPr>
        <w:t>tiers as well as information within a tier</w:t>
      </w:r>
      <w:r w:rsidRPr="000A57E7">
        <w:t xml:space="preserve"> may be relevant. However, all available and relevant information of sufficient quality needs to be examined for consistency with respect to the resulting classification. The outcome of a defined approach containing conclusive animal and/or human data may also eventually be considered during the overall weight of evidence in Tier 7 (see Figure 3.3.1). Where information from several steps is inconsistent and/or conflicting with respect to the resulting classification, information of sufficient quality from a higher step is generally given a higher weight than information from a lower step. However, when information from a lower step would result in a stricter classification than information from a higher step and there is concern for misclassification, then classification is determined by a within-tier weight of evidence assessment. For example, classifiers concerned with a negative result for serious eye damage in a defined approach when there is a positive result for serious eye damage in an </w:t>
      </w:r>
      <w:r w:rsidRPr="000A57E7">
        <w:rPr>
          <w:i/>
        </w:rPr>
        <w:t>in vitro</w:t>
      </w:r>
      <w:r w:rsidRPr="000A57E7">
        <w:t>/</w:t>
      </w:r>
      <w:r w:rsidRPr="000A57E7">
        <w:rPr>
          <w:i/>
        </w:rPr>
        <w:t>ex vivo</w:t>
      </w:r>
      <w:r w:rsidRPr="000A57E7">
        <w:t xml:space="preserve"> method would utilise a within-tier weight of evidence assessment.</w:t>
      </w:r>
    </w:p>
    <w:p w14:paraId="2FA60E85" w14:textId="2CF5F8B5" w:rsidR="00BA0B5B" w:rsidRDefault="00CC5877" w:rsidP="00F97CAC">
      <w:pPr>
        <w:pStyle w:val="HMG"/>
        <w:spacing w:before="0" w:after="0" w:line="240" w:lineRule="auto"/>
        <w:ind w:left="0" w:firstLine="0"/>
        <w:rPr>
          <w:bCs/>
          <w:sz w:val="28"/>
          <w:szCs w:val="28"/>
        </w:rPr>
      </w:pPr>
      <w:r>
        <w:rPr>
          <w:bCs/>
          <w:sz w:val="28"/>
          <w:szCs w:val="28"/>
        </w:rPr>
        <w:t xml:space="preserve">Proposed amendments to address Item </w:t>
      </w:r>
      <w:r w:rsidR="00BA0B5B">
        <w:rPr>
          <w:bCs/>
          <w:sz w:val="28"/>
          <w:szCs w:val="28"/>
        </w:rPr>
        <w:t>4</w:t>
      </w:r>
    </w:p>
    <w:p w14:paraId="342F6C92" w14:textId="127A3936" w:rsidR="00E66413" w:rsidRPr="00BF6225" w:rsidRDefault="007F38C1" w:rsidP="00F97CAC">
      <w:pPr>
        <w:pStyle w:val="SingleTxtG"/>
        <w:keepNext/>
        <w:keepLines/>
        <w:spacing w:before="240"/>
      </w:pPr>
      <w:r w:rsidRPr="00BF6225">
        <w:t>Clarify in paragraphs 3.2.3.3.1 and 3.3.3.3.1 that the use of the term “tiered approach” is referring to the mixture tiered approach and not the substance tiered approach</w:t>
      </w:r>
      <w:r w:rsidR="00BF6225">
        <w:t>.</w:t>
      </w:r>
    </w:p>
    <w:p w14:paraId="4F607FA2" w14:textId="77777777" w:rsidR="0024091A" w:rsidRPr="0007237C" w:rsidRDefault="0024091A" w:rsidP="00F97CAC">
      <w:pPr>
        <w:pStyle w:val="H1G"/>
      </w:pPr>
      <w:r w:rsidRPr="0007237C">
        <w:t>Chapter 3.2</w:t>
      </w:r>
    </w:p>
    <w:p w14:paraId="646177F9" w14:textId="07A2E8D7" w:rsidR="00EF7D84" w:rsidRPr="0007237C" w:rsidRDefault="00EF7D84" w:rsidP="00F97CAC">
      <w:pPr>
        <w:pStyle w:val="SingleTxtG"/>
        <w:keepNext/>
        <w:keepLines/>
        <w:tabs>
          <w:tab w:val="left" w:pos="1134"/>
        </w:tabs>
        <w:ind w:left="0"/>
      </w:pPr>
      <w:r w:rsidRPr="0007237C">
        <w:t>3.2.3.3.1</w:t>
      </w:r>
      <w:r w:rsidRPr="0007237C">
        <w:tab/>
        <w:t>Amend as shown:</w:t>
      </w:r>
    </w:p>
    <w:p w14:paraId="440D3DD9" w14:textId="2A755F89" w:rsidR="0024091A" w:rsidRPr="0007237C" w:rsidRDefault="00EF7D84" w:rsidP="00EF7D84">
      <w:pPr>
        <w:pStyle w:val="SingleTxtG"/>
        <w:rPr>
          <w:sz w:val="24"/>
          <w:szCs w:val="24"/>
        </w:rPr>
      </w:pPr>
      <w:r w:rsidRPr="0007237C">
        <w:t>“</w:t>
      </w:r>
      <w:r w:rsidR="0024091A" w:rsidRPr="0007237C">
        <w:t xml:space="preserve">3.2.3.3.1 </w:t>
      </w:r>
      <w:r w:rsidR="0024091A" w:rsidRPr="0007237C">
        <w:tab/>
        <w:t xml:space="preserve">In order to make use of all available data for purposes of classifying the skin corrosion/irritation hazards of mixtures, the following assumption has been made and is applied where appropriate in the tiered approach </w:t>
      </w:r>
      <w:r w:rsidR="0024091A" w:rsidRPr="0007237C">
        <w:rPr>
          <w:u w:val="single"/>
        </w:rPr>
        <w:t>to mixtures (see 1.3.2.3)</w:t>
      </w:r>
      <w:r w:rsidR="0024091A" w:rsidRPr="0007237C">
        <w:t xml:space="preserve">: </w:t>
      </w:r>
    </w:p>
    <w:p w14:paraId="4B0A790F" w14:textId="490A87CF" w:rsidR="0024091A" w:rsidRPr="0007237C" w:rsidRDefault="00EF7D84" w:rsidP="00EF7D84">
      <w:pPr>
        <w:pStyle w:val="SingleTxtG"/>
        <w:tabs>
          <w:tab w:val="left" w:pos="2268"/>
        </w:tabs>
        <w:ind w:firstLine="306"/>
      </w:pPr>
      <w:r w:rsidRPr="0007237C">
        <w:tab/>
      </w:r>
      <w:r w:rsidR="0024091A" w:rsidRPr="0007237C">
        <w:t xml:space="preserve">The "relevant ingredients" of a mixture are those which are present in concentrations </w:t>
      </w:r>
      <w:r w:rsidR="0024091A" w:rsidRPr="0007237C">
        <w:sym w:font="Symbol" w:char="F0B3"/>
      </w:r>
      <w:r w:rsidR="0024091A" w:rsidRPr="0007237C">
        <w:t xml:space="preserve"> 1 % (w/w for solids, liquids, dusts, mists and vapours and v/v for gases), unless there is a presumption (</w:t>
      </w:r>
      <w:proofErr w:type="gramStart"/>
      <w:r w:rsidR="0024091A" w:rsidRPr="0007237C">
        <w:t>e.g.</w:t>
      </w:r>
      <w:proofErr w:type="gramEnd"/>
      <w:r w:rsidR="0024091A" w:rsidRPr="0007237C">
        <w:t xml:space="preserve"> in the case of corrosive ingredients) that an ingredient present at a concentration &lt; 1 % can still be relevant for classifying the mixture for skin corrosion/irritation.</w:t>
      </w:r>
      <w:r w:rsidRPr="0007237C">
        <w:t>”</w:t>
      </w:r>
    </w:p>
    <w:p w14:paraId="1CF4663E" w14:textId="77777777" w:rsidR="0024091A" w:rsidRPr="0007237C" w:rsidRDefault="0024091A" w:rsidP="000D092B">
      <w:pPr>
        <w:pStyle w:val="H1G"/>
      </w:pPr>
      <w:r w:rsidRPr="0007237C">
        <w:t>Chapter 3.3</w:t>
      </w:r>
    </w:p>
    <w:p w14:paraId="411E59B9" w14:textId="45C6F9C4" w:rsidR="00EF7D84" w:rsidRPr="0007237C" w:rsidRDefault="00EF7D84" w:rsidP="00EF7D84">
      <w:pPr>
        <w:pStyle w:val="SingleTxtG"/>
        <w:tabs>
          <w:tab w:val="left" w:pos="1134"/>
        </w:tabs>
        <w:ind w:left="0"/>
      </w:pPr>
      <w:r w:rsidRPr="0007237C">
        <w:t>3.3.3.3.1</w:t>
      </w:r>
      <w:r w:rsidRPr="0007237C">
        <w:tab/>
        <w:t>Amend as shown:</w:t>
      </w:r>
    </w:p>
    <w:p w14:paraId="67032A91" w14:textId="189A0FD7" w:rsidR="0024091A" w:rsidRPr="0007237C" w:rsidRDefault="00EF7D84" w:rsidP="00EF7D84">
      <w:pPr>
        <w:pStyle w:val="SingleTxtG"/>
        <w:rPr>
          <w:sz w:val="24"/>
          <w:szCs w:val="24"/>
        </w:rPr>
      </w:pPr>
      <w:r w:rsidRPr="0007237C">
        <w:t>“</w:t>
      </w:r>
      <w:r w:rsidR="0024091A" w:rsidRPr="0007237C">
        <w:t xml:space="preserve">3.3.3.3.1 </w:t>
      </w:r>
      <w:r w:rsidR="0024091A" w:rsidRPr="0007237C">
        <w:tab/>
        <w:t xml:space="preserve">In order to make use of all available data for purposes of classifying the serious eye damage/eye irritation properties of the mixtures, the following assumption has been made and is applied where appropriate in the tiered approach </w:t>
      </w:r>
      <w:r w:rsidR="0024091A" w:rsidRPr="0007237C">
        <w:rPr>
          <w:u w:val="single"/>
        </w:rPr>
        <w:t>to mixtures (see 1.3.2.3)</w:t>
      </w:r>
      <w:r w:rsidR="0024091A" w:rsidRPr="0007237C">
        <w:t xml:space="preserve">: </w:t>
      </w:r>
    </w:p>
    <w:p w14:paraId="7F84F8E7" w14:textId="445D9916" w:rsidR="0024091A" w:rsidRPr="0007237C" w:rsidRDefault="0024091A" w:rsidP="00EF7D84">
      <w:pPr>
        <w:pStyle w:val="SingleTxtG"/>
      </w:pPr>
      <w:r w:rsidRPr="0007237C">
        <w:t xml:space="preserve">The "relevant ingredients" of a mixture are those which are present in concentrations </w:t>
      </w:r>
      <w:r w:rsidRPr="0007237C">
        <w:sym w:font="Symbol" w:char="F0B3"/>
      </w:r>
      <w:r w:rsidRPr="0007237C">
        <w:t xml:space="preserve"> 1% (w/w for solids, liquids, dusts, mists and vapours and v/v for gases), unless there is a presumption (</w:t>
      </w:r>
      <w:proofErr w:type="gramStart"/>
      <w:r w:rsidRPr="0007237C">
        <w:t>e.g.</w:t>
      </w:r>
      <w:proofErr w:type="gramEnd"/>
      <w:r w:rsidRPr="0007237C">
        <w:t xml:space="preserve"> in the case of corrosive ingredients) that an ingredient present at a concentration &lt; 1% can still be relevant for classifying the mixture for serious eye damage/eye irritation.</w:t>
      </w:r>
      <w:r w:rsidR="00EF7D84" w:rsidRPr="0007237C">
        <w:t>”</w:t>
      </w:r>
    </w:p>
    <w:p w14:paraId="6760C76E" w14:textId="249CF36C" w:rsidR="007242AA" w:rsidRPr="007242AA" w:rsidRDefault="003F40BB" w:rsidP="00137EE2">
      <w:pPr>
        <w:pStyle w:val="HChG"/>
      </w:pPr>
      <w:r w:rsidRPr="007242AA">
        <w:t>Proposed amendments to address Item 5</w:t>
      </w:r>
      <w:r w:rsidR="00EF7D84" w:rsidRPr="007242AA">
        <w:tab/>
      </w:r>
      <w:r w:rsidR="00EF7D84" w:rsidRPr="007242AA">
        <w:tab/>
      </w:r>
    </w:p>
    <w:p w14:paraId="3A44C71A" w14:textId="7BD875DB" w:rsidR="00F22BAA" w:rsidRPr="007242AA" w:rsidRDefault="00F22BAA" w:rsidP="00137EE2">
      <w:pPr>
        <w:pStyle w:val="SingleTxtG"/>
        <w:spacing w:before="240"/>
        <w:rPr>
          <w:szCs w:val="24"/>
        </w:rPr>
      </w:pPr>
      <w:r w:rsidRPr="007242AA">
        <w:t>Clarify in paragraphs 3.2.3.3.4 and 3.3.3.3.4 that care must be taken when classifying mixtures that contain the listed types of substances as opposed to taking care when classifying the substances themselves.  And use the more consistently used term “substances” instead of “chemicals".</w:t>
      </w:r>
    </w:p>
    <w:p w14:paraId="1D3DC378" w14:textId="77777777" w:rsidR="0024091A" w:rsidRPr="0007237C" w:rsidRDefault="0024091A" w:rsidP="000D092B">
      <w:pPr>
        <w:pStyle w:val="H1G"/>
      </w:pPr>
      <w:r w:rsidRPr="0007237C">
        <w:t>Chapter 3.2</w:t>
      </w:r>
    </w:p>
    <w:p w14:paraId="33ED3D36" w14:textId="450F8574" w:rsidR="00A61901" w:rsidRPr="0007237C" w:rsidRDefault="00A61901" w:rsidP="00137EE2">
      <w:pPr>
        <w:pStyle w:val="SingleTxtG"/>
        <w:tabs>
          <w:tab w:val="left" w:pos="1134"/>
        </w:tabs>
        <w:ind w:left="0"/>
      </w:pPr>
      <w:r w:rsidRPr="0007237C">
        <w:t>3.2.3.3.4</w:t>
      </w:r>
      <w:r w:rsidRPr="0007237C">
        <w:tab/>
        <w:t>Amend as shown:</w:t>
      </w:r>
    </w:p>
    <w:p w14:paraId="6580998D" w14:textId="1B471202" w:rsidR="0024091A" w:rsidRPr="0007237C" w:rsidRDefault="00A61901" w:rsidP="00A61901">
      <w:pPr>
        <w:pStyle w:val="SingleTxtG"/>
      </w:pPr>
      <w:r w:rsidRPr="0007237C">
        <w:t>“</w:t>
      </w:r>
      <w:r w:rsidR="0024091A" w:rsidRPr="0007237C">
        <w:t xml:space="preserve">3.2.3.3.4 </w:t>
      </w:r>
      <w:r w:rsidRPr="0007237C">
        <w:tab/>
      </w:r>
      <w:r w:rsidR="0024091A" w:rsidRPr="0007237C">
        <w:t xml:space="preserve">Particular care must be taken when classifying </w:t>
      </w:r>
      <w:r w:rsidR="0024091A" w:rsidRPr="0007237C">
        <w:rPr>
          <w:u w:val="single"/>
        </w:rPr>
        <w:t xml:space="preserve">mixtures containing </w:t>
      </w:r>
      <w:r w:rsidR="0024091A" w:rsidRPr="0007237C">
        <w:t xml:space="preserve">certain types of </w:t>
      </w:r>
      <w:r w:rsidR="0024091A" w:rsidRPr="0007237C">
        <w:rPr>
          <w:strike/>
        </w:rPr>
        <w:t>chemicals</w:t>
      </w:r>
      <w:r w:rsidR="0024091A" w:rsidRPr="0007237C">
        <w:t xml:space="preserve"> </w:t>
      </w:r>
      <w:r w:rsidR="0024091A" w:rsidRPr="0007237C">
        <w:rPr>
          <w:u w:val="single"/>
        </w:rPr>
        <w:t xml:space="preserve">substances </w:t>
      </w:r>
      <w:r w:rsidR="0024091A" w:rsidRPr="0007237C">
        <w:t xml:space="preserve">such as acids and bases, inorganic salts, aldehydes, phenols, and surfactants. The approach explained in 3.2.3.3.1 and 3.2.3.3.2 might not work given that many such substances are corrosive or irritant at concentrations &lt; 1%. For mixtures containing strong acids or bases the pH should be used as classification criteria (see 3.2.3.1.2) since pH will be a better indicator of corrosion than the concentration limits in Table 3.2.3. A mixture containing corrosive or irritant ingredients that cannot be classified based on the additivity approach shown in Table 3.2.3, due to chemical characteristics that make this approach unworkable, should be classified as skin corrosion Category 1 if it contains </w:t>
      </w:r>
      <w:r w:rsidR="0024091A" w:rsidRPr="0007237C">
        <w:sym w:font="Symbol" w:char="F0B3"/>
      </w:r>
      <w:r w:rsidR="0024091A" w:rsidRPr="0007237C">
        <w:t xml:space="preserve"> 1% of a corrosive ingredient and as skin irritation Category 2 or Category 3 when it contains </w:t>
      </w:r>
      <w:r w:rsidR="0024091A" w:rsidRPr="0007237C">
        <w:sym w:font="Symbol" w:char="F0B3"/>
      </w:r>
      <w:r w:rsidR="0024091A" w:rsidRPr="0007237C">
        <w:t xml:space="preserve"> 3% of an irritant ingredient. Classification of mixtures with ingredients for which the approach in Table 3.2.3 does not apply is summarized in Table 3.2.4 below.</w:t>
      </w:r>
      <w:r w:rsidRPr="0007237C">
        <w:t>”</w:t>
      </w:r>
    </w:p>
    <w:p w14:paraId="118F9097" w14:textId="77777777" w:rsidR="0024091A" w:rsidRPr="0007237C" w:rsidRDefault="0024091A" w:rsidP="000D092B">
      <w:pPr>
        <w:pStyle w:val="H1G"/>
      </w:pPr>
      <w:r w:rsidRPr="0007237C">
        <w:t>Chapter 3.3</w:t>
      </w:r>
    </w:p>
    <w:p w14:paraId="6F9A2781" w14:textId="2FD45F44" w:rsidR="00A61901" w:rsidRPr="0007237C" w:rsidRDefault="00A61901" w:rsidP="00103FA3">
      <w:pPr>
        <w:pStyle w:val="SingleTxtG"/>
        <w:keepNext/>
        <w:keepLines/>
        <w:tabs>
          <w:tab w:val="left" w:pos="1134"/>
        </w:tabs>
        <w:ind w:left="0"/>
        <w:rPr>
          <w:b/>
          <w:bCs/>
        </w:rPr>
      </w:pPr>
      <w:r w:rsidRPr="0007237C">
        <w:t>3.3.3.3.4</w:t>
      </w:r>
      <w:r w:rsidRPr="0007237C">
        <w:tab/>
        <w:t xml:space="preserve">Amend as shown: </w:t>
      </w:r>
    </w:p>
    <w:p w14:paraId="4BAAA694" w14:textId="5C1FFF66" w:rsidR="0024091A" w:rsidRPr="0007237C" w:rsidRDefault="00A61901" w:rsidP="00A61901">
      <w:pPr>
        <w:pStyle w:val="SingleTxtG"/>
        <w:tabs>
          <w:tab w:val="left" w:pos="2268"/>
        </w:tabs>
      </w:pPr>
      <w:r w:rsidRPr="0007237C">
        <w:t>“</w:t>
      </w:r>
      <w:r w:rsidR="0024091A" w:rsidRPr="0007237C">
        <w:t xml:space="preserve">3.3.3.3.4 </w:t>
      </w:r>
      <w:r w:rsidRPr="0007237C">
        <w:tab/>
      </w:r>
      <w:r w:rsidR="0024091A" w:rsidRPr="0007237C">
        <w:t xml:space="preserve">Particular care must be taken when classifying </w:t>
      </w:r>
      <w:r w:rsidR="0024091A" w:rsidRPr="0007237C">
        <w:rPr>
          <w:u w:val="single"/>
        </w:rPr>
        <w:t xml:space="preserve">mixtures containing </w:t>
      </w:r>
      <w:r w:rsidR="0024091A" w:rsidRPr="0007237C">
        <w:t xml:space="preserve">certain types of </w:t>
      </w:r>
      <w:r w:rsidR="0024091A" w:rsidRPr="0007237C">
        <w:rPr>
          <w:strike/>
        </w:rPr>
        <w:t>chemicals</w:t>
      </w:r>
      <w:r w:rsidR="0024091A" w:rsidRPr="0007237C">
        <w:t xml:space="preserve"> </w:t>
      </w:r>
      <w:r w:rsidR="0024091A" w:rsidRPr="0007237C">
        <w:rPr>
          <w:u w:val="single"/>
        </w:rPr>
        <w:t xml:space="preserve">substances </w:t>
      </w:r>
      <w:r w:rsidR="0024091A" w:rsidRPr="0007237C">
        <w:t xml:space="preserve">such as acids and bases, inorganic salts, aldehydes, phenols, and surfactants. The approach explained in 3.3.3.3.1 and 3.3.3.3.2 might not work given that many such substances are seriously damaging to the eye/eye irritating at concentrations &lt; 1%. For mixtures containing strong acids or bases the pH should be used as classification criterion (see 3.3.3.1.2) since pH will be a better indicator of serious eye damage (subject to consideration of acid/alkali reserve) than the concentration limits in Table 3.3.3. A mixture containing corrosive or serious eye damaging/eye irritating ingredients that cannot be classified based on the additivity approach applied in Table 3.3.3 due to chemical characteristics that make this approach unworkable, should be classified as Eye Category 1 if it contains </w:t>
      </w:r>
      <w:r w:rsidR="0024091A" w:rsidRPr="0007237C">
        <w:sym w:font="Symbol" w:char="F0B3"/>
      </w:r>
      <w:r w:rsidR="0024091A" w:rsidRPr="0007237C">
        <w:t xml:space="preserve"> 1% of a corrosive or serious eye damaging ingredient and as Eye Category 2 when it contains </w:t>
      </w:r>
      <w:r w:rsidR="0024091A" w:rsidRPr="0007237C">
        <w:sym w:font="Symbol" w:char="F0B3"/>
      </w:r>
      <w:r w:rsidR="0024091A" w:rsidRPr="0007237C">
        <w:t xml:space="preserve"> 3% of an eye irritant ingredient. Classification of mixtures with ingredients for which the approach in Table 3.3.3 does not apply is summarized in Table 3.3.4.</w:t>
      </w:r>
      <w:r w:rsidRPr="0007237C">
        <w:t>”</w:t>
      </w:r>
    </w:p>
    <w:p w14:paraId="05E897E5" w14:textId="5D782BE4" w:rsidR="00617AD6" w:rsidRPr="000D092B" w:rsidRDefault="00617AD6" w:rsidP="000D092B">
      <w:pPr>
        <w:pStyle w:val="HChG"/>
      </w:pPr>
      <w:r w:rsidRPr="000D092B">
        <w:t>Proposed amendments to address Item 6</w:t>
      </w:r>
    </w:p>
    <w:p w14:paraId="510280FC" w14:textId="30E11793" w:rsidR="00C31BFC" w:rsidRPr="000D092B" w:rsidRDefault="00C31BFC" w:rsidP="000D092B">
      <w:pPr>
        <w:pStyle w:val="SingleTxtG"/>
      </w:pPr>
      <w:r w:rsidRPr="000D092B">
        <w:t>Clarify the ambiguity in the last sentence in paragraphs 3.2.3.3.5 and 3.3.3.3.5.</w:t>
      </w:r>
    </w:p>
    <w:p w14:paraId="37FB5848" w14:textId="77777777" w:rsidR="00A22594" w:rsidRPr="0007237C" w:rsidRDefault="00A22594" w:rsidP="000D092B">
      <w:pPr>
        <w:pStyle w:val="H1G"/>
      </w:pPr>
      <w:r w:rsidRPr="0007237C">
        <w:t>Chapter 3.2</w:t>
      </w:r>
    </w:p>
    <w:p w14:paraId="31C4BF38" w14:textId="225BC778" w:rsidR="002E53D1" w:rsidRPr="0007237C" w:rsidRDefault="002E53D1" w:rsidP="002E53D1">
      <w:pPr>
        <w:pStyle w:val="SingleTxtG"/>
        <w:tabs>
          <w:tab w:val="left" w:pos="1134"/>
        </w:tabs>
        <w:ind w:left="0"/>
      </w:pPr>
      <w:r w:rsidRPr="0007237C">
        <w:t>3.2.3.3.5</w:t>
      </w:r>
      <w:r w:rsidRPr="0007237C">
        <w:tab/>
        <w:t>Amend as shown:</w:t>
      </w:r>
    </w:p>
    <w:p w14:paraId="02BEC81D" w14:textId="2E41EA42" w:rsidR="0024091A" w:rsidRPr="0007237C" w:rsidRDefault="002E53D1" w:rsidP="002E53D1">
      <w:pPr>
        <w:pStyle w:val="SingleTxtG"/>
      </w:pPr>
      <w:r w:rsidRPr="0007237C">
        <w:t>“</w:t>
      </w:r>
      <w:r w:rsidR="0024091A" w:rsidRPr="0007237C">
        <w:t xml:space="preserve">3.2.3.3.5 On occasion, reliable data may show that the skin corrosion/irritation of an ingredient will not be evident when present at a level above the generic concentration limits/cut-off values mentioned in Tables 3.2.3 and 3.2.4. In these cases, the mixture could be classified according to those data (see also </w:t>
      </w:r>
      <w:r w:rsidR="0024091A" w:rsidRPr="0007237C">
        <w:rPr>
          <w:i/>
          <w:iCs/>
        </w:rPr>
        <w:t xml:space="preserve">Classification of hazardous substances and mixtures </w:t>
      </w:r>
      <w:r w:rsidR="0024091A" w:rsidRPr="0007237C">
        <w:t xml:space="preserve">– </w:t>
      </w:r>
      <w:r w:rsidR="0024091A" w:rsidRPr="0007237C">
        <w:rPr>
          <w:i/>
          <w:iCs/>
        </w:rPr>
        <w:t xml:space="preserve">Use of cut-off values/Concentration limits </w:t>
      </w:r>
      <w:r w:rsidR="0024091A" w:rsidRPr="0007237C">
        <w:t xml:space="preserve">(1.3.3.2)). On occasion, when it is expected that the skin corrosion/irritation of an ingredient will not be evident when present at a level above the generic concentration cut-off values mentioned in Tables 3.2.3 and 3.2.4, testing of the mixture may be considered. </w:t>
      </w:r>
      <w:r w:rsidR="0024091A" w:rsidRPr="0007237C">
        <w:rPr>
          <w:strike/>
        </w:rPr>
        <w:t>In those cases, the tiered weight of evidence approach should be applied as described in 3.2.3 and illustrated in Figure 3.2.1.</w:t>
      </w:r>
      <w:r w:rsidRPr="0007237C">
        <w:t>”</w:t>
      </w:r>
    </w:p>
    <w:p w14:paraId="7B1B0C8E" w14:textId="4339C026" w:rsidR="00A22594" w:rsidRPr="0007237C" w:rsidRDefault="00A22594" w:rsidP="000D092B">
      <w:pPr>
        <w:pStyle w:val="H1G"/>
        <w:rPr>
          <w:color w:val="0C0C0C"/>
          <w:szCs w:val="22"/>
        </w:rPr>
      </w:pPr>
      <w:r w:rsidRPr="0007237C">
        <w:t>Chapter 3.3</w:t>
      </w:r>
    </w:p>
    <w:p w14:paraId="398F535B" w14:textId="31829F03" w:rsidR="002E53D1" w:rsidRPr="0007237C" w:rsidRDefault="002E53D1" w:rsidP="002E53D1">
      <w:pPr>
        <w:pStyle w:val="SingleTxtG"/>
        <w:tabs>
          <w:tab w:val="left" w:pos="1134"/>
        </w:tabs>
        <w:ind w:left="0"/>
        <w:rPr>
          <w:sz w:val="32"/>
          <w:szCs w:val="32"/>
        </w:rPr>
      </w:pPr>
      <w:r w:rsidRPr="0007237C">
        <w:rPr>
          <w:color w:val="0C0C0C"/>
          <w:szCs w:val="22"/>
        </w:rPr>
        <w:t>3.3.3.3.5</w:t>
      </w:r>
      <w:r w:rsidRPr="0007237C">
        <w:rPr>
          <w:color w:val="0C0C0C"/>
          <w:szCs w:val="22"/>
        </w:rPr>
        <w:tab/>
        <w:t>Amend as shown:</w:t>
      </w:r>
    </w:p>
    <w:p w14:paraId="6C0FA4B9" w14:textId="460F7D83" w:rsidR="0024091A" w:rsidRDefault="002E53D1" w:rsidP="002E53D1">
      <w:pPr>
        <w:pStyle w:val="SingleTxtG"/>
      </w:pPr>
      <w:r w:rsidRPr="0007237C">
        <w:t>“</w:t>
      </w:r>
      <w:r w:rsidR="0024091A" w:rsidRPr="0007237C">
        <w:t xml:space="preserve">3.3.3.3.5 On occasion, reliable data may show that the irreversible/reversible eye effects of an ingredient will not be evident when present at a level above the generic cut-off values/concentration limits mentioned in Tables 3.3.3 and 3.3.4. In these cases, the mixture could be classified according to those data (see also 1.3.3.2 </w:t>
      </w:r>
      <w:r w:rsidR="0024091A" w:rsidRPr="0007237C">
        <w:rPr>
          <w:i/>
          <w:iCs/>
        </w:rPr>
        <w:t>“Use of cut-off values/Concentration limits”</w:t>
      </w:r>
      <w:r w:rsidR="0024091A" w:rsidRPr="0007237C">
        <w:t xml:space="preserve">). On occasion, when it is expected that the skin corrosion/irritation or the irreversible/reversible eye effects of an ingredient will not be evident when present at a level above the generic concentration/cut-off levels mentioned in Tables 3.3.3 and 3.3.4, testing of the mixture may be considered. </w:t>
      </w:r>
      <w:r w:rsidR="0024091A" w:rsidRPr="0007237C">
        <w:rPr>
          <w:strike/>
        </w:rPr>
        <w:t>In those cases, the tiered weight of evidence approach should be applied as referred to in section 3.3.3, Figure 3.3.1 and explained in detail in this chapter.</w:t>
      </w:r>
      <w:r w:rsidRPr="0007237C">
        <w:t>”</w:t>
      </w:r>
    </w:p>
    <w:p w14:paraId="3A578BE2" w14:textId="77777777" w:rsidR="003F4DC0" w:rsidRDefault="003F4DC0" w:rsidP="00F97CAC">
      <w:pPr>
        <w:pStyle w:val="HChG"/>
      </w:pPr>
      <w:r>
        <w:t>Proposed amendments to address Item 7</w:t>
      </w:r>
    </w:p>
    <w:p w14:paraId="4B9E288E" w14:textId="77777777" w:rsidR="003F4DC0" w:rsidRPr="00FA1192" w:rsidRDefault="003F4DC0" w:rsidP="00F97CAC">
      <w:pPr>
        <w:pStyle w:val="SingleTxtG"/>
        <w:keepNext/>
        <w:keepLines/>
      </w:pPr>
      <w:r w:rsidRPr="00FA1192">
        <w:t>Clarify the inconsistent terminology use in the following 3 cases:</w:t>
      </w:r>
    </w:p>
    <w:p w14:paraId="0D86A60E" w14:textId="59C3AB75" w:rsidR="003F4DC0" w:rsidRPr="000D092B" w:rsidRDefault="000D092B" w:rsidP="00F97CAC">
      <w:pPr>
        <w:pStyle w:val="Bullet1G"/>
        <w:keepNext/>
        <w:keepLines/>
        <w:numPr>
          <w:ilvl w:val="0"/>
          <w:numId w:val="0"/>
        </w:numPr>
        <w:tabs>
          <w:tab w:val="left" w:pos="1701"/>
        </w:tabs>
        <w:ind w:left="1701" w:hanging="170"/>
      </w:pPr>
      <w:r w:rsidRPr="000D092B">
        <w:t>1.</w:t>
      </w:r>
      <w:r w:rsidRPr="000D092B">
        <w:tab/>
        <w:t xml:space="preserve"> </w:t>
      </w:r>
      <w:r w:rsidR="003F4DC0" w:rsidRPr="000D092B">
        <w:t>Inconsistency in the last sentence of the Substantially similar bridging principle.</w:t>
      </w:r>
    </w:p>
    <w:p w14:paraId="019D3218" w14:textId="42957BA6" w:rsidR="003F4DC0" w:rsidRPr="000D092B" w:rsidRDefault="000D092B" w:rsidP="000D092B">
      <w:pPr>
        <w:pStyle w:val="Bullet1G"/>
        <w:numPr>
          <w:ilvl w:val="0"/>
          <w:numId w:val="0"/>
        </w:numPr>
        <w:tabs>
          <w:tab w:val="left" w:pos="1701"/>
        </w:tabs>
        <w:ind w:left="1701" w:hanging="170"/>
      </w:pPr>
      <w:r w:rsidRPr="000D092B">
        <w:t>2</w:t>
      </w:r>
      <w:r w:rsidR="00FC13F0" w:rsidRPr="000D092B">
        <w:t>.</w:t>
      </w:r>
      <w:r w:rsidRPr="000D092B">
        <w:t xml:space="preserve"> </w:t>
      </w:r>
      <w:r w:rsidR="003F4DC0" w:rsidRPr="000D092B">
        <w:t>Use of the term “aerosol” at the beginning of the Aerosols bridging principle.</w:t>
      </w:r>
    </w:p>
    <w:p w14:paraId="06976F61" w14:textId="7975A346" w:rsidR="003F4DC0" w:rsidRPr="00FA1192" w:rsidRDefault="000D092B" w:rsidP="000D092B">
      <w:pPr>
        <w:pStyle w:val="Bullet1G"/>
        <w:numPr>
          <w:ilvl w:val="0"/>
          <w:numId w:val="0"/>
        </w:numPr>
        <w:tabs>
          <w:tab w:val="left" w:pos="1701"/>
        </w:tabs>
        <w:ind w:left="1701" w:hanging="170"/>
      </w:pPr>
      <w:r w:rsidRPr="000D092B">
        <w:t>3</w:t>
      </w:r>
      <w:r w:rsidR="00FC13F0" w:rsidRPr="000D092B">
        <w:t>.</w:t>
      </w:r>
      <w:r>
        <w:t xml:space="preserve"> </w:t>
      </w:r>
      <w:r w:rsidR="003F4DC0" w:rsidRPr="000D092B">
        <w:t>Inconsistency in the use of the term hazards vs. properties in paragraphs 3.2.3.3.1 and 3.3.3.3.1</w:t>
      </w:r>
    </w:p>
    <w:p w14:paraId="61FC7058" w14:textId="264F8B45" w:rsidR="00FA1192" w:rsidRDefault="00852576" w:rsidP="000D092B">
      <w:pPr>
        <w:pStyle w:val="H1G"/>
      </w:pPr>
      <w:r>
        <w:tab/>
      </w:r>
      <w:r w:rsidR="00FC13F0">
        <w:t>1.</w:t>
      </w:r>
      <w:r w:rsidR="000D092B">
        <w:t xml:space="preserve"> </w:t>
      </w:r>
      <w:r w:rsidR="00FC13F0">
        <w:tab/>
      </w:r>
      <w:r w:rsidR="00FA1192" w:rsidRPr="00FA1192">
        <w:t>Inconsistency in the last sentence of the Substantially similar bridging principle</w:t>
      </w:r>
    </w:p>
    <w:p w14:paraId="11210835" w14:textId="77777777" w:rsidR="0091533D" w:rsidRPr="00ED445B" w:rsidRDefault="0091533D" w:rsidP="0091533D">
      <w:pPr>
        <w:pStyle w:val="GHSHeading5"/>
        <w:keepNext w:val="0"/>
        <w:keepLines w:val="0"/>
        <w:spacing w:after="240"/>
        <w:ind w:left="1890" w:hanging="1260"/>
        <w:rPr>
          <w:sz w:val="20"/>
          <w:szCs w:val="20"/>
        </w:rPr>
      </w:pPr>
      <w:r w:rsidRPr="00ED445B">
        <w:rPr>
          <w:sz w:val="20"/>
          <w:szCs w:val="20"/>
        </w:rPr>
        <w:t>3.1.3.5.6</w:t>
      </w:r>
      <w:r>
        <w:rPr>
          <w:sz w:val="20"/>
          <w:szCs w:val="20"/>
        </w:rPr>
        <w:tab/>
      </w:r>
      <w:r>
        <w:rPr>
          <w:sz w:val="20"/>
          <w:szCs w:val="20"/>
        </w:rPr>
        <w:tab/>
      </w:r>
      <w:r w:rsidRPr="00ED445B">
        <w:rPr>
          <w:i/>
          <w:iCs/>
          <w:sz w:val="20"/>
          <w:szCs w:val="20"/>
        </w:rPr>
        <w:t>Substantially similar mixtures</w:t>
      </w:r>
    </w:p>
    <w:p w14:paraId="3B44A322" w14:textId="77777777" w:rsidR="0091533D" w:rsidRPr="00ED445B" w:rsidRDefault="0091533D" w:rsidP="0091533D">
      <w:pPr>
        <w:pStyle w:val="GHSBodyText"/>
        <w:ind w:left="1890"/>
        <w:rPr>
          <w:sz w:val="20"/>
        </w:rPr>
      </w:pPr>
      <w:r w:rsidRPr="00ED445B">
        <w:rPr>
          <w:sz w:val="20"/>
        </w:rPr>
        <w:t>Given the following:</w:t>
      </w:r>
    </w:p>
    <w:p w14:paraId="53332CF0" w14:textId="77777777" w:rsidR="0091533D" w:rsidRPr="00ED445B" w:rsidRDefault="0091533D" w:rsidP="000D092B">
      <w:pPr>
        <w:tabs>
          <w:tab w:val="left" w:pos="1418"/>
          <w:tab w:val="left" w:pos="2430"/>
          <w:tab w:val="left" w:pos="2552"/>
          <w:tab w:val="left" w:pos="3119"/>
          <w:tab w:val="left" w:pos="3686"/>
          <w:tab w:val="left" w:pos="3969"/>
        </w:tabs>
        <w:ind w:left="1980" w:right="1041" w:hanging="90"/>
      </w:pPr>
      <w:r w:rsidRPr="00ED445B">
        <w:t>(a)</w:t>
      </w:r>
      <w:r w:rsidRPr="00ED445B">
        <w:tab/>
        <w:t>Two mixtures:</w:t>
      </w:r>
      <w:r w:rsidRPr="00ED445B">
        <w:tab/>
        <w:t>(</w:t>
      </w:r>
      <w:proofErr w:type="spellStart"/>
      <w:r w:rsidRPr="00ED445B">
        <w:t>i</w:t>
      </w:r>
      <w:proofErr w:type="spellEnd"/>
      <w:r w:rsidRPr="00ED445B">
        <w:t>)</w:t>
      </w:r>
      <w:r>
        <w:t xml:space="preserve"> </w:t>
      </w:r>
      <w:r w:rsidRPr="00ED445B">
        <w:t xml:space="preserve">A + </w:t>
      </w:r>
      <w:proofErr w:type="gramStart"/>
      <w:r w:rsidRPr="00ED445B">
        <w:t>B;</w:t>
      </w:r>
      <w:proofErr w:type="gramEnd"/>
    </w:p>
    <w:p w14:paraId="6D4FC801" w14:textId="77777777" w:rsidR="0091533D" w:rsidRPr="00ED445B" w:rsidRDefault="0091533D" w:rsidP="000D092B">
      <w:pPr>
        <w:tabs>
          <w:tab w:val="left" w:pos="1418"/>
          <w:tab w:val="left" w:pos="1980"/>
          <w:tab w:val="left" w:pos="2552"/>
          <w:tab w:val="left" w:pos="3119"/>
          <w:tab w:val="left" w:pos="3686"/>
        </w:tabs>
        <w:ind w:left="1979" w:right="1041" w:hanging="1979"/>
      </w:pPr>
      <w:r w:rsidRPr="00ED445B">
        <w:tab/>
      </w:r>
      <w:r w:rsidRPr="00ED445B">
        <w:tab/>
      </w:r>
      <w:r w:rsidRPr="00ED445B">
        <w:tab/>
      </w:r>
      <w:r w:rsidRPr="00ED445B">
        <w:tab/>
      </w:r>
      <w:r w:rsidRPr="00ED445B">
        <w:tab/>
      </w:r>
      <w:r w:rsidRPr="00ED445B">
        <w:tab/>
        <w:t>(ii)</w:t>
      </w:r>
      <w:r>
        <w:t xml:space="preserve"> </w:t>
      </w:r>
      <w:r w:rsidRPr="00ED445B">
        <w:t xml:space="preserve">C + </w:t>
      </w:r>
      <w:proofErr w:type="gramStart"/>
      <w:r w:rsidRPr="00ED445B">
        <w:t>B;</w:t>
      </w:r>
      <w:proofErr w:type="gramEnd"/>
    </w:p>
    <w:p w14:paraId="28B8BFE2" w14:textId="77777777" w:rsidR="0091533D" w:rsidRPr="00ED445B" w:rsidRDefault="0091533D" w:rsidP="000D092B">
      <w:pPr>
        <w:spacing w:after="240"/>
        <w:ind w:left="2430" w:right="1041" w:hanging="540"/>
      </w:pPr>
      <w:r w:rsidRPr="00ED445B">
        <w:t>(b)</w:t>
      </w:r>
      <w:r w:rsidRPr="00ED445B">
        <w:tab/>
        <w:t xml:space="preserve">The concentration of ingredient B is essentially the same in both </w:t>
      </w:r>
      <w:proofErr w:type="gramStart"/>
      <w:r w:rsidRPr="00ED445B">
        <w:t>mixtures;</w:t>
      </w:r>
      <w:proofErr w:type="gramEnd"/>
    </w:p>
    <w:p w14:paraId="52A5FBC5" w14:textId="77777777" w:rsidR="0091533D" w:rsidRPr="00ED445B" w:rsidRDefault="0091533D" w:rsidP="000D092B">
      <w:pPr>
        <w:spacing w:after="240"/>
        <w:ind w:left="2430" w:right="1041" w:hanging="540"/>
      </w:pPr>
      <w:r w:rsidRPr="00ED445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44B89706" w14:textId="77777777" w:rsidR="0091533D" w:rsidRPr="00ED445B" w:rsidRDefault="0091533D" w:rsidP="000D092B">
      <w:pPr>
        <w:spacing w:after="240"/>
        <w:ind w:left="2430" w:right="1041" w:hanging="540"/>
      </w:pPr>
      <w:r w:rsidRPr="00ED445B">
        <w:t>(d)</w:t>
      </w:r>
      <w:r w:rsidRPr="00ED445B">
        <w:tab/>
        <w:t xml:space="preserve">Data on toxicity for A and C are available and substantially equivalent, </w:t>
      </w:r>
      <w:proofErr w:type="gramStart"/>
      <w:r w:rsidRPr="00ED445B">
        <w:t>i.e.</w:t>
      </w:r>
      <w:proofErr w:type="gramEnd"/>
      <w:r w:rsidRPr="00ED445B">
        <w:t xml:space="preserve"> they are in the same hazard category and are not expected to affect the toxicity of B;</w:t>
      </w:r>
    </w:p>
    <w:p w14:paraId="5EEBA4E0" w14:textId="5D18B5F4" w:rsidR="0091533D" w:rsidRPr="0091533D" w:rsidRDefault="0091533D" w:rsidP="000D092B">
      <w:pPr>
        <w:pStyle w:val="Num-DocParagraph"/>
        <w:tabs>
          <w:tab w:val="clear" w:pos="851"/>
          <w:tab w:val="clear" w:pos="1191"/>
          <w:tab w:val="clear" w:pos="1531"/>
          <w:tab w:val="left" w:pos="1890"/>
        </w:tabs>
        <w:ind w:left="1890" w:right="1041"/>
        <w:rPr>
          <w:rFonts w:ascii="Times New Roman" w:hAnsi="Times New Roman"/>
          <w:sz w:val="20"/>
        </w:rPr>
      </w:pPr>
      <w:r w:rsidRPr="00ED445B">
        <w:rPr>
          <w:rFonts w:ascii="Times New Roman" w:hAnsi="Times New Roman"/>
          <w:sz w:val="20"/>
        </w:rPr>
        <w:t>If mixture (</w:t>
      </w:r>
      <w:proofErr w:type="spellStart"/>
      <w:r w:rsidRPr="00ED445B">
        <w:rPr>
          <w:rFonts w:ascii="Times New Roman" w:hAnsi="Times New Roman"/>
          <w:sz w:val="20"/>
        </w:rPr>
        <w:t>i</w:t>
      </w:r>
      <w:proofErr w:type="spellEnd"/>
      <w:r w:rsidRPr="00ED445B">
        <w:rPr>
          <w:rFonts w:ascii="Times New Roman" w:hAnsi="Times New Roman"/>
          <w:sz w:val="20"/>
        </w:rPr>
        <w:t xml:space="preserve">) or (ii) is already classified based on test data, then the other mixture can be </w:t>
      </w:r>
      <w:r w:rsidRPr="00137C59">
        <w:rPr>
          <w:rFonts w:ascii="Times New Roman" w:hAnsi="Times New Roman"/>
          <w:strike/>
          <w:sz w:val="20"/>
        </w:rPr>
        <w:t xml:space="preserve">assigned </w:t>
      </w:r>
      <w:r w:rsidRPr="00137C59">
        <w:rPr>
          <w:rFonts w:ascii="Times New Roman" w:hAnsi="Times New Roman"/>
          <w:u w:val="single"/>
        </w:rPr>
        <w:t>classified in</w:t>
      </w:r>
      <w:r>
        <w:rPr>
          <w:rFonts w:ascii="Times New Roman" w:hAnsi="Times New Roman"/>
        </w:rPr>
        <w:t xml:space="preserve"> </w:t>
      </w:r>
      <w:r w:rsidRPr="00ED445B">
        <w:rPr>
          <w:rFonts w:ascii="Times New Roman" w:hAnsi="Times New Roman"/>
          <w:sz w:val="20"/>
        </w:rPr>
        <w:t xml:space="preserve">the same hazard category. </w:t>
      </w:r>
    </w:p>
    <w:p w14:paraId="74D04048" w14:textId="78C2A973" w:rsidR="0046209C" w:rsidRPr="00ED445B" w:rsidRDefault="0046209C" w:rsidP="000D092B">
      <w:pPr>
        <w:keepNext/>
        <w:keepLines/>
        <w:tabs>
          <w:tab w:val="left" w:pos="1980"/>
        </w:tabs>
        <w:spacing w:after="240"/>
        <w:ind w:left="630" w:right="1041"/>
        <w:jc w:val="both"/>
      </w:pPr>
      <w:r w:rsidRPr="00ED445B">
        <w:t>3.3.3.2.6</w:t>
      </w:r>
      <w:r w:rsidRPr="00ED445B">
        <w:tab/>
      </w:r>
      <w:r w:rsidRPr="00ED445B">
        <w:rPr>
          <w:i/>
          <w:iCs/>
        </w:rPr>
        <w:t>Substantially similar mixtures</w:t>
      </w:r>
    </w:p>
    <w:p w14:paraId="743F0124" w14:textId="2209F495" w:rsidR="0046209C" w:rsidRPr="00ED445B" w:rsidRDefault="0046209C" w:rsidP="000D092B">
      <w:pPr>
        <w:tabs>
          <w:tab w:val="left" w:pos="1980"/>
        </w:tabs>
        <w:spacing w:after="240" w:line="240" w:lineRule="auto"/>
        <w:ind w:left="1134" w:right="1041"/>
      </w:pPr>
      <w:r w:rsidRPr="00ED445B">
        <w:tab/>
        <w:t>Given the following:</w:t>
      </w:r>
    </w:p>
    <w:p w14:paraId="301BAD01" w14:textId="77777777" w:rsidR="0046209C" w:rsidRPr="00ED445B" w:rsidRDefault="0046209C" w:rsidP="000D092B">
      <w:pPr>
        <w:tabs>
          <w:tab w:val="left" w:pos="1418"/>
          <w:tab w:val="left" w:pos="1985"/>
          <w:tab w:val="left" w:pos="2410"/>
          <w:tab w:val="left" w:pos="3828"/>
          <w:tab w:val="left" w:pos="4253"/>
        </w:tabs>
        <w:spacing w:after="80" w:line="240" w:lineRule="auto"/>
        <w:ind w:left="1134" w:right="1041"/>
        <w:jc w:val="both"/>
      </w:pPr>
      <w:r w:rsidRPr="00ED445B">
        <w:tab/>
      </w:r>
      <w:r w:rsidRPr="00ED445B">
        <w:tab/>
        <w:t>(a)</w:t>
      </w:r>
      <w:r w:rsidRPr="00ED445B">
        <w:tab/>
        <w:t>Two mixtures:</w:t>
      </w:r>
      <w:r w:rsidRPr="00ED445B">
        <w:tab/>
        <w:t>(</w:t>
      </w:r>
      <w:proofErr w:type="spellStart"/>
      <w:r w:rsidRPr="00ED445B">
        <w:t>i</w:t>
      </w:r>
      <w:proofErr w:type="spellEnd"/>
      <w:r w:rsidRPr="00ED445B">
        <w:t>)</w:t>
      </w:r>
      <w:r w:rsidRPr="00ED445B">
        <w:tab/>
        <w:t>A + B</w:t>
      </w:r>
    </w:p>
    <w:p w14:paraId="30C8BAA2" w14:textId="77777777" w:rsidR="0046209C" w:rsidRPr="00ED445B" w:rsidRDefault="0046209C" w:rsidP="000D092B">
      <w:pPr>
        <w:tabs>
          <w:tab w:val="left" w:pos="3828"/>
          <w:tab w:val="left" w:pos="4253"/>
        </w:tabs>
        <w:spacing w:after="240" w:line="240" w:lineRule="auto"/>
        <w:ind w:left="1979" w:right="1041" w:hanging="1979"/>
        <w:jc w:val="both"/>
      </w:pPr>
      <w:r w:rsidRPr="00ED445B">
        <w:tab/>
      </w:r>
      <w:r w:rsidRPr="00ED445B">
        <w:tab/>
        <w:t>(ii)</w:t>
      </w:r>
      <w:r w:rsidRPr="00ED445B">
        <w:tab/>
        <w:t xml:space="preserve">C + </w:t>
      </w:r>
      <w:proofErr w:type="gramStart"/>
      <w:r w:rsidRPr="00ED445B">
        <w:t>B;</w:t>
      </w:r>
      <w:proofErr w:type="gramEnd"/>
    </w:p>
    <w:p w14:paraId="1FACA654" w14:textId="77777777" w:rsidR="0046209C" w:rsidRPr="00ED445B" w:rsidRDefault="0046209C" w:rsidP="000D092B">
      <w:pPr>
        <w:tabs>
          <w:tab w:val="left" w:pos="1418"/>
          <w:tab w:val="left" w:pos="1985"/>
          <w:tab w:val="left" w:pos="2410"/>
        </w:tabs>
        <w:spacing w:after="240" w:line="240" w:lineRule="auto"/>
        <w:ind w:left="1134" w:right="1041"/>
        <w:jc w:val="both"/>
      </w:pPr>
      <w:r w:rsidRPr="00ED445B">
        <w:tab/>
      </w:r>
      <w:r w:rsidRPr="00ED445B">
        <w:tab/>
        <w:t>(b)</w:t>
      </w:r>
      <w:r w:rsidRPr="00ED445B">
        <w:tab/>
        <w:t xml:space="preserve">The concentration of ingredient B is essentially the same in both </w:t>
      </w:r>
      <w:proofErr w:type="gramStart"/>
      <w:r w:rsidRPr="00ED445B">
        <w:t>mixtures;</w:t>
      </w:r>
      <w:proofErr w:type="gramEnd"/>
    </w:p>
    <w:p w14:paraId="3D75B750" w14:textId="77777777" w:rsidR="0046209C" w:rsidRPr="00ED445B" w:rsidRDefault="0046209C" w:rsidP="000D092B">
      <w:pPr>
        <w:tabs>
          <w:tab w:val="left" w:pos="1418"/>
          <w:tab w:val="left" w:pos="1985"/>
          <w:tab w:val="left" w:pos="2410"/>
        </w:tabs>
        <w:spacing w:after="240" w:line="240" w:lineRule="auto"/>
        <w:ind w:left="2410" w:right="1041" w:hanging="1417"/>
        <w:jc w:val="both"/>
      </w:pPr>
      <w:r w:rsidRPr="00ED445B">
        <w:tab/>
      </w:r>
      <w:r w:rsidRPr="00ED445B">
        <w:ta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680646E3" w14:textId="77777777" w:rsidR="0046209C" w:rsidRPr="00ED445B" w:rsidRDefault="0046209C" w:rsidP="000D092B">
      <w:pPr>
        <w:tabs>
          <w:tab w:val="left" w:pos="1418"/>
          <w:tab w:val="left" w:pos="1985"/>
          <w:tab w:val="left" w:pos="2410"/>
        </w:tabs>
        <w:spacing w:after="240" w:line="240" w:lineRule="auto"/>
        <w:ind w:left="2410" w:right="1041" w:hanging="1276"/>
        <w:jc w:val="both"/>
      </w:pPr>
      <w:r w:rsidRPr="00ED445B">
        <w:tab/>
      </w:r>
      <w:r w:rsidRPr="00ED445B">
        <w:tab/>
        <w:t>(d)</w:t>
      </w:r>
      <w:r w:rsidRPr="00ED445B">
        <w:tab/>
        <w:t xml:space="preserve">Data on serious eye damage/eye irritation for A and C are available and substantially equivalent, </w:t>
      </w:r>
      <w:proofErr w:type="gramStart"/>
      <w:r w:rsidRPr="00ED445B">
        <w:t>i.e.</w:t>
      </w:r>
      <w:proofErr w:type="gramEnd"/>
      <w:r w:rsidRPr="00ED445B">
        <w:t xml:space="preserve"> they are in the same hazard category and are not expected to affect the serious eye damage/eye irritation potential of B.</w:t>
      </w:r>
    </w:p>
    <w:p w14:paraId="53DA4F9A" w14:textId="6FAEF3B3" w:rsidR="0046209C" w:rsidRPr="00ED445B" w:rsidRDefault="0046209C" w:rsidP="000D092B">
      <w:pPr>
        <w:tabs>
          <w:tab w:val="left" w:pos="2268"/>
        </w:tabs>
        <w:spacing w:after="240" w:line="240" w:lineRule="auto"/>
        <w:ind w:left="1980" w:right="1041"/>
        <w:jc w:val="both"/>
      </w:pPr>
      <w:r w:rsidRPr="00ED445B">
        <w:t>If mixture (</w:t>
      </w:r>
      <w:proofErr w:type="spellStart"/>
      <w:r w:rsidRPr="00ED445B">
        <w:t>i</w:t>
      </w:r>
      <w:proofErr w:type="spellEnd"/>
      <w:r w:rsidRPr="00ED445B">
        <w:t xml:space="preserve">) or (ii) is already classified </w:t>
      </w:r>
      <w:r w:rsidRPr="00930891">
        <w:rPr>
          <w:strike/>
        </w:rPr>
        <w:t>by testing</w:t>
      </w:r>
      <w:r>
        <w:t xml:space="preserve"> </w:t>
      </w:r>
      <w:r w:rsidRPr="00EA4CE9">
        <w:rPr>
          <w:u w:val="single"/>
        </w:rPr>
        <w:t>based on test data</w:t>
      </w:r>
      <w:r w:rsidRPr="00ED445B">
        <w:t xml:space="preserve">, the other mixture can be </w:t>
      </w:r>
      <w:r w:rsidRPr="004E1A8D">
        <w:rPr>
          <w:strike/>
        </w:rPr>
        <w:t>assigned</w:t>
      </w:r>
      <w:r w:rsidRPr="00ED445B">
        <w:t xml:space="preserve"> </w:t>
      </w:r>
      <w:r w:rsidRPr="004E1A8D">
        <w:rPr>
          <w:u w:val="single"/>
        </w:rPr>
        <w:t>classified</w:t>
      </w:r>
      <w:r>
        <w:t xml:space="preserve"> </w:t>
      </w:r>
      <w:r w:rsidRPr="00ED445B">
        <w:t>in the same hazard category.</w:t>
      </w:r>
    </w:p>
    <w:p w14:paraId="792C9850" w14:textId="77777777" w:rsidR="0046209C" w:rsidRPr="00ED445B" w:rsidRDefault="0046209C" w:rsidP="007971F9">
      <w:pPr>
        <w:pStyle w:val="GHSHeading5"/>
        <w:widowControl/>
        <w:tabs>
          <w:tab w:val="left" w:pos="720"/>
        </w:tabs>
        <w:spacing w:after="240"/>
        <w:ind w:left="1418" w:hanging="788"/>
        <w:rPr>
          <w:sz w:val="20"/>
          <w:szCs w:val="20"/>
          <w:u w:val="single"/>
        </w:rPr>
      </w:pPr>
      <w:r w:rsidRPr="00ED445B">
        <w:rPr>
          <w:sz w:val="20"/>
          <w:szCs w:val="20"/>
        </w:rPr>
        <w:t>3.4.3.2.6</w:t>
      </w:r>
      <w:r w:rsidRPr="00ED445B">
        <w:rPr>
          <w:sz w:val="20"/>
          <w:szCs w:val="20"/>
        </w:rPr>
        <w:tab/>
      </w:r>
      <w:r w:rsidRPr="00ED445B">
        <w:rPr>
          <w:sz w:val="20"/>
          <w:szCs w:val="20"/>
        </w:rPr>
        <w:tab/>
      </w:r>
      <w:r w:rsidRPr="00ED445B">
        <w:rPr>
          <w:i/>
          <w:iCs/>
          <w:sz w:val="20"/>
          <w:szCs w:val="20"/>
        </w:rPr>
        <w:t>Substantially similar mixtures</w:t>
      </w:r>
    </w:p>
    <w:p w14:paraId="3EDC3F4E" w14:textId="77777777" w:rsidR="0046209C" w:rsidRPr="00ED445B" w:rsidRDefault="0046209C" w:rsidP="000D092B">
      <w:pPr>
        <w:keepNext/>
        <w:keepLines/>
        <w:tabs>
          <w:tab w:val="left" w:pos="1980"/>
        </w:tabs>
        <w:spacing w:after="240"/>
        <w:ind w:right="1041"/>
      </w:pPr>
      <w:r w:rsidRPr="00ED445B">
        <w:tab/>
        <w:t>Given the following:</w:t>
      </w:r>
    </w:p>
    <w:p w14:paraId="2275721F" w14:textId="55DF9B4B" w:rsidR="0046209C" w:rsidRPr="00ED445B" w:rsidRDefault="0046209C" w:rsidP="000D092B">
      <w:pPr>
        <w:pStyle w:val="NormalIndent"/>
        <w:keepNext/>
        <w:keepLines/>
        <w:tabs>
          <w:tab w:val="left" w:pos="1980"/>
          <w:tab w:val="left" w:pos="2340"/>
          <w:tab w:val="left" w:pos="3960"/>
        </w:tabs>
        <w:ind w:left="1979" w:right="1041" w:hanging="1979"/>
        <w:rPr>
          <w:sz w:val="20"/>
          <w:szCs w:val="20"/>
        </w:rPr>
      </w:pPr>
      <w:r w:rsidRPr="00ED445B">
        <w:rPr>
          <w:sz w:val="20"/>
          <w:szCs w:val="20"/>
        </w:rPr>
        <w:tab/>
        <w:t>(a)</w:t>
      </w:r>
      <w:r w:rsidRPr="00ED445B">
        <w:rPr>
          <w:sz w:val="20"/>
          <w:szCs w:val="20"/>
        </w:rPr>
        <w:tab/>
        <w:t>Two mixtures:</w:t>
      </w:r>
      <w:r w:rsidRPr="00ED445B">
        <w:rPr>
          <w:sz w:val="20"/>
          <w:szCs w:val="20"/>
        </w:rPr>
        <w:tab/>
        <w:t>(</w:t>
      </w:r>
      <w:proofErr w:type="spellStart"/>
      <w:r w:rsidRPr="00ED445B">
        <w:rPr>
          <w:sz w:val="20"/>
          <w:szCs w:val="20"/>
        </w:rPr>
        <w:t>i</w:t>
      </w:r>
      <w:proofErr w:type="spellEnd"/>
      <w:r w:rsidRPr="00ED445B">
        <w:rPr>
          <w:sz w:val="20"/>
          <w:szCs w:val="20"/>
        </w:rPr>
        <w:t>)</w:t>
      </w:r>
      <w:r w:rsidR="00470E41">
        <w:rPr>
          <w:sz w:val="20"/>
          <w:szCs w:val="20"/>
        </w:rPr>
        <w:t xml:space="preserve"> </w:t>
      </w:r>
      <w:r w:rsidRPr="00ED445B">
        <w:rPr>
          <w:sz w:val="20"/>
          <w:szCs w:val="20"/>
        </w:rPr>
        <w:t xml:space="preserve">A + </w:t>
      </w:r>
      <w:proofErr w:type="gramStart"/>
      <w:r w:rsidRPr="00ED445B">
        <w:rPr>
          <w:sz w:val="20"/>
          <w:szCs w:val="20"/>
        </w:rPr>
        <w:t>B;</w:t>
      </w:r>
      <w:proofErr w:type="gramEnd"/>
    </w:p>
    <w:p w14:paraId="0EA7E07D" w14:textId="2E4E1F40" w:rsidR="0046209C" w:rsidRPr="00ED445B" w:rsidRDefault="0046209C" w:rsidP="000D092B">
      <w:pPr>
        <w:pStyle w:val="NormalIndent"/>
        <w:keepNext/>
        <w:keepLines/>
        <w:tabs>
          <w:tab w:val="left" w:pos="1980"/>
          <w:tab w:val="left" w:pos="4140"/>
        </w:tabs>
        <w:spacing w:after="160"/>
        <w:ind w:left="3960" w:right="1041" w:hanging="2069"/>
        <w:rPr>
          <w:sz w:val="20"/>
          <w:szCs w:val="20"/>
        </w:rPr>
      </w:pPr>
      <w:r w:rsidRPr="00ED445B">
        <w:rPr>
          <w:sz w:val="20"/>
          <w:szCs w:val="20"/>
        </w:rPr>
        <w:tab/>
      </w:r>
      <w:r w:rsidRPr="00ED445B">
        <w:rPr>
          <w:sz w:val="20"/>
          <w:szCs w:val="20"/>
        </w:rPr>
        <w:tab/>
        <w:t>(ii)</w:t>
      </w:r>
      <w:r w:rsidR="00470E41">
        <w:rPr>
          <w:sz w:val="20"/>
          <w:szCs w:val="20"/>
        </w:rPr>
        <w:t xml:space="preserve"> </w:t>
      </w:r>
      <w:r w:rsidRPr="00ED445B">
        <w:rPr>
          <w:sz w:val="20"/>
          <w:szCs w:val="20"/>
        </w:rPr>
        <w:t xml:space="preserve">C + </w:t>
      </w:r>
      <w:proofErr w:type="gramStart"/>
      <w:r w:rsidRPr="00ED445B">
        <w:rPr>
          <w:sz w:val="20"/>
          <w:szCs w:val="20"/>
        </w:rPr>
        <w:t>B;</w:t>
      </w:r>
      <w:proofErr w:type="gramEnd"/>
    </w:p>
    <w:p w14:paraId="595BCAFD" w14:textId="77777777" w:rsidR="0046209C" w:rsidRPr="00ED445B" w:rsidRDefault="0046209C" w:rsidP="000D092B">
      <w:pPr>
        <w:pStyle w:val="NormalIndent"/>
        <w:keepNext/>
        <w:keepLines/>
        <w:tabs>
          <w:tab w:val="left" w:pos="1980"/>
        </w:tabs>
        <w:spacing w:after="200"/>
        <w:ind w:left="2340" w:right="1041" w:hanging="365"/>
        <w:rPr>
          <w:sz w:val="20"/>
          <w:szCs w:val="20"/>
        </w:rPr>
      </w:pPr>
      <w:r w:rsidRPr="00ED445B">
        <w:rPr>
          <w:sz w:val="20"/>
          <w:szCs w:val="20"/>
        </w:rPr>
        <w:t>(b)</w:t>
      </w:r>
      <w:r w:rsidRPr="00ED445B">
        <w:rPr>
          <w:sz w:val="20"/>
          <w:szCs w:val="20"/>
        </w:rPr>
        <w:tab/>
        <w:t xml:space="preserve">The concentration of ingredient B is essentially the same in both </w:t>
      </w:r>
      <w:proofErr w:type="gramStart"/>
      <w:r w:rsidRPr="00ED445B">
        <w:rPr>
          <w:sz w:val="20"/>
          <w:szCs w:val="20"/>
        </w:rPr>
        <w:t>mixtures;</w:t>
      </w:r>
      <w:proofErr w:type="gramEnd"/>
    </w:p>
    <w:p w14:paraId="318732DD" w14:textId="77777777" w:rsidR="0046209C" w:rsidRPr="00ED445B" w:rsidRDefault="0046209C" w:rsidP="000D092B">
      <w:pPr>
        <w:pStyle w:val="NormalIndent"/>
        <w:keepNext/>
        <w:keepLines/>
        <w:tabs>
          <w:tab w:val="left" w:pos="1980"/>
        </w:tabs>
        <w:spacing w:after="200"/>
        <w:ind w:left="2340" w:right="1041" w:hanging="365"/>
        <w:rPr>
          <w:sz w:val="20"/>
          <w:szCs w:val="20"/>
        </w:rPr>
      </w:pPr>
      <w:r w:rsidRPr="00ED445B">
        <w:rPr>
          <w:sz w:val="20"/>
          <w:szCs w:val="20"/>
        </w:rPr>
        <w:t>(c)</w:t>
      </w:r>
      <w:r w:rsidRPr="00ED445B">
        <w:rPr>
          <w:sz w:val="20"/>
          <w:szCs w:val="20"/>
        </w:rPr>
        <w:tab/>
        <w:t>The concentration of ingredient A in mixture (</w:t>
      </w:r>
      <w:proofErr w:type="spellStart"/>
      <w:r w:rsidRPr="00ED445B">
        <w:rPr>
          <w:sz w:val="20"/>
          <w:szCs w:val="20"/>
        </w:rPr>
        <w:t>i</w:t>
      </w:r>
      <w:proofErr w:type="spellEnd"/>
      <w:r w:rsidRPr="00ED445B">
        <w:rPr>
          <w:sz w:val="20"/>
          <w:szCs w:val="20"/>
        </w:rPr>
        <w:t>) equals that of ingredient C in mixture (ii</w:t>
      </w:r>
      <w:proofErr w:type="gramStart"/>
      <w:r w:rsidRPr="00ED445B">
        <w:rPr>
          <w:sz w:val="20"/>
          <w:szCs w:val="20"/>
        </w:rPr>
        <w:t>);</w:t>
      </w:r>
      <w:proofErr w:type="gramEnd"/>
    </w:p>
    <w:p w14:paraId="2AB711CB" w14:textId="77777777" w:rsidR="0046209C" w:rsidRPr="00ED445B" w:rsidRDefault="0046209C" w:rsidP="000D092B">
      <w:pPr>
        <w:pStyle w:val="NormalIndent"/>
        <w:tabs>
          <w:tab w:val="left" w:pos="1980"/>
        </w:tabs>
        <w:spacing w:after="200"/>
        <w:ind w:left="2340" w:right="1041" w:hanging="365"/>
        <w:rPr>
          <w:sz w:val="20"/>
          <w:szCs w:val="20"/>
        </w:rPr>
      </w:pPr>
      <w:r w:rsidRPr="00ED445B">
        <w:rPr>
          <w:sz w:val="20"/>
          <w:szCs w:val="20"/>
        </w:rPr>
        <w:t>(d)</w:t>
      </w:r>
      <w:r w:rsidRPr="00ED445B">
        <w:rPr>
          <w:sz w:val="20"/>
          <w:szCs w:val="20"/>
        </w:rPr>
        <w:tab/>
        <w:t xml:space="preserve">Ingredient B is a sensitizer and ingredients </w:t>
      </w:r>
      <w:proofErr w:type="gramStart"/>
      <w:r w:rsidRPr="00ED445B">
        <w:rPr>
          <w:sz w:val="20"/>
          <w:szCs w:val="20"/>
        </w:rPr>
        <w:t>A</w:t>
      </w:r>
      <w:proofErr w:type="gramEnd"/>
      <w:r w:rsidRPr="00ED445B">
        <w:rPr>
          <w:sz w:val="20"/>
          <w:szCs w:val="20"/>
        </w:rPr>
        <w:t xml:space="preserve"> and C are not sensitizers;</w:t>
      </w:r>
    </w:p>
    <w:p w14:paraId="4C32537D" w14:textId="77777777" w:rsidR="0046209C" w:rsidRPr="00ED445B" w:rsidRDefault="0046209C" w:rsidP="000D092B">
      <w:pPr>
        <w:pStyle w:val="NormalIndent"/>
        <w:tabs>
          <w:tab w:val="left" w:pos="1980"/>
        </w:tabs>
        <w:spacing w:after="200"/>
        <w:ind w:left="2340" w:right="1041" w:hanging="365"/>
        <w:rPr>
          <w:sz w:val="20"/>
          <w:szCs w:val="20"/>
        </w:rPr>
      </w:pPr>
      <w:r w:rsidRPr="00ED445B">
        <w:rPr>
          <w:sz w:val="20"/>
          <w:szCs w:val="20"/>
        </w:rPr>
        <w:t>(e)</w:t>
      </w:r>
      <w:r w:rsidRPr="00ED445B">
        <w:rPr>
          <w:sz w:val="20"/>
          <w:szCs w:val="20"/>
        </w:rPr>
        <w:tab/>
        <w:t>A and C are not expected to affect the sensitizing properties of B.</w:t>
      </w:r>
    </w:p>
    <w:p w14:paraId="41B9CBD6" w14:textId="2D51FFF1" w:rsidR="0046209C" w:rsidRPr="00ED445B" w:rsidRDefault="0046209C" w:rsidP="000D092B">
      <w:pPr>
        <w:pStyle w:val="NormalIndent"/>
        <w:tabs>
          <w:tab w:val="left" w:pos="1418"/>
        </w:tabs>
        <w:spacing w:after="240"/>
        <w:ind w:left="1980" w:right="1041"/>
        <w:jc w:val="both"/>
        <w:rPr>
          <w:sz w:val="20"/>
          <w:szCs w:val="20"/>
        </w:rPr>
      </w:pPr>
      <w:r w:rsidRPr="00ED445B">
        <w:rPr>
          <w:sz w:val="20"/>
          <w:szCs w:val="20"/>
        </w:rPr>
        <w:t>If mixture (</w:t>
      </w:r>
      <w:proofErr w:type="spellStart"/>
      <w:r w:rsidRPr="00ED445B">
        <w:rPr>
          <w:sz w:val="20"/>
          <w:szCs w:val="20"/>
        </w:rPr>
        <w:t>i</w:t>
      </w:r>
      <w:proofErr w:type="spellEnd"/>
      <w:r w:rsidRPr="00ED445B">
        <w:rPr>
          <w:sz w:val="20"/>
          <w:szCs w:val="20"/>
        </w:rPr>
        <w:t xml:space="preserve">) or (ii) is already classified </w:t>
      </w:r>
      <w:r w:rsidRPr="004A7A48">
        <w:rPr>
          <w:strike/>
          <w:sz w:val="20"/>
          <w:szCs w:val="20"/>
        </w:rPr>
        <w:t>by testing</w:t>
      </w:r>
      <w:r>
        <w:rPr>
          <w:sz w:val="20"/>
          <w:szCs w:val="20"/>
        </w:rPr>
        <w:t xml:space="preserve"> </w:t>
      </w:r>
      <w:r w:rsidRPr="004A7A48">
        <w:rPr>
          <w:sz w:val="20"/>
          <w:szCs w:val="20"/>
          <w:u w:val="single"/>
        </w:rPr>
        <w:t>based on test data</w:t>
      </w:r>
      <w:r w:rsidRPr="00ED445B">
        <w:rPr>
          <w:sz w:val="20"/>
          <w:szCs w:val="20"/>
        </w:rPr>
        <w:t xml:space="preserve">, then the other mixture can be </w:t>
      </w:r>
      <w:r w:rsidRPr="0091533D">
        <w:rPr>
          <w:strike/>
          <w:sz w:val="20"/>
          <w:szCs w:val="20"/>
        </w:rPr>
        <w:t>assigned</w:t>
      </w:r>
      <w:r w:rsidRPr="00ED445B">
        <w:rPr>
          <w:sz w:val="20"/>
          <w:szCs w:val="20"/>
        </w:rPr>
        <w:t xml:space="preserve"> </w:t>
      </w:r>
      <w:r w:rsidR="0091533D" w:rsidRPr="0091533D">
        <w:rPr>
          <w:sz w:val="20"/>
          <w:szCs w:val="20"/>
          <w:u w:val="single"/>
        </w:rPr>
        <w:t>classified in</w:t>
      </w:r>
      <w:r w:rsidR="0091533D">
        <w:rPr>
          <w:sz w:val="20"/>
          <w:szCs w:val="20"/>
        </w:rPr>
        <w:t xml:space="preserve"> </w:t>
      </w:r>
      <w:r w:rsidRPr="00ED445B">
        <w:rPr>
          <w:sz w:val="20"/>
          <w:szCs w:val="20"/>
        </w:rPr>
        <w:t>the same hazard category.</w:t>
      </w:r>
    </w:p>
    <w:p w14:paraId="0FCD9A06" w14:textId="2A225888" w:rsidR="0046209C" w:rsidRPr="00ED445B" w:rsidRDefault="0046209C" w:rsidP="000D092B">
      <w:pPr>
        <w:pStyle w:val="GHSHeading5"/>
        <w:keepNext w:val="0"/>
        <w:keepLines w:val="0"/>
        <w:tabs>
          <w:tab w:val="clear" w:pos="1418"/>
          <w:tab w:val="left" w:pos="720"/>
        </w:tabs>
        <w:spacing w:after="200"/>
        <w:ind w:left="1890" w:right="1041" w:hanging="1260"/>
        <w:rPr>
          <w:sz w:val="20"/>
          <w:szCs w:val="20"/>
        </w:rPr>
      </w:pPr>
      <w:bookmarkStart w:id="2" w:name="_Toc11573773"/>
      <w:r w:rsidRPr="00B41F57">
        <w:rPr>
          <w:sz w:val="20"/>
          <w:szCs w:val="20"/>
        </w:rPr>
        <w:t>3.5.3.2.4</w:t>
      </w:r>
      <w:r w:rsidRPr="00B41F57">
        <w:rPr>
          <w:sz w:val="20"/>
          <w:szCs w:val="20"/>
        </w:rPr>
        <w:tab/>
      </w:r>
      <w:r w:rsidRPr="00B41F57">
        <w:rPr>
          <w:i/>
          <w:iCs/>
          <w:sz w:val="20"/>
          <w:szCs w:val="20"/>
        </w:rPr>
        <w:t>Substantially similar mixtures</w:t>
      </w:r>
      <w:bookmarkEnd w:id="2"/>
    </w:p>
    <w:p w14:paraId="5D9AA461" w14:textId="3DAF4ECD" w:rsidR="0046209C" w:rsidRPr="00ED445B" w:rsidRDefault="0046209C" w:rsidP="000D092B">
      <w:pPr>
        <w:tabs>
          <w:tab w:val="left" w:pos="2160"/>
        </w:tabs>
        <w:spacing w:after="120"/>
        <w:ind w:left="1890" w:right="1041"/>
      </w:pPr>
      <w:r w:rsidRPr="00ED445B">
        <w:t>Given the following:</w:t>
      </w:r>
    </w:p>
    <w:p w14:paraId="10A11307" w14:textId="28D49FE0" w:rsidR="0046209C" w:rsidRPr="00ED445B" w:rsidRDefault="0046209C" w:rsidP="000D092B">
      <w:pPr>
        <w:tabs>
          <w:tab w:val="left" w:pos="2430"/>
          <w:tab w:val="left" w:pos="3420"/>
          <w:tab w:val="left" w:pos="3960"/>
        </w:tabs>
        <w:spacing w:after="160"/>
        <w:ind w:left="1980" w:right="1041" w:hanging="90"/>
      </w:pPr>
      <w:r w:rsidRPr="00ED445B">
        <w:t>(a)</w:t>
      </w:r>
      <w:r w:rsidR="00B41F57">
        <w:tab/>
      </w:r>
      <w:r w:rsidRPr="00ED445B">
        <w:t>Two mixtures:</w:t>
      </w:r>
      <w:r w:rsidRPr="00ED445B">
        <w:tab/>
        <w:t>(</w:t>
      </w:r>
      <w:proofErr w:type="spellStart"/>
      <w:r w:rsidRPr="00ED445B">
        <w:t>i</w:t>
      </w:r>
      <w:proofErr w:type="spellEnd"/>
      <w:r w:rsidRPr="00ED445B">
        <w:t>)</w:t>
      </w:r>
      <w:r w:rsidR="00470E41">
        <w:t xml:space="preserve"> </w:t>
      </w:r>
      <w:r w:rsidRPr="00ED445B">
        <w:t xml:space="preserve">A + </w:t>
      </w:r>
      <w:proofErr w:type="gramStart"/>
      <w:r w:rsidRPr="00ED445B">
        <w:t>B;</w:t>
      </w:r>
      <w:proofErr w:type="gramEnd"/>
    </w:p>
    <w:p w14:paraId="0E63BBB4" w14:textId="07393064" w:rsidR="0046209C" w:rsidRPr="00ED445B" w:rsidRDefault="0046209C" w:rsidP="000D092B">
      <w:pPr>
        <w:tabs>
          <w:tab w:val="left" w:pos="2160"/>
          <w:tab w:val="left" w:pos="3960"/>
        </w:tabs>
        <w:spacing w:after="120"/>
        <w:ind w:left="1980" w:right="1041" w:hanging="1985"/>
      </w:pPr>
      <w:r w:rsidRPr="00ED445B">
        <w:tab/>
      </w:r>
      <w:r w:rsidRPr="00ED445B">
        <w:tab/>
      </w:r>
      <w:r w:rsidRPr="00ED445B">
        <w:tab/>
        <w:t>(ii)</w:t>
      </w:r>
      <w:r w:rsidR="00470E41">
        <w:t xml:space="preserve"> </w:t>
      </w:r>
      <w:r w:rsidRPr="00ED445B">
        <w:t xml:space="preserve">C + </w:t>
      </w:r>
      <w:proofErr w:type="gramStart"/>
      <w:r w:rsidRPr="00ED445B">
        <w:t>B;</w:t>
      </w:r>
      <w:proofErr w:type="gramEnd"/>
    </w:p>
    <w:p w14:paraId="232498CC" w14:textId="77777777" w:rsidR="0046209C" w:rsidRPr="00ED445B" w:rsidRDefault="0046209C" w:rsidP="000D092B">
      <w:pPr>
        <w:tabs>
          <w:tab w:val="left" w:pos="2430"/>
        </w:tabs>
        <w:spacing w:after="240"/>
        <w:ind w:left="2430" w:right="1041" w:hanging="567"/>
      </w:pPr>
      <w:r w:rsidRPr="00ED445B">
        <w:t>(b)</w:t>
      </w:r>
      <w:r w:rsidRPr="00ED445B">
        <w:tab/>
        <w:t xml:space="preserve">The concentration of mutagen ingredient B is the same in both </w:t>
      </w:r>
      <w:proofErr w:type="gramStart"/>
      <w:r w:rsidRPr="00ED445B">
        <w:t>mixtures;</w:t>
      </w:r>
      <w:proofErr w:type="gramEnd"/>
    </w:p>
    <w:p w14:paraId="4E068A9F" w14:textId="77777777" w:rsidR="0046209C" w:rsidRPr="00ED445B" w:rsidRDefault="0046209C" w:rsidP="000D092B">
      <w:pPr>
        <w:tabs>
          <w:tab w:val="left" w:pos="2430"/>
        </w:tabs>
        <w:spacing w:after="240"/>
        <w:ind w:left="2430" w:right="1041" w:hanging="567"/>
      </w:pPr>
      <w:r w:rsidRPr="00ED445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6C00DEA9" w14:textId="77777777" w:rsidR="0046209C" w:rsidRPr="00ED445B" w:rsidRDefault="0046209C" w:rsidP="000D092B">
      <w:pPr>
        <w:spacing w:after="240"/>
        <w:ind w:left="2430" w:right="1041" w:hanging="567"/>
        <w:rPr>
          <w:spacing w:val="-3"/>
        </w:rPr>
      </w:pPr>
      <w:r w:rsidRPr="00ED445B">
        <w:t>(d)</w:t>
      </w:r>
      <w:r w:rsidRPr="00ED445B">
        <w:tab/>
        <w:t xml:space="preserve">Data on toxicity for A and C are available and substantially equivalent, </w:t>
      </w:r>
      <w:proofErr w:type="gramStart"/>
      <w:r w:rsidRPr="00ED445B">
        <w:t>i.e.</w:t>
      </w:r>
      <w:proofErr w:type="gramEnd"/>
      <w:r w:rsidRPr="00ED445B">
        <w:t xml:space="preserve"> they are in </w:t>
      </w:r>
      <w:r w:rsidRPr="00ED445B">
        <w:rPr>
          <w:spacing w:val="-3"/>
        </w:rPr>
        <w:t>the same hazard category and are not expected to affect the germ cell mutagenicity of B.</w:t>
      </w:r>
    </w:p>
    <w:p w14:paraId="786ADE9F" w14:textId="7F46118F" w:rsidR="0046209C" w:rsidRPr="00ED445B" w:rsidRDefault="0046209C" w:rsidP="000D092B">
      <w:pPr>
        <w:tabs>
          <w:tab w:val="left" w:pos="1418"/>
        </w:tabs>
        <w:spacing w:after="240"/>
        <w:ind w:left="2430" w:right="1041"/>
        <w:rPr>
          <w:bCs/>
        </w:rPr>
      </w:pPr>
      <w:r w:rsidRPr="00ED445B">
        <w:rPr>
          <w:bCs/>
          <w:caps/>
        </w:rPr>
        <w:t>I</w:t>
      </w:r>
      <w:r w:rsidRPr="00ED445B">
        <w:rPr>
          <w:bCs/>
        </w:rPr>
        <w:t>f mixture (</w:t>
      </w:r>
      <w:proofErr w:type="spellStart"/>
      <w:r w:rsidRPr="00ED445B">
        <w:rPr>
          <w:bCs/>
        </w:rPr>
        <w:t>i</w:t>
      </w:r>
      <w:proofErr w:type="spellEnd"/>
      <w:r w:rsidRPr="00ED445B">
        <w:rPr>
          <w:bCs/>
        </w:rPr>
        <w:t xml:space="preserve">) or (ii) is already classified </w:t>
      </w:r>
      <w:r w:rsidRPr="004A7A48">
        <w:rPr>
          <w:bCs/>
          <w:strike/>
        </w:rPr>
        <w:t>by testing</w:t>
      </w:r>
      <w:r>
        <w:rPr>
          <w:bCs/>
        </w:rPr>
        <w:t xml:space="preserve"> </w:t>
      </w:r>
      <w:r w:rsidRPr="004A7A48">
        <w:rPr>
          <w:bCs/>
          <w:u w:val="single"/>
        </w:rPr>
        <w:t>based on test data</w:t>
      </w:r>
      <w:r w:rsidRPr="00ED445B">
        <w:rPr>
          <w:bCs/>
        </w:rPr>
        <w:t>, then the other mixture can be classified in the same hazard category.</w:t>
      </w:r>
    </w:p>
    <w:p w14:paraId="36EB62E3" w14:textId="3E1C8F50" w:rsidR="0046209C" w:rsidRPr="00ED445B" w:rsidRDefault="0046209C" w:rsidP="000D092B">
      <w:pPr>
        <w:pStyle w:val="GHSHeading5"/>
        <w:widowControl/>
        <w:tabs>
          <w:tab w:val="clear" w:pos="1418"/>
          <w:tab w:val="clear" w:pos="1985"/>
          <w:tab w:val="left" w:pos="720"/>
          <w:tab w:val="left" w:pos="2250"/>
        </w:tabs>
        <w:spacing w:after="240"/>
        <w:ind w:left="1890" w:right="1041" w:hanging="1260"/>
        <w:rPr>
          <w:sz w:val="20"/>
          <w:szCs w:val="20"/>
        </w:rPr>
      </w:pPr>
      <w:bookmarkStart w:id="3" w:name="_Toc11573789"/>
      <w:r w:rsidRPr="00ED445B">
        <w:rPr>
          <w:sz w:val="20"/>
          <w:szCs w:val="20"/>
        </w:rPr>
        <w:t>3.6.3.2.4</w:t>
      </w:r>
      <w:r w:rsidRPr="00ED445B">
        <w:rPr>
          <w:sz w:val="20"/>
          <w:szCs w:val="20"/>
        </w:rPr>
        <w:tab/>
      </w:r>
      <w:r w:rsidRPr="00ED445B">
        <w:rPr>
          <w:i/>
          <w:iCs/>
          <w:sz w:val="20"/>
          <w:szCs w:val="20"/>
        </w:rPr>
        <w:t>Substantially similar mixtures</w:t>
      </w:r>
      <w:bookmarkEnd w:id="3"/>
    </w:p>
    <w:p w14:paraId="7F3D724E" w14:textId="68B2CD59" w:rsidR="0046209C" w:rsidRPr="00ED445B" w:rsidRDefault="0046209C" w:rsidP="000D092B">
      <w:pPr>
        <w:keepNext/>
        <w:keepLines/>
        <w:tabs>
          <w:tab w:val="left" w:pos="1418"/>
        </w:tabs>
        <w:spacing w:after="240"/>
        <w:ind w:left="1890" w:right="1041"/>
      </w:pPr>
      <w:r w:rsidRPr="00ED445B">
        <w:t>Given the following:</w:t>
      </w:r>
    </w:p>
    <w:p w14:paraId="7357245A" w14:textId="1B10E936" w:rsidR="0046209C" w:rsidRPr="00ED445B" w:rsidRDefault="0046209C" w:rsidP="000D092B">
      <w:pPr>
        <w:keepNext/>
        <w:keepLines/>
        <w:spacing w:after="160"/>
        <w:ind w:left="2430" w:right="1041" w:hanging="540"/>
      </w:pPr>
      <w:r w:rsidRPr="00ED445B">
        <w:t>(a)</w:t>
      </w:r>
      <w:r w:rsidRPr="00ED445B">
        <w:tab/>
        <w:t>Two mixtures:</w:t>
      </w:r>
      <w:r w:rsidR="00470E41">
        <w:t xml:space="preserve">     </w:t>
      </w:r>
      <w:proofErr w:type="gramStart"/>
      <w:r w:rsidR="00470E41">
        <w:t xml:space="preserve">   </w:t>
      </w:r>
      <w:r w:rsidRPr="00ED445B">
        <w:t>(</w:t>
      </w:r>
      <w:proofErr w:type="spellStart"/>
      <w:proofErr w:type="gramEnd"/>
      <w:r w:rsidRPr="00ED445B">
        <w:t>i</w:t>
      </w:r>
      <w:proofErr w:type="spellEnd"/>
      <w:r w:rsidRPr="00ED445B">
        <w:t>)</w:t>
      </w:r>
      <w:r w:rsidR="00470E41">
        <w:t xml:space="preserve"> </w:t>
      </w:r>
      <w:r w:rsidRPr="00ED445B">
        <w:t>A + B;</w:t>
      </w:r>
    </w:p>
    <w:p w14:paraId="711A8103" w14:textId="168CC442" w:rsidR="0046209C" w:rsidRPr="00ED445B" w:rsidRDefault="0046209C" w:rsidP="000D092B">
      <w:pPr>
        <w:keepNext/>
        <w:keepLines/>
        <w:spacing w:after="200"/>
        <w:ind w:right="1041"/>
      </w:pPr>
      <w:r w:rsidRPr="00ED445B">
        <w:tab/>
      </w:r>
      <w:r w:rsidRPr="00ED445B">
        <w:tab/>
      </w:r>
      <w:r w:rsidRPr="00ED445B">
        <w:tab/>
      </w:r>
      <w:r w:rsidR="00B41F57">
        <w:tab/>
      </w:r>
      <w:r w:rsidR="00B41F57">
        <w:tab/>
      </w:r>
      <w:r w:rsidR="00470E41">
        <w:t xml:space="preserve">        </w:t>
      </w:r>
      <w:r w:rsidRPr="00ED445B">
        <w:t>(ii)</w:t>
      </w:r>
      <w:r w:rsidR="00470E41">
        <w:t xml:space="preserve"> </w:t>
      </w:r>
      <w:r w:rsidRPr="00ED445B">
        <w:t xml:space="preserve">C + </w:t>
      </w:r>
      <w:proofErr w:type="gramStart"/>
      <w:r w:rsidRPr="00ED445B">
        <w:t>B;</w:t>
      </w:r>
      <w:proofErr w:type="gramEnd"/>
    </w:p>
    <w:p w14:paraId="20D434B9" w14:textId="77777777" w:rsidR="0046209C" w:rsidRPr="00ED445B" w:rsidRDefault="0046209C" w:rsidP="000D092B">
      <w:pPr>
        <w:keepNext/>
        <w:keepLines/>
        <w:spacing w:after="240"/>
        <w:ind w:left="2430" w:right="1041" w:hanging="567"/>
      </w:pPr>
      <w:r w:rsidRPr="00ED445B">
        <w:t>(b)</w:t>
      </w:r>
      <w:r w:rsidRPr="00ED445B">
        <w:tab/>
        <w:t xml:space="preserve">The concentration of carcinogen ingredient B is the same in both </w:t>
      </w:r>
      <w:proofErr w:type="gramStart"/>
      <w:r w:rsidRPr="00ED445B">
        <w:t>mixtures;</w:t>
      </w:r>
      <w:proofErr w:type="gramEnd"/>
    </w:p>
    <w:p w14:paraId="07F74E97" w14:textId="77777777" w:rsidR="0046209C" w:rsidRPr="00ED445B" w:rsidRDefault="0046209C" w:rsidP="000D092B">
      <w:pPr>
        <w:spacing w:after="240"/>
        <w:ind w:left="2430" w:right="1041" w:hanging="567"/>
      </w:pPr>
      <w:r w:rsidRPr="00ED445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358E9EDE" w14:textId="77777777" w:rsidR="0046209C" w:rsidRPr="00ED445B" w:rsidRDefault="0046209C" w:rsidP="000D092B">
      <w:pPr>
        <w:spacing w:after="240"/>
        <w:ind w:left="2430" w:right="1041" w:hanging="567"/>
      </w:pPr>
      <w:r w:rsidRPr="00ED445B">
        <w:t>(d)</w:t>
      </w:r>
      <w:r w:rsidRPr="00ED445B">
        <w:tab/>
        <w:t xml:space="preserve">Data on toxicity for A and C are available and substantially equivalent, </w:t>
      </w:r>
      <w:proofErr w:type="gramStart"/>
      <w:r w:rsidRPr="00ED445B">
        <w:t>i.e.</w:t>
      </w:r>
      <w:proofErr w:type="gramEnd"/>
      <w:r w:rsidRPr="00ED445B">
        <w:t xml:space="preserve"> they are in the same hazard category and are not expected to affect the carcinogenicity of B.</w:t>
      </w:r>
    </w:p>
    <w:p w14:paraId="3B718457" w14:textId="7E32F9FF" w:rsidR="0046209C" w:rsidRPr="00ED445B" w:rsidRDefault="0046209C" w:rsidP="000D092B">
      <w:pPr>
        <w:tabs>
          <w:tab w:val="left" w:pos="1418"/>
        </w:tabs>
        <w:spacing w:after="240"/>
        <w:ind w:left="1890" w:right="1041"/>
      </w:pPr>
      <w:r w:rsidRPr="00ED445B">
        <w:t>If mixture (</w:t>
      </w:r>
      <w:proofErr w:type="spellStart"/>
      <w:r w:rsidRPr="00ED445B">
        <w:t>i</w:t>
      </w:r>
      <w:proofErr w:type="spellEnd"/>
      <w:r w:rsidRPr="00ED445B">
        <w:t xml:space="preserve">) or (ii) is already classified </w:t>
      </w:r>
      <w:r w:rsidRPr="004A7A48">
        <w:rPr>
          <w:strike/>
        </w:rPr>
        <w:t>by testing</w:t>
      </w:r>
      <w:r>
        <w:t xml:space="preserve"> </w:t>
      </w:r>
      <w:r w:rsidRPr="004A7A48">
        <w:rPr>
          <w:u w:val="single"/>
        </w:rPr>
        <w:t>based on test data</w:t>
      </w:r>
      <w:r w:rsidRPr="00ED445B">
        <w:t xml:space="preserve">, then the other mixture can be </w:t>
      </w:r>
      <w:r w:rsidRPr="005D6488">
        <w:rPr>
          <w:strike/>
        </w:rPr>
        <w:t>assigned</w:t>
      </w:r>
      <w:r w:rsidRPr="00ED445B">
        <w:t xml:space="preserve"> </w:t>
      </w:r>
      <w:r w:rsidR="005D6488" w:rsidRPr="0091533D">
        <w:rPr>
          <w:u w:val="single"/>
        </w:rPr>
        <w:t>classified in</w:t>
      </w:r>
      <w:r w:rsidR="005D6488">
        <w:t xml:space="preserve"> </w:t>
      </w:r>
      <w:r w:rsidRPr="00ED445B">
        <w:t>the same hazard category.</w:t>
      </w:r>
    </w:p>
    <w:p w14:paraId="0CEEC158" w14:textId="77777777" w:rsidR="0046209C" w:rsidRPr="00ED445B" w:rsidRDefault="0046209C" w:rsidP="000D092B">
      <w:pPr>
        <w:ind w:right="1041"/>
      </w:pPr>
    </w:p>
    <w:p w14:paraId="3E7C083D" w14:textId="77777777" w:rsidR="0046209C" w:rsidRPr="00ED445B" w:rsidRDefault="0046209C" w:rsidP="000D092B">
      <w:pPr>
        <w:pStyle w:val="GHSHeading5"/>
        <w:tabs>
          <w:tab w:val="left" w:pos="720"/>
        </w:tabs>
        <w:spacing w:after="220"/>
        <w:ind w:left="1890" w:right="1041" w:hanging="1260"/>
        <w:rPr>
          <w:sz w:val="20"/>
          <w:szCs w:val="20"/>
        </w:rPr>
      </w:pPr>
      <w:r w:rsidRPr="00ED445B">
        <w:rPr>
          <w:sz w:val="20"/>
          <w:szCs w:val="20"/>
        </w:rPr>
        <w:t>3.7.3.2.4</w:t>
      </w:r>
      <w:r w:rsidRPr="00ED445B">
        <w:rPr>
          <w:sz w:val="20"/>
          <w:szCs w:val="20"/>
        </w:rPr>
        <w:tab/>
      </w:r>
      <w:r w:rsidRPr="00ED445B">
        <w:rPr>
          <w:sz w:val="20"/>
          <w:szCs w:val="20"/>
        </w:rPr>
        <w:tab/>
      </w:r>
      <w:r w:rsidRPr="00ED445B">
        <w:rPr>
          <w:i/>
          <w:iCs/>
          <w:sz w:val="20"/>
          <w:szCs w:val="20"/>
        </w:rPr>
        <w:t>Substantially similar mixtures</w:t>
      </w:r>
    </w:p>
    <w:p w14:paraId="3754D9A3" w14:textId="1F94FB5D" w:rsidR="0046209C" w:rsidRPr="00ED445B" w:rsidRDefault="0046209C" w:rsidP="000D092B">
      <w:pPr>
        <w:keepNext/>
        <w:keepLines/>
        <w:tabs>
          <w:tab w:val="left" w:pos="1418"/>
        </w:tabs>
        <w:spacing w:after="120"/>
        <w:ind w:left="1890" w:right="1041"/>
      </w:pPr>
      <w:r w:rsidRPr="00ED445B">
        <w:t>Given the following:</w:t>
      </w:r>
    </w:p>
    <w:p w14:paraId="4D2E1503" w14:textId="26B7259B" w:rsidR="0046209C" w:rsidRPr="00ED445B" w:rsidRDefault="0046209C" w:rsidP="000D092B">
      <w:pPr>
        <w:tabs>
          <w:tab w:val="left" w:pos="1418"/>
          <w:tab w:val="left" w:pos="1985"/>
          <w:tab w:val="left" w:pos="2552"/>
          <w:tab w:val="left" w:pos="3119"/>
          <w:tab w:val="left" w:pos="3686"/>
        </w:tabs>
        <w:spacing w:after="160"/>
        <w:ind w:left="1987" w:right="1041" w:hanging="97"/>
      </w:pPr>
      <w:r w:rsidRPr="00ED445B">
        <w:tab/>
        <w:t>(a)</w:t>
      </w:r>
      <w:r w:rsidRPr="00ED445B">
        <w:tab/>
        <w:t>Two mixtures:</w:t>
      </w:r>
      <w:r w:rsidRPr="00ED445B">
        <w:tab/>
        <w:t>(</w:t>
      </w:r>
      <w:proofErr w:type="spellStart"/>
      <w:r w:rsidRPr="00ED445B">
        <w:t>i</w:t>
      </w:r>
      <w:proofErr w:type="spellEnd"/>
      <w:r w:rsidRPr="00ED445B">
        <w:t>)</w:t>
      </w:r>
      <w:r w:rsidR="00470E41">
        <w:t xml:space="preserve"> </w:t>
      </w:r>
      <w:r w:rsidRPr="00ED445B">
        <w:t xml:space="preserve">A + </w:t>
      </w:r>
      <w:proofErr w:type="gramStart"/>
      <w:r w:rsidRPr="00ED445B">
        <w:t>B;</w:t>
      </w:r>
      <w:proofErr w:type="gramEnd"/>
    </w:p>
    <w:p w14:paraId="7BE8E2E9" w14:textId="5B2A82C0" w:rsidR="0046209C" w:rsidRPr="00ED445B" w:rsidRDefault="0046209C" w:rsidP="000D092B">
      <w:pPr>
        <w:tabs>
          <w:tab w:val="left" w:pos="2552"/>
          <w:tab w:val="left" w:pos="3119"/>
          <w:tab w:val="left" w:pos="3686"/>
        </w:tabs>
        <w:spacing w:after="240"/>
        <w:ind w:left="1985" w:right="1041" w:hanging="1985"/>
      </w:pPr>
      <w:r w:rsidRPr="00ED445B">
        <w:tab/>
      </w:r>
      <w:r w:rsidRPr="00ED445B">
        <w:tab/>
      </w:r>
      <w:r w:rsidRPr="00ED445B">
        <w:tab/>
      </w:r>
      <w:r w:rsidRPr="00ED445B">
        <w:tab/>
      </w:r>
      <w:r w:rsidR="00470E41">
        <w:t xml:space="preserve">            </w:t>
      </w:r>
      <w:r w:rsidRPr="00ED445B">
        <w:t xml:space="preserve">(ii) C + </w:t>
      </w:r>
      <w:proofErr w:type="gramStart"/>
      <w:r w:rsidRPr="00ED445B">
        <w:t>B;</w:t>
      </w:r>
      <w:proofErr w:type="gramEnd"/>
    </w:p>
    <w:p w14:paraId="30560825" w14:textId="77777777" w:rsidR="0046209C" w:rsidRPr="00ED445B" w:rsidRDefault="0046209C" w:rsidP="000D092B">
      <w:pPr>
        <w:spacing w:after="240"/>
        <w:ind w:left="1980" w:right="1041" w:hanging="90"/>
      </w:pPr>
      <w:r w:rsidRPr="00ED445B">
        <w:t>(b)</w:t>
      </w:r>
      <w:r w:rsidRPr="00ED445B">
        <w:tab/>
        <w:t xml:space="preserve">The concentration of ingredient B, toxic to reproduction, is the same in both </w:t>
      </w:r>
      <w:proofErr w:type="gramStart"/>
      <w:r w:rsidRPr="00ED445B">
        <w:t>mixtures;</w:t>
      </w:r>
      <w:proofErr w:type="gramEnd"/>
    </w:p>
    <w:p w14:paraId="6F8344E3" w14:textId="77777777" w:rsidR="0046209C" w:rsidRPr="00ED445B" w:rsidRDefault="0046209C" w:rsidP="000D092B">
      <w:pPr>
        <w:spacing w:after="240"/>
        <w:ind w:left="1985" w:right="1041" w:hanging="95"/>
      </w:pPr>
      <w:r w:rsidRPr="00ED445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19F6A351" w14:textId="77777777" w:rsidR="0046209C" w:rsidRPr="00ED445B" w:rsidRDefault="0046209C" w:rsidP="000D092B">
      <w:pPr>
        <w:spacing w:after="240"/>
        <w:ind w:left="1985" w:right="1041" w:hanging="95"/>
      </w:pPr>
      <w:r w:rsidRPr="00ED445B">
        <w:t>(d)</w:t>
      </w:r>
      <w:r w:rsidRPr="00ED445B">
        <w:tab/>
        <w:t xml:space="preserve">Data on toxicity for A and C are available and substantially equivalent, </w:t>
      </w:r>
      <w:proofErr w:type="gramStart"/>
      <w:r w:rsidRPr="00ED445B">
        <w:t>i.e.</w:t>
      </w:r>
      <w:proofErr w:type="gramEnd"/>
      <w:r w:rsidRPr="00ED445B">
        <w:t xml:space="preserve"> they are in the same hazard category and are not expected to affect the reproductive toxicity of B.</w:t>
      </w:r>
    </w:p>
    <w:p w14:paraId="25E40ECD" w14:textId="2EDC54CB" w:rsidR="0046209C" w:rsidRPr="00ED445B" w:rsidRDefault="0046209C" w:rsidP="000D092B">
      <w:pPr>
        <w:spacing w:after="240"/>
        <w:ind w:left="1890" w:right="1041"/>
      </w:pPr>
      <w:r w:rsidRPr="00ED445B">
        <w:t>If mixture (</w:t>
      </w:r>
      <w:proofErr w:type="spellStart"/>
      <w:r w:rsidRPr="00ED445B">
        <w:t>i</w:t>
      </w:r>
      <w:proofErr w:type="spellEnd"/>
      <w:r w:rsidRPr="00ED445B">
        <w:t xml:space="preserve">) or (ii) is already classified </w:t>
      </w:r>
      <w:r w:rsidRPr="004A7A48">
        <w:rPr>
          <w:strike/>
        </w:rPr>
        <w:t>by testing</w:t>
      </w:r>
      <w:r>
        <w:t xml:space="preserve"> </w:t>
      </w:r>
      <w:r w:rsidRPr="009937BC">
        <w:rPr>
          <w:u w:val="single"/>
        </w:rPr>
        <w:t>based on test data</w:t>
      </w:r>
      <w:r w:rsidRPr="00ED445B">
        <w:t xml:space="preserve">, then the other mixture can be </w:t>
      </w:r>
      <w:r w:rsidRPr="005D6488">
        <w:rPr>
          <w:strike/>
        </w:rPr>
        <w:t>assigned</w:t>
      </w:r>
      <w:r w:rsidRPr="00ED445B">
        <w:t xml:space="preserve"> </w:t>
      </w:r>
      <w:r w:rsidR="005D6488" w:rsidRPr="0091533D">
        <w:rPr>
          <w:u w:val="single"/>
        </w:rPr>
        <w:t>classified in</w:t>
      </w:r>
      <w:r w:rsidR="005D6488">
        <w:t xml:space="preserve"> </w:t>
      </w:r>
      <w:r w:rsidRPr="00ED445B">
        <w:t>the same hazard category.</w:t>
      </w:r>
    </w:p>
    <w:p w14:paraId="3918A70A" w14:textId="5BD51D94" w:rsidR="0046209C" w:rsidRPr="00ED445B" w:rsidRDefault="0046209C" w:rsidP="000D092B">
      <w:pPr>
        <w:pStyle w:val="GHSHeading5"/>
        <w:spacing w:after="240"/>
        <w:ind w:left="1890" w:right="1041" w:hanging="1260"/>
        <w:rPr>
          <w:sz w:val="20"/>
          <w:szCs w:val="20"/>
        </w:rPr>
      </w:pPr>
      <w:r w:rsidRPr="00ED445B">
        <w:rPr>
          <w:sz w:val="20"/>
          <w:szCs w:val="20"/>
        </w:rPr>
        <w:t>3.8.3.3.6</w:t>
      </w:r>
      <w:r w:rsidRPr="00ED445B">
        <w:rPr>
          <w:sz w:val="20"/>
          <w:szCs w:val="20"/>
        </w:rPr>
        <w:tab/>
      </w:r>
      <w:r w:rsidR="00470E41">
        <w:rPr>
          <w:sz w:val="20"/>
          <w:szCs w:val="20"/>
        </w:rPr>
        <w:tab/>
      </w:r>
      <w:r w:rsidRPr="00ED445B">
        <w:rPr>
          <w:i/>
          <w:iCs/>
          <w:sz w:val="20"/>
          <w:szCs w:val="20"/>
        </w:rPr>
        <w:t>Substantially similar mixtures</w:t>
      </w:r>
    </w:p>
    <w:p w14:paraId="01CCF8F0" w14:textId="19DC909B" w:rsidR="0046209C" w:rsidRPr="00ED445B" w:rsidRDefault="0046209C" w:rsidP="000D092B">
      <w:pPr>
        <w:tabs>
          <w:tab w:val="left" w:pos="1418"/>
        </w:tabs>
        <w:spacing w:after="200"/>
        <w:ind w:left="1890" w:right="1041"/>
      </w:pPr>
      <w:r w:rsidRPr="00ED445B">
        <w:t>Given the following:</w:t>
      </w:r>
    </w:p>
    <w:p w14:paraId="2F76BB8C" w14:textId="75CC3FD4" w:rsidR="0046209C" w:rsidRPr="00ED445B" w:rsidRDefault="0046209C" w:rsidP="000D092B">
      <w:pPr>
        <w:tabs>
          <w:tab w:val="left" w:pos="1418"/>
          <w:tab w:val="left" w:pos="1985"/>
          <w:tab w:val="left" w:pos="2552"/>
          <w:tab w:val="left" w:pos="3119"/>
          <w:tab w:val="left" w:pos="3686"/>
        </w:tabs>
        <w:spacing w:after="160"/>
        <w:ind w:left="1987" w:right="1041" w:hanging="97"/>
      </w:pPr>
      <w:r w:rsidRPr="00ED445B">
        <w:t>(a)</w:t>
      </w:r>
      <w:r w:rsidRPr="00ED445B">
        <w:tab/>
        <w:t>Two mixtures:</w:t>
      </w:r>
      <w:r w:rsidRPr="00ED445B">
        <w:tab/>
        <w:t>(</w:t>
      </w:r>
      <w:proofErr w:type="spellStart"/>
      <w:r w:rsidRPr="00ED445B">
        <w:t>i</w:t>
      </w:r>
      <w:proofErr w:type="spellEnd"/>
      <w:r w:rsidRPr="00ED445B">
        <w:t>)</w:t>
      </w:r>
      <w:r w:rsidR="00470E41">
        <w:t xml:space="preserve"> </w:t>
      </w:r>
      <w:r w:rsidRPr="00ED445B">
        <w:t xml:space="preserve">A + </w:t>
      </w:r>
      <w:proofErr w:type="gramStart"/>
      <w:r w:rsidRPr="00ED445B">
        <w:t>B;</w:t>
      </w:r>
      <w:proofErr w:type="gramEnd"/>
    </w:p>
    <w:p w14:paraId="7905B1B7" w14:textId="64442E75" w:rsidR="0046209C" w:rsidRPr="00ED445B" w:rsidRDefault="0046209C" w:rsidP="000D092B">
      <w:pPr>
        <w:tabs>
          <w:tab w:val="left" w:pos="3119"/>
          <w:tab w:val="left" w:pos="3686"/>
        </w:tabs>
        <w:spacing w:after="120"/>
        <w:ind w:left="1985" w:right="1041" w:hanging="567"/>
      </w:pPr>
      <w:r w:rsidRPr="00ED445B">
        <w:tab/>
      </w:r>
      <w:r w:rsidRPr="00ED445B">
        <w:tab/>
      </w:r>
      <w:r w:rsidRPr="00ED445B">
        <w:tab/>
      </w:r>
      <w:r w:rsidR="00470E41">
        <w:t xml:space="preserve">            </w:t>
      </w:r>
      <w:r w:rsidRPr="00ED445B">
        <w:t>(ii)</w:t>
      </w:r>
      <w:r w:rsidR="00470E41">
        <w:t xml:space="preserve"> </w:t>
      </w:r>
      <w:r w:rsidRPr="00ED445B">
        <w:t xml:space="preserve">C + </w:t>
      </w:r>
      <w:proofErr w:type="gramStart"/>
      <w:r w:rsidRPr="00ED445B">
        <w:t>B;</w:t>
      </w:r>
      <w:proofErr w:type="gramEnd"/>
    </w:p>
    <w:p w14:paraId="6A7FB1BD" w14:textId="77777777" w:rsidR="0046209C" w:rsidRPr="00ED445B" w:rsidRDefault="0046209C" w:rsidP="000D092B">
      <w:pPr>
        <w:spacing w:after="200"/>
        <w:ind w:left="2430" w:right="1041" w:hanging="540"/>
      </w:pPr>
      <w:r w:rsidRPr="00ED445B">
        <w:t>(b)</w:t>
      </w:r>
      <w:r w:rsidRPr="00ED445B">
        <w:tab/>
        <w:t xml:space="preserve">The concentration of ingredient B is essentially the same in both </w:t>
      </w:r>
      <w:proofErr w:type="gramStart"/>
      <w:r w:rsidRPr="00ED445B">
        <w:t>mixtures;</w:t>
      </w:r>
      <w:proofErr w:type="gramEnd"/>
    </w:p>
    <w:p w14:paraId="3FD28E08" w14:textId="77777777" w:rsidR="0046209C" w:rsidRPr="00ED445B" w:rsidRDefault="0046209C" w:rsidP="000D092B">
      <w:pPr>
        <w:spacing w:after="200"/>
        <w:ind w:left="2430" w:right="1041" w:hanging="540"/>
      </w:pPr>
      <w:r w:rsidRPr="00ED445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0B9F91BD" w14:textId="77777777" w:rsidR="0046209C" w:rsidRPr="00ED445B" w:rsidRDefault="0046209C" w:rsidP="000D092B">
      <w:pPr>
        <w:spacing w:after="200"/>
        <w:ind w:left="2430" w:right="1041" w:hanging="540"/>
      </w:pPr>
      <w:r w:rsidRPr="00ED445B">
        <w:t>(d)</w:t>
      </w:r>
      <w:r w:rsidRPr="00ED445B">
        <w:tab/>
        <w:t xml:space="preserve">Data on toxicity for A and C are available and substantially equivalent, </w:t>
      </w:r>
      <w:proofErr w:type="gramStart"/>
      <w:r w:rsidRPr="00ED445B">
        <w:t>i.e.</w:t>
      </w:r>
      <w:proofErr w:type="gramEnd"/>
      <w:r w:rsidRPr="00ED445B">
        <w:t xml:space="preserve"> they are in the same hazard category and are not expected to affect the toxicity of B. </w:t>
      </w:r>
    </w:p>
    <w:p w14:paraId="03A6C86B" w14:textId="2CA952DC" w:rsidR="0046209C" w:rsidRPr="00ED445B" w:rsidRDefault="0046209C" w:rsidP="000D092B">
      <w:pPr>
        <w:pStyle w:val="Num-DocParagraph"/>
        <w:tabs>
          <w:tab w:val="left" w:pos="720"/>
        </w:tabs>
        <w:ind w:left="1890" w:right="1041"/>
        <w:rPr>
          <w:rFonts w:ascii="Times New Roman" w:hAnsi="Times New Roman"/>
          <w:i/>
          <w:sz w:val="20"/>
        </w:rPr>
      </w:pPr>
      <w:r w:rsidRPr="00ED445B">
        <w:rPr>
          <w:rFonts w:ascii="Times New Roman" w:hAnsi="Times New Roman"/>
          <w:sz w:val="20"/>
        </w:rPr>
        <w:t>If mixture (</w:t>
      </w:r>
      <w:proofErr w:type="spellStart"/>
      <w:r w:rsidRPr="00ED445B">
        <w:rPr>
          <w:rFonts w:ascii="Times New Roman" w:hAnsi="Times New Roman"/>
          <w:sz w:val="20"/>
        </w:rPr>
        <w:t>i</w:t>
      </w:r>
      <w:proofErr w:type="spellEnd"/>
      <w:r w:rsidRPr="00ED445B">
        <w:rPr>
          <w:rFonts w:ascii="Times New Roman" w:hAnsi="Times New Roman"/>
          <w:sz w:val="20"/>
        </w:rPr>
        <w:t xml:space="preserve">) or (ii) is already classified </w:t>
      </w:r>
      <w:r w:rsidRPr="009937BC">
        <w:rPr>
          <w:rFonts w:ascii="Times New Roman" w:hAnsi="Times New Roman"/>
          <w:strike/>
          <w:sz w:val="20"/>
        </w:rPr>
        <w:t>by testing</w:t>
      </w:r>
      <w:r>
        <w:rPr>
          <w:rFonts w:ascii="Times New Roman" w:hAnsi="Times New Roman"/>
        </w:rPr>
        <w:t xml:space="preserve"> </w:t>
      </w:r>
      <w:r w:rsidRPr="002805B2">
        <w:rPr>
          <w:rFonts w:ascii="Times New Roman" w:hAnsi="Times New Roman"/>
          <w:u w:val="single"/>
        </w:rPr>
        <w:t>based on test data</w:t>
      </w:r>
      <w:r w:rsidRPr="00ED445B">
        <w:rPr>
          <w:rFonts w:ascii="Times New Roman" w:hAnsi="Times New Roman"/>
          <w:sz w:val="20"/>
        </w:rPr>
        <w:t xml:space="preserve">, then the other mixture can be </w:t>
      </w:r>
      <w:r w:rsidRPr="005D6488">
        <w:rPr>
          <w:rFonts w:ascii="Times New Roman" w:hAnsi="Times New Roman"/>
          <w:strike/>
          <w:sz w:val="20"/>
        </w:rPr>
        <w:t>assigned</w:t>
      </w:r>
      <w:r w:rsidRPr="00ED445B">
        <w:rPr>
          <w:rFonts w:ascii="Times New Roman" w:hAnsi="Times New Roman"/>
          <w:sz w:val="20"/>
        </w:rPr>
        <w:t xml:space="preserve"> </w:t>
      </w:r>
      <w:r w:rsidR="005D6488" w:rsidRPr="0091533D">
        <w:rPr>
          <w:sz w:val="20"/>
          <w:u w:val="single"/>
        </w:rPr>
        <w:t>classified in</w:t>
      </w:r>
      <w:r w:rsidR="005D6488">
        <w:rPr>
          <w:sz w:val="20"/>
        </w:rPr>
        <w:t xml:space="preserve"> </w:t>
      </w:r>
      <w:r w:rsidRPr="00ED445B">
        <w:rPr>
          <w:rFonts w:ascii="Times New Roman" w:hAnsi="Times New Roman"/>
          <w:sz w:val="20"/>
        </w:rPr>
        <w:t>the same hazard category.</w:t>
      </w:r>
    </w:p>
    <w:p w14:paraId="306372A9" w14:textId="11E8C15F" w:rsidR="0046209C" w:rsidRPr="00ED445B" w:rsidRDefault="0046209C" w:rsidP="000D092B">
      <w:pPr>
        <w:pStyle w:val="GHSHeading5"/>
        <w:widowControl/>
        <w:tabs>
          <w:tab w:val="clear" w:pos="1418"/>
          <w:tab w:val="left" w:pos="720"/>
          <w:tab w:val="left" w:pos="1890"/>
        </w:tabs>
        <w:spacing w:after="240"/>
        <w:ind w:left="1888" w:right="1041" w:hanging="1260"/>
        <w:rPr>
          <w:sz w:val="20"/>
          <w:szCs w:val="20"/>
        </w:rPr>
      </w:pPr>
      <w:r w:rsidRPr="00ED445B">
        <w:rPr>
          <w:sz w:val="20"/>
          <w:szCs w:val="20"/>
        </w:rPr>
        <w:t>3.9.3.3.6</w:t>
      </w:r>
      <w:r w:rsidR="00CC22A4">
        <w:rPr>
          <w:sz w:val="20"/>
          <w:szCs w:val="20"/>
        </w:rPr>
        <w:tab/>
      </w:r>
      <w:r w:rsidRPr="00ED445B">
        <w:rPr>
          <w:i/>
          <w:iCs/>
          <w:sz w:val="20"/>
          <w:szCs w:val="20"/>
        </w:rPr>
        <w:t>Substantially similar mixtures</w:t>
      </w:r>
    </w:p>
    <w:p w14:paraId="7232834D" w14:textId="77777777" w:rsidR="0046209C" w:rsidRPr="00ED445B" w:rsidRDefault="0046209C" w:rsidP="000D092B">
      <w:pPr>
        <w:keepNext/>
        <w:keepLines/>
        <w:tabs>
          <w:tab w:val="left" w:pos="1418"/>
        </w:tabs>
        <w:spacing w:after="240"/>
        <w:ind w:left="1888" w:right="1041"/>
      </w:pPr>
      <w:r w:rsidRPr="00ED445B">
        <w:tab/>
        <w:t>Given the following:</w:t>
      </w:r>
    </w:p>
    <w:p w14:paraId="16E40CDF" w14:textId="2AE9B7F9" w:rsidR="0046209C" w:rsidRPr="00ED445B" w:rsidRDefault="0046209C" w:rsidP="000D092B">
      <w:pPr>
        <w:tabs>
          <w:tab w:val="left" w:pos="1418"/>
          <w:tab w:val="left" w:pos="2552"/>
          <w:tab w:val="left" w:pos="3119"/>
          <w:tab w:val="left" w:pos="3686"/>
        </w:tabs>
        <w:spacing w:after="160"/>
        <w:ind w:left="2430" w:right="1041" w:hanging="540"/>
      </w:pPr>
      <w:r w:rsidRPr="00ED445B">
        <w:t>(a)</w:t>
      </w:r>
      <w:r w:rsidRPr="00ED445B">
        <w:tab/>
        <w:t>Two mixtures:</w:t>
      </w:r>
      <w:r w:rsidRPr="00ED445B">
        <w:tab/>
        <w:t>(</w:t>
      </w:r>
      <w:proofErr w:type="spellStart"/>
      <w:r w:rsidRPr="00ED445B">
        <w:t>i</w:t>
      </w:r>
      <w:proofErr w:type="spellEnd"/>
      <w:r w:rsidRPr="00ED445B">
        <w:t>)</w:t>
      </w:r>
      <w:r w:rsidR="00CC22A4">
        <w:t xml:space="preserve"> </w:t>
      </w:r>
      <w:r w:rsidRPr="00ED445B">
        <w:t xml:space="preserve">A + </w:t>
      </w:r>
      <w:proofErr w:type="gramStart"/>
      <w:r w:rsidRPr="00ED445B">
        <w:t>B;</w:t>
      </w:r>
      <w:proofErr w:type="gramEnd"/>
    </w:p>
    <w:p w14:paraId="45CE9011" w14:textId="31469307" w:rsidR="0046209C" w:rsidRPr="00ED445B" w:rsidRDefault="0046209C" w:rsidP="000D092B">
      <w:pPr>
        <w:tabs>
          <w:tab w:val="left" w:pos="3119"/>
          <w:tab w:val="left" w:pos="3686"/>
        </w:tabs>
        <w:spacing w:after="240"/>
        <w:ind w:left="1979" w:right="1041" w:hanging="1979"/>
      </w:pPr>
      <w:r w:rsidRPr="00ED445B">
        <w:tab/>
      </w:r>
      <w:r w:rsidRPr="00ED445B">
        <w:tab/>
      </w:r>
      <w:r w:rsidRPr="00ED445B">
        <w:tab/>
        <w:t>(ii)</w:t>
      </w:r>
      <w:r w:rsidR="00CC22A4">
        <w:t xml:space="preserve"> </w:t>
      </w:r>
      <w:r w:rsidRPr="00ED445B">
        <w:t xml:space="preserve">C + </w:t>
      </w:r>
      <w:proofErr w:type="gramStart"/>
      <w:r w:rsidRPr="00ED445B">
        <w:t>B;</w:t>
      </w:r>
      <w:proofErr w:type="gramEnd"/>
    </w:p>
    <w:p w14:paraId="2079B9D7" w14:textId="77777777" w:rsidR="0046209C" w:rsidRPr="00ED445B" w:rsidRDefault="0046209C" w:rsidP="000D092B">
      <w:pPr>
        <w:spacing w:after="240"/>
        <w:ind w:left="2430" w:right="1041" w:hanging="540"/>
      </w:pPr>
      <w:r w:rsidRPr="00ED445B">
        <w:t>(b)</w:t>
      </w:r>
      <w:r w:rsidRPr="00ED445B">
        <w:tab/>
        <w:t xml:space="preserve">The concentration of ingredient B is essentially the same in both </w:t>
      </w:r>
      <w:proofErr w:type="gramStart"/>
      <w:r w:rsidRPr="00ED445B">
        <w:t>mixtures;</w:t>
      </w:r>
      <w:proofErr w:type="gramEnd"/>
    </w:p>
    <w:p w14:paraId="78DB2287" w14:textId="77777777" w:rsidR="0046209C" w:rsidRPr="00ED445B" w:rsidRDefault="0046209C" w:rsidP="000D092B">
      <w:pPr>
        <w:spacing w:after="240"/>
        <w:ind w:left="2430" w:right="1041" w:hanging="540"/>
      </w:pPr>
      <w:r w:rsidRPr="00ED445B">
        <w:t>(c)</w:t>
      </w:r>
      <w:r w:rsidRPr="00ED445B">
        <w:tab/>
        <w:t>The concentration of ingredient A in mixture (</w:t>
      </w:r>
      <w:proofErr w:type="spellStart"/>
      <w:r w:rsidRPr="00ED445B">
        <w:t>i</w:t>
      </w:r>
      <w:proofErr w:type="spellEnd"/>
      <w:r w:rsidRPr="00ED445B">
        <w:t>) equals that of ingredient C in mixture (ii</w:t>
      </w:r>
      <w:proofErr w:type="gramStart"/>
      <w:r w:rsidRPr="00ED445B">
        <w:t>);</w:t>
      </w:r>
      <w:proofErr w:type="gramEnd"/>
    </w:p>
    <w:p w14:paraId="09C88271" w14:textId="77777777" w:rsidR="0046209C" w:rsidRPr="00ED445B" w:rsidRDefault="0046209C" w:rsidP="000D092B">
      <w:pPr>
        <w:spacing w:after="240"/>
        <w:ind w:left="2430" w:right="1041" w:hanging="540"/>
      </w:pPr>
      <w:r w:rsidRPr="00ED445B">
        <w:t>(d)</w:t>
      </w:r>
      <w:r w:rsidRPr="00ED445B">
        <w:tab/>
        <w:t xml:space="preserve">Data on toxicity for A and C are available and substantially equivalent, </w:t>
      </w:r>
      <w:proofErr w:type="gramStart"/>
      <w:r w:rsidRPr="00ED445B">
        <w:t>i.e.</w:t>
      </w:r>
      <w:proofErr w:type="gramEnd"/>
      <w:r w:rsidRPr="00ED445B">
        <w:t xml:space="preserve"> they are in the same hazard category and are not expected to affect the toxicity of B. </w:t>
      </w:r>
    </w:p>
    <w:p w14:paraId="6C40E404" w14:textId="3ACCD9CD" w:rsidR="0046209C" w:rsidRPr="00ED445B" w:rsidRDefault="0046209C" w:rsidP="000D092B">
      <w:pPr>
        <w:tabs>
          <w:tab w:val="left" w:pos="1418"/>
        </w:tabs>
        <w:spacing w:after="240"/>
        <w:ind w:left="1890" w:right="1041"/>
      </w:pPr>
      <w:r w:rsidRPr="00ED445B">
        <w:t>If mixture (</w:t>
      </w:r>
      <w:proofErr w:type="spellStart"/>
      <w:r w:rsidRPr="00ED445B">
        <w:t>i</w:t>
      </w:r>
      <w:proofErr w:type="spellEnd"/>
      <w:r w:rsidRPr="00ED445B">
        <w:t xml:space="preserve">) or (ii) is already classified </w:t>
      </w:r>
      <w:r w:rsidRPr="002805B2">
        <w:rPr>
          <w:strike/>
        </w:rPr>
        <w:t>by testing</w:t>
      </w:r>
      <w:r>
        <w:t xml:space="preserve"> </w:t>
      </w:r>
      <w:r w:rsidRPr="002805B2">
        <w:rPr>
          <w:u w:val="single"/>
        </w:rPr>
        <w:t>based on test data</w:t>
      </w:r>
      <w:r w:rsidRPr="00ED445B">
        <w:t xml:space="preserve">, then the other mixture can be </w:t>
      </w:r>
      <w:r w:rsidR="005D6488" w:rsidRPr="005D6488">
        <w:rPr>
          <w:strike/>
        </w:rPr>
        <w:t>assigned</w:t>
      </w:r>
      <w:r w:rsidR="005D6488" w:rsidRPr="00ED445B">
        <w:t xml:space="preserve"> </w:t>
      </w:r>
      <w:r w:rsidR="005D6488" w:rsidRPr="0091533D">
        <w:rPr>
          <w:u w:val="single"/>
        </w:rPr>
        <w:t>classified in</w:t>
      </w:r>
      <w:r w:rsidR="005D6488">
        <w:t xml:space="preserve"> </w:t>
      </w:r>
      <w:r w:rsidRPr="00ED445B">
        <w:t>the same hazard category.</w:t>
      </w:r>
    </w:p>
    <w:p w14:paraId="490E40DD" w14:textId="77777777" w:rsidR="0046209C" w:rsidRPr="00ED445B" w:rsidRDefault="0046209C" w:rsidP="00583360">
      <w:pPr>
        <w:pStyle w:val="GHSBodyText"/>
        <w:keepNext/>
        <w:keepLines/>
        <w:tabs>
          <w:tab w:val="clear" w:pos="1418"/>
          <w:tab w:val="clear" w:pos="1985"/>
          <w:tab w:val="clear" w:pos="2552"/>
          <w:tab w:val="clear" w:pos="3119"/>
          <w:tab w:val="clear" w:pos="3686"/>
        </w:tabs>
        <w:ind w:left="1890" w:right="1043" w:hanging="1260"/>
        <w:rPr>
          <w:sz w:val="20"/>
        </w:rPr>
      </w:pPr>
      <w:r w:rsidRPr="00ED445B">
        <w:rPr>
          <w:iCs/>
          <w:sz w:val="20"/>
        </w:rPr>
        <w:t>3.10.3.2.6</w:t>
      </w:r>
      <w:r w:rsidRPr="00ED445B">
        <w:rPr>
          <w:iCs/>
          <w:sz w:val="20"/>
        </w:rPr>
        <w:tab/>
      </w:r>
      <w:r w:rsidRPr="00ED445B">
        <w:rPr>
          <w:i/>
          <w:iCs/>
          <w:sz w:val="20"/>
        </w:rPr>
        <w:t>Substantially similar mixtures</w:t>
      </w:r>
    </w:p>
    <w:p w14:paraId="42DB2E89" w14:textId="6CE2AEA5" w:rsidR="0046209C" w:rsidRPr="00ED445B" w:rsidRDefault="0046209C" w:rsidP="00583360">
      <w:pPr>
        <w:pStyle w:val="GHSBodyText"/>
        <w:keepNext/>
        <w:keepLines/>
        <w:tabs>
          <w:tab w:val="clear" w:pos="1418"/>
          <w:tab w:val="clear" w:pos="1985"/>
          <w:tab w:val="clear" w:pos="2552"/>
          <w:tab w:val="clear" w:pos="3119"/>
          <w:tab w:val="clear" w:pos="3686"/>
        </w:tabs>
        <w:ind w:left="1890" w:right="1043"/>
        <w:rPr>
          <w:sz w:val="20"/>
        </w:rPr>
      </w:pPr>
      <w:r w:rsidRPr="00ED445B">
        <w:rPr>
          <w:sz w:val="20"/>
        </w:rPr>
        <w:t>Given the following:</w:t>
      </w:r>
    </w:p>
    <w:p w14:paraId="6D9505D9" w14:textId="64075C73" w:rsidR="0046209C" w:rsidRPr="00ED445B" w:rsidRDefault="0046209C" w:rsidP="00583360">
      <w:pPr>
        <w:pStyle w:val="GHSBodyText"/>
        <w:keepNext/>
        <w:keepLines/>
        <w:spacing w:after="0"/>
        <w:ind w:left="2430" w:right="1043" w:hanging="562"/>
        <w:rPr>
          <w:sz w:val="20"/>
        </w:rPr>
      </w:pPr>
      <w:r w:rsidRPr="00ED445B">
        <w:rPr>
          <w:sz w:val="20"/>
        </w:rPr>
        <w:t>(a)</w:t>
      </w:r>
      <w:r w:rsidRPr="00ED445B">
        <w:rPr>
          <w:sz w:val="20"/>
        </w:rPr>
        <w:tab/>
        <w:t xml:space="preserve">Two mixtures: </w:t>
      </w:r>
      <w:r w:rsidRPr="00ED445B">
        <w:rPr>
          <w:sz w:val="20"/>
        </w:rPr>
        <w:tab/>
        <w:t>(</w:t>
      </w:r>
      <w:proofErr w:type="spellStart"/>
      <w:r w:rsidRPr="00ED445B">
        <w:rPr>
          <w:sz w:val="20"/>
        </w:rPr>
        <w:t>i</w:t>
      </w:r>
      <w:proofErr w:type="spellEnd"/>
      <w:r w:rsidRPr="00ED445B">
        <w:rPr>
          <w:sz w:val="20"/>
        </w:rPr>
        <w:t>)</w:t>
      </w:r>
      <w:r w:rsidR="0091533D">
        <w:rPr>
          <w:sz w:val="20"/>
        </w:rPr>
        <w:t xml:space="preserve"> </w:t>
      </w:r>
      <w:r w:rsidRPr="00ED445B">
        <w:rPr>
          <w:sz w:val="20"/>
        </w:rPr>
        <w:t xml:space="preserve">A + </w:t>
      </w:r>
      <w:proofErr w:type="gramStart"/>
      <w:r w:rsidRPr="00ED445B">
        <w:rPr>
          <w:sz w:val="20"/>
        </w:rPr>
        <w:t>B;</w:t>
      </w:r>
      <w:proofErr w:type="gramEnd"/>
    </w:p>
    <w:p w14:paraId="090E4BFF" w14:textId="2995A37C" w:rsidR="0046209C" w:rsidRDefault="0046209C" w:rsidP="00583360">
      <w:pPr>
        <w:pStyle w:val="GHSBodyText"/>
        <w:keepNext/>
        <w:keepLines/>
        <w:tabs>
          <w:tab w:val="clear" w:pos="1418"/>
        </w:tabs>
        <w:spacing w:after="0"/>
        <w:ind w:left="1985" w:right="1043" w:hanging="562"/>
        <w:rPr>
          <w:sz w:val="20"/>
        </w:rPr>
      </w:pPr>
      <w:r w:rsidRPr="00ED445B">
        <w:rPr>
          <w:sz w:val="20"/>
        </w:rPr>
        <w:tab/>
      </w:r>
      <w:r w:rsidRPr="00ED445B">
        <w:rPr>
          <w:sz w:val="20"/>
        </w:rPr>
        <w:tab/>
      </w:r>
      <w:r w:rsidRPr="00ED445B">
        <w:rPr>
          <w:sz w:val="20"/>
        </w:rPr>
        <w:tab/>
      </w:r>
      <w:r w:rsidRPr="00ED445B">
        <w:rPr>
          <w:sz w:val="20"/>
        </w:rPr>
        <w:tab/>
        <w:t>(ii)</w:t>
      </w:r>
      <w:r w:rsidR="0091533D">
        <w:rPr>
          <w:sz w:val="20"/>
        </w:rPr>
        <w:t xml:space="preserve"> </w:t>
      </w:r>
      <w:r w:rsidRPr="00ED445B">
        <w:rPr>
          <w:sz w:val="20"/>
        </w:rPr>
        <w:t xml:space="preserve">C + </w:t>
      </w:r>
      <w:proofErr w:type="gramStart"/>
      <w:r w:rsidRPr="00ED445B">
        <w:rPr>
          <w:sz w:val="20"/>
        </w:rPr>
        <w:t>B;</w:t>
      </w:r>
      <w:proofErr w:type="gramEnd"/>
    </w:p>
    <w:p w14:paraId="6CAD8630" w14:textId="77777777" w:rsidR="0091533D" w:rsidRPr="00ED445B" w:rsidRDefault="0091533D" w:rsidP="00583360">
      <w:pPr>
        <w:pStyle w:val="GHSBodyText"/>
        <w:keepNext/>
        <w:keepLines/>
        <w:tabs>
          <w:tab w:val="clear" w:pos="1418"/>
        </w:tabs>
        <w:spacing w:after="0"/>
        <w:ind w:left="1985" w:right="1043" w:hanging="562"/>
        <w:rPr>
          <w:sz w:val="20"/>
        </w:rPr>
      </w:pPr>
    </w:p>
    <w:p w14:paraId="04863A5A" w14:textId="77777777" w:rsidR="0046209C" w:rsidRPr="00ED445B" w:rsidRDefault="0046209C" w:rsidP="00583360">
      <w:pPr>
        <w:pStyle w:val="GHSBodyText"/>
        <w:keepNext/>
        <w:keepLines/>
        <w:tabs>
          <w:tab w:val="clear" w:pos="1418"/>
          <w:tab w:val="clear" w:pos="1985"/>
          <w:tab w:val="left" w:pos="720"/>
          <w:tab w:val="left" w:pos="1890"/>
          <w:tab w:val="left" w:pos="2430"/>
        </w:tabs>
        <w:ind w:left="2430" w:right="1043" w:hanging="540"/>
        <w:rPr>
          <w:sz w:val="20"/>
        </w:rPr>
      </w:pPr>
      <w:r w:rsidRPr="00ED445B">
        <w:rPr>
          <w:sz w:val="20"/>
        </w:rPr>
        <w:t>(b)</w:t>
      </w:r>
      <w:r w:rsidRPr="00ED445B">
        <w:rPr>
          <w:sz w:val="20"/>
        </w:rPr>
        <w:tab/>
        <w:t xml:space="preserve">The concentration of ingredient B is essentially the same in both </w:t>
      </w:r>
      <w:proofErr w:type="gramStart"/>
      <w:r w:rsidRPr="00ED445B">
        <w:rPr>
          <w:sz w:val="20"/>
        </w:rPr>
        <w:t>mixtures;</w:t>
      </w:r>
      <w:proofErr w:type="gramEnd"/>
    </w:p>
    <w:p w14:paraId="2C793177" w14:textId="77777777" w:rsidR="0046209C" w:rsidRPr="00ED445B" w:rsidRDefault="0046209C" w:rsidP="000D092B">
      <w:pPr>
        <w:pStyle w:val="GHSBodyText"/>
        <w:tabs>
          <w:tab w:val="clear" w:pos="1418"/>
          <w:tab w:val="clear" w:pos="1985"/>
          <w:tab w:val="left" w:pos="720"/>
          <w:tab w:val="left" w:pos="1890"/>
          <w:tab w:val="left" w:pos="2430"/>
        </w:tabs>
        <w:ind w:left="2430" w:right="1041" w:hanging="540"/>
        <w:rPr>
          <w:sz w:val="20"/>
        </w:rPr>
      </w:pPr>
      <w:r w:rsidRPr="00ED445B">
        <w:rPr>
          <w:sz w:val="20"/>
        </w:rPr>
        <w:t>(c)</w:t>
      </w:r>
      <w:r w:rsidRPr="00ED445B">
        <w:rPr>
          <w:sz w:val="20"/>
        </w:rPr>
        <w:tab/>
        <w:t>The concentration of ingredient A in mixture (</w:t>
      </w:r>
      <w:proofErr w:type="spellStart"/>
      <w:r w:rsidRPr="00ED445B">
        <w:rPr>
          <w:sz w:val="20"/>
        </w:rPr>
        <w:t>i</w:t>
      </w:r>
      <w:proofErr w:type="spellEnd"/>
      <w:r w:rsidRPr="00ED445B">
        <w:rPr>
          <w:sz w:val="20"/>
        </w:rPr>
        <w:t>) equals that of ingredient C in mixture (ii</w:t>
      </w:r>
      <w:proofErr w:type="gramStart"/>
      <w:r w:rsidRPr="00ED445B">
        <w:rPr>
          <w:sz w:val="20"/>
        </w:rPr>
        <w:t>);</w:t>
      </w:r>
      <w:proofErr w:type="gramEnd"/>
    </w:p>
    <w:p w14:paraId="406B607F" w14:textId="77777777" w:rsidR="0046209C" w:rsidRPr="00ED445B" w:rsidRDefault="0046209C" w:rsidP="000D092B">
      <w:pPr>
        <w:pStyle w:val="GHSBodyText"/>
        <w:tabs>
          <w:tab w:val="clear" w:pos="1418"/>
          <w:tab w:val="clear" w:pos="1985"/>
          <w:tab w:val="left" w:pos="720"/>
          <w:tab w:val="left" w:pos="1890"/>
          <w:tab w:val="left" w:pos="2430"/>
        </w:tabs>
        <w:ind w:left="2430" w:right="1041" w:hanging="540"/>
        <w:rPr>
          <w:sz w:val="20"/>
        </w:rPr>
      </w:pPr>
      <w:r w:rsidRPr="00ED445B">
        <w:rPr>
          <w:sz w:val="20"/>
        </w:rPr>
        <w:t>(d)</w:t>
      </w:r>
      <w:r w:rsidRPr="00ED445B">
        <w:rPr>
          <w:sz w:val="20"/>
        </w:rPr>
        <w:tab/>
        <w:t xml:space="preserve">Aspiration toxicity for A and C is substantially equivalent, </w:t>
      </w:r>
      <w:proofErr w:type="gramStart"/>
      <w:r w:rsidRPr="00ED445B">
        <w:rPr>
          <w:sz w:val="20"/>
        </w:rPr>
        <w:t>i.e.</w:t>
      </w:r>
      <w:proofErr w:type="gramEnd"/>
      <w:r w:rsidRPr="00ED445B">
        <w:rPr>
          <w:sz w:val="20"/>
        </w:rPr>
        <w:t xml:space="preserve"> they are in the same hazard category and are not expected to affect the aspiration toxicity of B.</w:t>
      </w:r>
    </w:p>
    <w:p w14:paraId="7261BFCD" w14:textId="38A0521F" w:rsidR="0046209C" w:rsidRPr="00ED445B" w:rsidRDefault="0046209C" w:rsidP="000D092B">
      <w:pPr>
        <w:pStyle w:val="GHSBodyText"/>
        <w:ind w:left="1890" w:right="1041"/>
        <w:rPr>
          <w:sz w:val="20"/>
        </w:rPr>
      </w:pPr>
      <w:r w:rsidRPr="00ED445B">
        <w:rPr>
          <w:sz w:val="20"/>
        </w:rPr>
        <w:t>If mixture (</w:t>
      </w:r>
      <w:proofErr w:type="spellStart"/>
      <w:r w:rsidRPr="00ED445B">
        <w:rPr>
          <w:sz w:val="20"/>
        </w:rPr>
        <w:t>i</w:t>
      </w:r>
      <w:proofErr w:type="spellEnd"/>
      <w:r w:rsidRPr="00ED445B">
        <w:rPr>
          <w:sz w:val="20"/>
        </w:rPr>
        <w:t xml:space="preserve">) or (ii) is already classified based on the criteria in table 3.10.1, then the other mixture can be </w:t>
      </w:r>
      <w:r w:rsidRPr="00067ABE">
        <w:rPr>
          <w:strike/>
          <w:sz w:val="20"/>
        </w:rPr>
        <w:t xml:space="preserve">assigned </w:t>
      </w:r>
      <w:r w:rsidRPr="00BE199D">
        <w:rPr>
          <w:sz w:val="20"/>
          <w:u w:val="single"/>
        </w:rPr>
        <w:t>classified in</w:t>
      </w:r>
      <w:r>
        <w:t xml:space="preserve"> </w:t>
      </w:r>
      <w:r w:rsidRPr="00ED445B">
        <w:rPr>
          <w:sz w:val="20"/>
        </w:rPr>
        <w:t>the same hazard category.</w:t>
      </w:r>
    </w:p>
    <w:p w14:paraId="6E576D68" w14:textId="77777777" w:rsidR="0046209C" w:rsidRPr="00ED445B" w:rsidRDefault="0046209C" w:rsidP="000D092B">
      <w:pPr>
        <w:pStyle w:val="GHSHeading5"/>
        <w:tabs>
          <w:tab w:val="clear" w:pos="1418"/>
          <w:tab w:val="clear" w:pos="1985"/>
          <w:tab w:val="clear" w:pos="2552"/>
          <w:tab w:val="clear" w:pos="3119"/>
          <w:tab w:val="clear" w:pos="3686"/>
        </w:tabs>
        <w:spacing w:after="240"/>
        <w:ind w:left="1890" w:right="1041" w:hanging="1260"/>
        <w:rPr>
          <w:sz w:val="20"/>
          <w:szCs w:val="20"/>
        </w:rPr>
      </w:pPr>
      <w:r w:rsidRPr="00ED445B">
        <w:rPr>
          <w:sz w:val="20"/>
          <w:szCs w:val="20"/>
        </w:rPr>
        <w:t>4.1.3.4.6</w:t>
      </w:r>
      <w:r w:rsidRPr="00ED445B">
        <w:rPr>
          <w:sz w:val="20"/>
          <w:szCs w:val="20"/>
        </w:rPr>
        <w:tab/>
      </w:r>
      <w:r w:rsidRPr="00ED445B">
        <w:rPr>
          <w:i/>
          <w:iCs/>
          <w:sz w:val="20"/>
          <w:szCs w:val="20"/>
        </w:rPr>
        <w:t>Substantially similar mixtures</w:t>
      </w:r>
    </w:p>
    <w:p w14:paraId="2B0D1F7A" w14:textId="77777777" w:rsidR="0046209C" w:rsidRPr="00ED445B" w:rsidRDefault="0046209C" w:rsidP="000D092B">
      <w:pPr>
        <w:tabs>
          <w:tab w:val="left" w:pos="1418"/>
          <w:tab w:val="left" w:pos="1985"/>
          <w:tab w:val="left" w:pos="2835"/>
          <w:tab w:val="left" w:pos="3402"/>
          <w:tab w:val="left" w:pos="3969"/>
        </w:tabs>
        <w:spacing w:after="240"/>
        <w:ind w:left="1890" w:right="1041"/>
      </w:pPr>
      <w:r w:rsidRPr="00ED445B">
        <w:tab/>
        <w:t xml:space="preserve">Given </w:t>
      </w:r>
      <w:r w:rsidRPr="00ED445B">
        <w:rPr>
          <w:snapToGrid w:val="0"/>
        </w:rPr>
        <w:t>the</w:t>
      </w:r>
      <w:r w:rsidRPr="00ED445B">
        <w:t xml:space="preserve"> following:</w:t>
      </w:r>
    </w:p>
    <w:p w14:paraId="317D45FE" w14:textId="6E84D1E5" w:rsidR="0046209C" w:rsidRPr="00ED445B" w:rsidRDefault="0046209C" w:rsidP="000D092B">
      <w:pPr>
        <w:pStyle w:val="Style1"/>
        <w:tabs>
          <w:tab w:val="left" w:pos="1418"/>
          <w:tab w:val="left" w:pos="2430"/>
          <w:tab w:val="left" w:pos="2835"/>
          <w:tab w:val="left" w:pos="3402"/>
          <w:tab w:val="left" w:pos="3969"/>
        </w:tabs>
        <w:spacing w:after="160"/>
        <w:ind w:left="2002" w:right="1041" w:hanging="112"/>
        <w:rPr>
          <w:sz w:val="20"/>
          <w:szCs w:val="20"/>
        </w:rPr>
      </w:pPr>
      <w:r w:rsidRPr="00ED445B">
        <w:rPr>
          <w:sz w:val="20"/>
          <w:szCs w:val="20"/>
        </w:rPr>
        <w:t>(a)</w:t>
      </w:r>
      <w:r w:rsidRPr="00ED445B">
        <w:rPr>
          <w:sz w:val="20"/>
          <w:szCs w:val="20"/>
        </w:rPr>
        <w:tab/>
        <w:t>Two mixtures:</w:t>
      </w:r>
      <w:r w:rsidRPr="00ED445B">
        <w:rPr>
          <w:sz w:val="20"/>
          <w:szCs w:val="20"/>
        </w:rPr>
        <w:tab/>
        <w:t>(</w:t>
      </w:r>
      <w:proofErr w:type="spellStart"/>
      <w:r w:rsidRPr="00ED445B">
        <w:rPr>
          <w:sz w:val="20"/>
          <w:szCs w:val="20"/>
        </w:rPr>
        <w:t>i</w:t>
      </w:r>
      <w:proofErr w:type="spellEnd"/>
      <w:r w:rsidRPr="00ED445B">
        <w:rPr>
          <w:sz w:val="20"/>
          <w:szCs w:val="20"/>
        </w:rPr>
        <w:t>)</w:t>
      </w:r>
      <w:r w:rsidR="0091533D">
        <w:rPr>
          <w:sz w:val="20"/>
          <w:szCs w:val="20"/>
        </w:rPr>
        <w:t xml:space="preserve"> </w:t>
      </w:r>
      <w:r w:rsidRPr="00ED445B">
        <w:rPr>
          <w:sz w:val="20"/>
          <w:szCs w:val="20"/>
        </w:rPr>
        <w:t xml:space="preserve">A + </w:t>
      </w:r>
      <w:proofErr w:type="gramStart"/>
      <w:r w:rsidRPr="00ED445B">
        <w:rPr>
          <w:sz w:val="20"/>
          <w:szCs w:val="20"/>
        </w:rPr>
        <w:t>B;</w:t>
      </w:r>
      <w:proofErr w:type="gramEnd"/>
    </w:p>
    <w:p w14:paraId="2DF2DD5E" w14:textId="1BAA33BA" w:rsidR="0046209C" w:rsidRPr="00ED445B" w:rsidRDefault="0046209C" w:rsidP="000D092B">
      <w:pPr>
        <w:pStyle w:val="Style1"/>
        <w:tabs>
          <w:tab w:val="left" w:pos="1418"/>
          <w:tab w:val="left" w:pos="1985"/>
          <w:tab w:val="left" w:pos="2835"/>
          <w:tab w:val="left" w:pos="3402"/>
          <w:tab w:val="left" w:pos="3969"/>
        </w:tabs>
        <w:spacing w:after="240"/>
        <w:ind w:left="1996" w:right="1041" w:hanging="1996"/>
        <w:rPr>
          <w:sz w:val="20"/>
          <w:szCs w:val="20"/>
        </w:rPr>
      </w:pPr>
      <w:r w:rsidRPr="00ED445B">
        <w:rPr>
          <w:sz w:val="20"/>
          <w:szCs w:val="20"/>
        </w:rPr>
        <w:tab/>
      </w:r>
      <w:r w:rsidRPr="00ED445B">
        <w:rPr>
          <w:sz w:val="20"/>
          <w:szCs w:val="20"/>
        </w:rPr>
        <w:tab/>
      </w:r>
      <w:r w:rsidRPr="00ED445B">
        <w:rPr>
          <w:sz w:val="20"/>
          <w:szCs w:val="20"/>
        </w:rPr>
        <w:tab/>
      </w:r>
      <w:r w:rsidRPr="00ED445B">
        <w:rPr>
          <w:sz w:val="20"/>
          <w:szCs w:val="20"/>
        </w:rPr>
        <w:tab/>
      </w:r>
      <w:r w:rsidRPr="00ED445B">
        <w:rPr>
          <w:sz w:val="20"/>
          <w:szCs w:val="20"/>
        </w:rPr>
        <w:tab/>
      </w:r>
      <w:r w:rsidR="0091533D">
        <w:rPr>
          <w:sz w:val="20"/>
          <w:szCs w:val="20"/>
        </w:rPr>
        <w:t xml:space="preserve">          </w:t>
      </w:r>
      <w:r w:rsidRPr="00ED445B">
        <w:rPr>
          <w:sz w:val="20"/>
          <w:szCs w:val="20"/>
        </w:rPr>
        <w:t>(ii)</w:t>
      </w:r>
      <w:r w:rsidR="0091533D">
        <w:rPr>
          <w:sz w:val="20"/>
          <w:szCs w:val="20"/>
        </w:rPr>
        <w:t xml:space="preserve"> </w:t>
      </w:r>
      <w:r w:rsidRPr="00ED445B">
        <w:rPr>
          <w:sz w:val="20"/>
          <w:szCs w:val="20"/>
        </w:rPr>
        <w:t xml:space="preserve">C + </w:t>
      </w:r>
      <w:proofErr w:type="gramStart"/>
      <w:r w:rsidRPr="00ED445B">
        <w:rPr>
          <w:sz w:val="20"/>
          <w:szCs w:val="20"/>
        </w:rPr>
        <w:t>B;</w:t>
      </w:r>
      <w:proofErr w:type="gramEnd"/>
    </w:p>
    <w:p w14:paraId="59232C8C" w14:textId="77777777" w:rsidR="0046209C" w:rsidRPr="00ED445B" w:rsidRDefault="0046209C" w:rsidP="000D092B">
      <w:pPr>
        <w:pStyle w:val="Style1"/>
        <w:tabs>
          <w:tab w:val="left" w:pos="1418"/>
          <w:tab w:val="left" w:pos="2430"/>
          <w:tab w:val="left" w:pos="2835"/>
          <w:tab w:val="left" w:pos="3402"/>
          <w:tab w:val="left" w:pos="3969"/>
        </w:tabs>
        <w:spacing w:after="240"/>
        <w:ind w:left="2430" w:right="1041" w:hanging="540"/>
        <w:rPr>
          <w:sz w:val="20"/>
          <w:szCs w:val="20"/>
        </w:rPr>
      </w:pPr>
      <w:r w:rsidRPr="00ED445B">
        <w:rPr>
          <w:sz w:val="20"/>
          <w:szCs w:val="20"/>
        </w:rPr>
        <w:t>(b)</w:t>
      </w:r>
      <w:r w:rsidRPr="00ED445B">
        <w:rPr>
          <w:sz w:val="20"/>
          <w:szCs w:val="20"/>
        </w:rPr>
        <w:tab/>
        <w:t xml:space="preserve">The concentration of ingredient B is essentially the same in both </w:t>
      </w:r>
      <w:proofErr w:type="gramStart"/>
      <w:r w:rsidRPr="00ED445B">
        <w:rPr>
          <w:sz w:val="20"/>
          <w:szCs w:val="20"/>
        </w:rPr>
        <w:t>mixtures;</w:t>
      </w:r>
      <w:proofErr w:type="gramEnd"/>
    </w:p>
    <w:p w14:paraId="3570E90D" w14:textId="77777777" w:rsidR="0046209C" w:rsidRPr="00ED445B" w:rsidRDefault="0046209C" w:rsidP="000D092B">
      <w:pPr>
        <w:pStyle w:val="Style1"/>
        <w:tabs>
          <w:tab w:val="left" w:pos="1418"/>
          <w:tab w:val="left" w:pos="2430"/>
          <w:tab w:val="left" w:pos="2835"/>
          <w:tab w:val="left" w:pos="3402"/>
          <w:tab w:val="left" w:pos="3969"/>
        </w:tabs>
        <w:spacing w:after="240"/>
        <w:ind w:left="2430" w:right="1041" w:hanging="540"/>
        <w:rPr>
          <w:sz w:val="20"/>
          <w:szCs w:val="20"/>
        </w:rPr>
      </w:pPr>
      <w:r w:rsidRPr="00ED445B">
        <w:rPr>
          <w:sz w:val="20"/>
          <w:szCs w:val="20"/>
        </w:rPr>
        <w:t>(c)</w:t>
      </w:r>
      <w:r w:rsidRPr="00ED445B">
        <w:rPr>
          <w:sz w:val="20"/>
          <w:szCs w:val="20"/>
        </w:rPr>
        <w:tab/>
        <w:t>The concentration of ingredient A in mixture (</w:t>
      </w:r>
      <w:proofErr w:type="spellStart"/>
      <w:r w:rsidRPr="00ED445B">
        <w:rPr>
          <w:sz w:val="20"/>
          <w:szCs w:val="20"/>
        </w:rPr>
        <w:t>i</w:t>
      </w:r>
      <w:proofErr w:type="spellEnd"/>
      <w:r w:rsidRPr="00ED445B">
        <w:rPr>
          <w:sz w:val="20"/>
          <w:szCs w:val="20"/>
        </w:rPr>
        <w:t>) equals that of ingredient C in mixture (ii</w:t>
      </w:r>
      <w:proofErr w:type="gramStart"/>
      <w:r w:rsidRPr="00ED445B">
        <w:rPr>
          <w:sz w:val="20"/>
          <w:szCs w:val="20"/>
        </w:rPr>
        <w:t>);</w:t>
      </w:r>
      <w:proofErr w:type="gramEnd"/>
    </w:p>
    <w:p w14:paraId="47A96AAB" w14:textId="77777777" w:rsidR="0046209C" w:rsidRPr="00ED445B" w:rsidRDefault="0046209C" w:rsidP="000D092B">
      <w:pPr>
        <w:pStyle w:val="Style1"/>
        <w:tabs>
          <w:tab w:val="left" w:pos="1418"/>
          <w:tab w:val="left" w:pos="2430"/>
          <w:tab w:val="left" w:pos="2835"/>
          <w:tab w:val="left" w:pos="3402"/>
          <w:tab w:val="left" w:pos="3969"/>
        </w:tabs>
        <w:spacing w:after="240"/>
        <w:ind w:left="2430" w:right="1041" w:hanging="540"/>
        <w:rPr>
          <w:sz w:val="20"/>
          <w:szCs w:val="20"/>
        </w:rPr>
      </w:pPr>
      <w:r w:rsidRPr="00ED445B">
        <w:rPr>
          <w:sz w:val="20"/>
          <w:szCs w:val="20"/>
        </w:rPr>
        <w:t>(d)</w:t>
      </w:r>
      <w:r w:rsidRPr="00ED445B">
        <w:rPr>
          <w:sz w:val="20"/>
          <w:szCs w:val="20"/>
        </w:rPr>
        <w:tab/>
        <w:t xml:space="preserve">Data on aquatic hazards for A and C are available and are substantially equivalent, </w:t>
      </w:r>
      <w:proofErr w:type="gramStart"/>
      <w:r w:rsidRPr="00ED445B">
        <w:rPr>
          <w:sz w:val="20"/>
          <w:szCs w:val="20"/>
        </w:rPr>
        <w:t>i.e.</w:t>
      </w:r>
      <w:proofErr w:type="gramEnd"/>
      <w:r w:rsidRPr="00ED445B">
        <w:rPr>
          <w:sz w:val="20"/>
          <w:szCs w:val="20"/>
        </w:rPr>
        <w:t xml:space="preserve"> they are in the same hazard category and are not expected to affect the aquatic toxicity of B.</w:t>
      </w:r>
    </w:p>
    <w:p w14:paraId="496DFEE2" w14:textId="5AA86B6D" w:rsidR="0046209C" w:rsidRDefault="0046209C" w:rsidP="000D092B">
      <w:pPr>
        <w:tabs>
          <w:tab w:val="left" w:pos="1418"/>
        </w:tabs>
        <w:spacing w:after="240"/>
        <w:ind w:left="1890" w:right="1041"/>
      </w:pPr>
      <w:r w:rsidRPr="00ED445B">
        <w:t>If mixture (</w:t>
      </w:r>
      <w:proofErr w:type="spellStart"/>
      <w:r w:rsidRPr="00ED445B">
        <w:t>i</w:t>
      </w:r>
      <w:proofErr w:type="spellEnd"/>
      <w:r w:rsidRPr="00ED445B">
        <w:t xml:space="preserve">) or (ii) is already classified based on test data, then the other mixture can be </w:t>
      </w:r>
      <w:r w:rsidRPr="00BE199D">
        <w:rPr>
          <w:strike/>
        </w:rPr>
        <w:t xml:space="preserve">assigned </w:t>
      </w:r>
      <w:r w:rsidRPr="00522B22">
        <w:rPr>
          <w:u w:val="single"/>
        </w:rPr>
        <w:t>classified in</w:t>
      </w:r>
      <w:r>
        <w:t xml:space="preserve"> </w:t>
      </w:r>
      <w:r w:rsidRPr="00ED445B">
        <w:t>the same hazard category.</w:t>
      </w:r>
    </w:p>
    <w:p w14:paraId="535C652E" w14:textId="2BB86864" w:rsidR="00FA1192" w:rsidRDefault="00EA21CB" w:rsidP="00EA21CB">
      <w:pPr>
        <w:pStyle w:val="H1G"/>
        <w:tabs>
          <w:tab w:val="clear" w:pos="851"/>
          <w:tab w:val="right" w:pos="567"/>
        </w:tabs>
      </w:pPr>
      <w:r>
        <w:tab/>
      </w:r>
      <w:r w:rsidR="00FC13F0">
        <w:t>2.</w:t>
      </w:r>
      <w:r w:rsidR="00FC13F0">
        <w:tab/>
      </w:r>
      <w:r w:rsidR="00FA1192" w:rsidRPr="00FA1192">
        <w:t>Use of the term “aerosol” at the beginning of the Aerosols bridging principle</w:t>
      </w:r>
    </w:p>
    <w:p w14:paraId="668D8F50" w14:textId="50D9ECC0" w:rsidR="0046209C" w:rsidRPr="00ED445B" w:rsidRDefault="0046209C" w:rsidP="000D092B">
      <w:pPr>
        <w:pStyle w:val="GHSHeading5"/>
        <w:spacing w:after="240"/>
        <w:ind w:left="360" w:right="1041"/>
        <w:rPr>
          <w:i/>
          <w:iCs/>
          <w:sz w:val="20"/>
          <w:szCs w:val="20"/>
        </w:rPr>
      </w:pPr>
      <w:r w:rsidRPr="000C20F7">
        <w:rPr>
          <w:sz w:val="20"/>
          <w:szCs w:val="20"/>
        </w:rPr>
        <w:t>3.1.3.5.7</w:t>
      </w:r>
      <w:r w:rsidRPr="00ED445B">
        <w:rPr>
          <w:sz w:val="20"/>
          <w:szCs w:val="20"/>
        </w:rPr>
        <w:tab/>
      </w:r>
      <w:r w:rsidRPr="00ED445B">
        <w:rPr>
          <w:i/>
          <w:iCs/>
          <w:sz w:val="20"/>
          <w:szCs w:val="20"/>
        </w:rPr>
        <w:t>Aerosols</w:t>
      </w:r>
    </w:p>
    <w:p w14:paraId="5FBFCBEC" w14:textId="77777777" w:rsidR="0046209C" w:rsidRPr="00ED445B" w:rsidRDefault="0046209C" w:rsidP="000D092B">
      <w:pPr>
        <w:pStyle w:val="GHSBodyText"/>
        <w:ind w:left="360" w:right="1041"/>
        <w:rPr>
          <w:sz w:val="20"/>
        </w:rPr>
      </w:pPr>
      <w:r w:rsidRPr="00ED445B">
        <w:rPr>
          <w:sz w:val="20"/>
        </w:rPr>
        <w:tab/>
        <w:t xml:space="preserve">An </w:t>
      </w:r>
      <w:r w:rsidRPr="000F610C">
        <w:rPr>
          <w:strike/>
          <w:sz w:val="20"/>
        </w:rPr>
        <w:t>aerosol</w:t>
      </w:r>
      <w:r w:rsidRPr="00ED445B">
        <w:rPr>
          <w:sz w:val="20"/>
        </w:rPr>
        <w:t xml:space="preserve"> </w:t>
      </w:r>
      <w:r w:rsidRPr="00B7350F">
        <w:rPr>
          <w:sz w:val="20"/>
          <w:u w:val="single"/>
        </w:rPr>
        <w:t>aerosoli</w:t>
      </w:r>
      <w:r>
        <w:rPr>
          <w:sz w:val="20"/>
          <w:u w:val="single"/>
        </w:rPr>
        <w:t>s</w:t>
      </w:r>
      <w:r w:rsidRPr="00B7350F">
        <w:rPr>
          <w:sz w:val="20"/>
          <w:u w:val="single"/>
        </w:rPr>
        <w:t>ed</w:t>
      </w:r>
      <w:r>
        <w:rPr>
          <w:sz w:val="20"/>
        </w:rPr>
        <w:t xml:space="preserve"> </w:t>
      </w:r>
      <w:r w:rsidRPr="00ED445B">
        <w:rPr>
          <w:sz w:val="20"/>
        </w:rPr>
        <w:t xml:space="preserve">form of a mixture may be classified in the same hazard category as the tested, </w:t>
      </w:r>
      <w:r w:rsidRPr="006B02EC">
        <w:rPr>
          <w:strike/>
          <w:sz w:val="20"/>
        </w:rPr>
        <w:t>non-aerosolized</w:t>
      </w:r>
      <w:r w:rsidRPr="00ED445B">
        <w:rPr>
          <w:sz w:val="20"/>
        </w:rPr>
        <w:t xml:space="preserve"> </w:t>
      </w:r>
      <w:r w:rsidRPr="00487105">
        <w:rPr>
          <w:sz w:val="20"/>
          <w:u w:val="single"/>
        </w:rPr>
        <w:t>non-aerosolised</w:t>
      </w:r>
      <w:r>
        <w:rPr>
          <w:sz w:val="20"/>
        </w:rPr>
        <w:t xml:space="preserve"> </w:t>
      </w:r>
      <w:r w:rsidRPr="00ED445B">
        <w:rPr>
          <w:sz w:val="20"/>
        </w:rPr>
        <w:t xml:space="preserve">form of the mixture for oral and dermal toxicity provided the added propellant does not affect the toxicity of the mixture on spraying.  Classification of </w:t>
      </w:r>
      <w:r w:rsidRPr="00233DC3">
        <w:rPr>
          <w:strike/>
          <w:sz w:val="20"/>
        </w:rPr>
        <w:t>aerosolized</w:t>
      </w:r>
      <w:r w:rsidRPr="00ED445B">
        <w:rPr>
          <w:sz w:val="20"/>
        </w:rPr>
        <w:t xml:space="preserve"> </w:t>
      </w:r>
      <w:r w:rsidRPr="00233DC3">
        <w:rPr>
          <w:sz w:val="20"/>
          <w:u w:val="single"/>
        </w:rPr>
        <w:t>aerosolised</w:t>
      </w:r>
      <w:r>
        <w:rPr>
          <w:sz w:val="20"/>
        </w:rPr>
        <w:t xml:space="preserve"> </w:t>
      </w:r>
      <w:r w:rsidRPr="00ED445B">
        <w:rPr>
          <w:sz w:val="20"/>
        </w:rPr>
        <w:t>mixtures for inhalation toxicity should be considered separately.</w:t>
      </w:r>
    </w:p>
    <w:p w14:paraId="5BFF1119" w14:textId="77777777" w:rsidR="0046209C" w:rsidRPr="00ED445B" w:rsidRDefault="0046209C" w:rsidP="000D092B">
      <w:pPr>
        <w:pStyle w:val="GHSHeading5"/>
        <w:keepNext w:val="0"/>
        <w:keepLines w:val="0"/>
        <w:tabs>
          <w:tab w:val="clear" w:pos="1985"/>
          <w:tab w:val="clear" w:pos="3119"/>
          <w:tab w:val="clear" w:pos="3686"/>
        </w:tabs>
        <w:spacing w:after="240"/>
        <w:ind w:left="360" w:right="1041"/>
        <w:rPr>
          <w:sz w:val="20"/>
          <w:szCs w:val="20"/>
        </w:rPr>
      </w:pPr>
      <w:r w:rsidRPr="00ED445B">
        <w:rPr>
          <w:sz w:val="20"/>
          <w:szCs w:val="20"/>
        </w:rPr>
        <w:t>3.2.3.2.7</w:t>
      </w:r>
      <w:r w:rsidRPr="00ED445B">
        <w:rPr>
          <w:sz w:val="20"/>
          <w:szCs w:val="20"/>
        </w:rPr>
        <w:tab/>
      </w:r>
      <w:r w:rsidRPr="00ED445B">
        <w:rPr>
          <w:i/>
          <w:iCs/>
          <w:sz w:val="20"/>
          <w:szCs w:val="20"/>
        </w:rPr>
        <w:t>Aerosols</w:t>
      </w:r>
    </w:p>
    <w:p w14:paraId="633FC94A" w14:textId="77777777" w:rsidR="0046209C" w:rsidRPr="00ED445B" w:rsidRDefault="0046209C" w:rsidP="000D092B">
      <w:pPr>
        <w:tabs>
          <w:tab w:val="left" w:pos="1418"/>
          <w:tab w:val="left" w:pos="2552"/>
        </w:tabs>
        <w:spacing w:after="200"/>
        <w:ind w:left="360" w:right="1041"/>
        <w:jc w:val="both"/>
      </w:pPr>
      <w:r w:rsidRPr="00ED445B">
        <w:tab/>
        <w:t xml:space="preserve">An </w:t>
      </w:r>
      <w:r w:rsidRPr="00B7350F">
        <w:rPr>
          <w:strike/>
        </w:rPr>
        <w:t>aerosol</w:t>
      </w:r>
      <w:r w:rsidRPr="00ED445B">
        <w:t xml:space="preserve"> </w:t>
      </w:r>
      <w:bookmarkStart w:id="4" w:name="_Hlk114124382"/>
      <w:r w:rsidRPr="00D124B3">
        <w:rPr>
          <w:u w:val="single"/>
        </w:rPr>
        <w:t>aerosolised</w:t>
      </w:r>
      <w:bookmarkEnd w:id="4"/>
      <w:r w:rsidRPr="00ED445B">
        <w:t xml:space="preserve"> form of a mixture may be classified in the same hazard category as the tested </w:t>
      </w:r>
      <w:r w:rsidRPr="006B02EC">
        <w:rPr>
          <w:strike/>
        </w:rPr>
        <w:t>non-aerosolized</w:t>
      </w:r>
      <w:r w:rsidRPr="00ED445B">
        <w:t xml:space="preserve"> </w:t>
      </w:r>
      <w:r w:rsidRPr="00487105">
        <w:rPr>
          <w:u w:val="single"/>
        </w:rPr>
        <w:t>non-aerosolised</w:t>
      </w:r>
      <w:r w:rsidRPr="00ED445B">
        <w:t xml:space="preserve"> form </w:t>
      </w:r>
      <w:r w:rsidRPr="00EC63CB">
        <w:t xml:space="preserve">of the </w:t>
      </w:r>
      <w:r w:rsidRPr="00ED445B">
        <w:t>mixture provided that the added propellant does not affect the skin corrosion/irritation properties of the mixture upon spraying.</w:t>
      </w:r>
    </w:p>
    <w:p w14:paraId="211A1A97" w14:textId="77777777" w:rsidR="0046209C" w:rsidRPr="00ED445B" w:rsidRDefault="0046209C" w:rsidP="00583360">
      <w:pPr>
        <w:pStyle w:val="GHSHeading5"/>
        <w:keepNext w:val="0"/>
        <w:keepLines w:val="0"/>
        <w:widowControl/>
        <w:tabs>
          <w:tab w:val="clear" w:pos="1985"/>
          <w:tab w:val="clear" w:pos="2552"/>
          <w:tab w:val="left" w:pos="2268"/>
        </w:tabs>
        <w:spacing w:after="240"/>
        <w:ind w:left="357" w:right="1043"/>
        <w:rPr>
          <w:i/>
          <w:iCs/>
          <w:sz w:val="20"/>
          <w:szCs w:val="20"/>
        </w:rPr>
      </w:pPr>
      <w:r w:rsidRPr="00ED445B">
        <w:rPr>
          <w:sz w:val="20"/>
          <w:szCs w:val="20"/>
        </w:rPr>
        <w:t>3.3.3.2.7</w:t>
      </w:r>
      <w:r w:rsidRPr="00ED445B">
        <w:rPr>
          <w:sz w:val="20"/>
          <w:szCs w:val="20"/>
        </w:rPr>
        <w:tab/>
      </w:r>
      <w:r w:rsidRPr="00ED445B">
        <w:rPr>
          <w:i/>
          <w:iCs/>
          <w:sz w:val="20"/>
          <w:szCs w:val="20"/>
        </w:rPr>
        <w:t>Aerosols</w:t>
      </w:r>
    </w:p>
    <w:p w14:paraId="017ACC41" w14:textId="13066818" w:rsidR="0046209C" w:rsidRPr="00ED445B" w:rsidRDefault="0046209C" w:rsidP="00583360">
      <w:pPr>
        <w:tabs>
          <w:tab w:val="left" w:pos="2268"/>
        </w:tabs>
        <w:spacing w:after="240"/>
        <w:ind w:left="357" w:right="1043"/>
        <w:jc w:val="both"/>
      </w:pPr>
      <w:r w:rsidRPr="00ED445B">
        <w:tab/>
        <w:t xml:space="preserve">An </w:t>
      </w:r>
      <w:r w:rsidRPr="00B7350F">
        <w:rPr>
          <w:strike/>
        </w:rPr>
        <w:t>aerosol</w:t>
      </w:r>
      <w:r w:rsidRPr="00ED445B">
        <w:t xml:space="preserve"> </w:t>
      </w:r>
      <w:r w:rsidRPr="00D124B3">
        <w:rPr>
          <w:u w:val="single"/>
        </w:rPr>
        <w:t>aerosolised</w:t>
      </w:r>
      <w:r w:rsidRPr="00ED445B">
        <w:t xml:space="preserve"> form of a mixture may be classified in the same hazard category as the tested </w:t>
      </w:r>
      <w:r w:rsidRPr="006B02EC">
        <w:rPr>
          <w:strike/>
        </w:rPr>
        <w:t>non-aerosolized</w:t>
      </w:r>
      <w:r w:rsidRPr="00ED445B">
        <w:t xml:space="preserve"> </w:t>
      </w:r>
      <w:r w:rsidRPr="00487105">
        <w:rPr>
          <w:u w:val="single"/>
        </w:rPr>
        <w:t>non-aerosolised</w:t>
      </w:r>
      <w:r w:rsidRPr="00ED445B">
        <w:t xml:space="preserve"> form of </w:t>
      </w:r>
      <w:r w:rsidRPr="00ED445B">
        <w:rPr>
          <w:color w:val="1F497D" w:themeColor="text2"/>
        </w:rPr>
        <w:t xml:space="preserve">the </w:t>
      </w:r>
      <w:r w:rsidRPr="00ED445B">
        <w:t>mixture provided that the added propellant does not affect the serious eye damage/eye irritation properties of the mixture upon spraying.</w:t>
      </w:r>
    </w:p>
    <w:p w14:paraId="4DCCB3FA" w14:textId="77777777" w:rsidR="0046209C" w:rsidRPr="00ED445B" w:rsidRDefault="0046209C" w:rsidP="00583360">
      <w:pPr>
        <w:pStyle w:val="GHSHeading5"/>
        <w:keepNext w:val="0"/>
        <w:keepLines w:val="0"/>
        <w:widowControl/>
        <w:tabs>
          <w:tab w:val="left" w:pos="720"/>
        </w:tabs>
        <w:spacing w:after="240"/>
        <w:ind w:left="360" w:right="1041"/>
        <w:rPr>
          <w:sz w:val="20"/>
          <w:szCs w:val="20"/>
        </w:rPr>
      </w:pPr>
      <w:r w:rsidRPr="00ED445B">
        <w:rPr>
          <w:sz w:val="20"/>
          <w:szCs w:val="20"/>
        </w:rPr>
        <w:t>3.4.3.2.7</w:t>
      </w:r>
      <w:r w:rsidRPr="00ED445B">
        <w:rPr>
          <w:sz w:val="20"/>
          <w:szCs w:val="20"/>
        </w:rPr>
        <w:tab/>
      </w:r>
      <w:r w:rsidRPr="00ED445B">
        <w:rPr>
          <w:i/>
          <w:iCs/>
          <w:sz w:val="20"/>
          <w:szCs w:val="20"/>
        </w:rPr>
        <w:t>Aerosols</w:t>
      </w:r>
    </w:p>
    <w:p w14:paraId="41214EBE" w14:textId="77777777" w:rsidR="0046209C" w:rsidRPr="00ED445B" w:rsidRDefault="0046209C" w:rsidP="00583360">
      <w:pPr>
        <w:tabs>
          <w:tab w:val="left" w:pos="1418"/>
        </w:tabs>
        <w:spacing w:after="240"/>
        <w:ind w:left="360" w:right="1041"/>
      </w:pPr>
      <w:r w:rsidRPr="00ED445B">
        <w:tab/>
        <w:t xml:space="preserve">An </w:t>
      </w:r>
      <w:r w:rsidRPr="00B7350F">
        <w:rPr>
          <w:strike/>
        </w:rPr>
        <w:t>aerosol</w:t>
      </w:r>
      <w:r w:rsidRPr="00ED445B">
        <w:t xml:space="preserve"> </w:t>
      </w:r>
      <w:r w:rsidRPr="00D124B3">
        <w:rPr>
          <w:u w:val="single"/>
        </w:rPr>
        <w:t>aerosolised</w:t>
      </w:r>
      <w:r w:rsidRPr="00ED445B">
        <w:t xml:space="preserve"> form of the mixture may be classified in the same hazard category as the tested </w:t>
      </w:r>
      <w:r w:rsidRPr="006B02EC">
        <w:rPr>
          <w:strike/>
        </w:rPr>
        <w:t>non-aerosolized</w:t>
      </w:r>
      <w:r w:rsidRPr="00ED445B">
        <w:t xml:space="preserve"> </w:t>
      </w:r>
      <w:r w:rsidRPr="00487105">
        <w:rPr>
          <w:u w:val="single"/>
        </w:rPr>
        <w:t>non-aerosolised</w:t>
      </w:r>
      <w:r w:rsidRPr="00ED445B">
        <w:t xml:space="preserve"> form of the mixture provided that the added propellant does not affect the sensitizing properties of the mixture upon spraying.</w:t>
      </w:r>
    </w:p>
    <w:p w14:paraId="35D6AF75" w14:textId="77777777" w:rsidR="0046209C" w:rsidRPr="00ED445B" w:rsidRDefault="0046209C" w:rsidP="000D092B">
      <w:pPr>
        <w:pStyle w:val="GHSHeading5"/>
        <w:tabs>
          <w:tab w:val="left" w:pos="720"/>
        </w:tabs>
        <w:spacing w:after="240"/>
        <w:ind w:left="360" w:right="1041"/>
        <w:rPr>
          <w:sz w:val="20"/>
          <w:szCs w:val="20"/>
        </w:rPr>
      </w:pPr>
      <w:r w:rsidRPr="00ED445B">
        <w:rPr>
          <w:sz w:val="20"/>
          <w:szCs w:val="20"/>
        </w:rPr>
        <w:t>3.8.3.3.7</w:t>
      </w:r>
      <w:r w:rsidRPr="00ED445B">
        <w:rPr>
          <w:sz w:val="20"/>
          <w:szCs w:val="20"/>
        </w:rPr>
        <w:tab/>
      </w:r>
      <w:r w:rsidRPr="00ED445B">
        <w:rPr>
          <w:i/>
          <w:iCs/>
          <w:sz w:val="20"/>
          <w:szCs w:val="20"/>
        </w:rPr>
        <w:t>Aerosols</w:t>
      </w:r>
    </w:p>
    <w:p w14:paraId="0815EC94" w14:textId="77777777" w:rsidR="0046209C" w:rsidRPr="00ED445B" w:rsidRDefault="0046209C" w:rsidP="000D092B">
      <w:pPr>
        <w:pStyle w:val="Num-DocParagraph"/>
        <w:tabs>
          <w:tab w:val="left" w:pos="720"/>
        </w:tabs>
        <w:ind w:left="360" w:right="1041"/>
        <w:rPr>
          <w:rFonts w:ascii="Times New Roman" w:hAnsi="Times New Roman"/>
          <w:sz w:val="20"/>
        </w:rPr>
      </w:pPr>
      <w:r w:rsidRPr="00ED445B">
        <w:rPr>
          <w:rFonts w:ascii="Times New Roman" w:hAnsi="Times New Roman"/>
          <w:sz w:val="20"/>
        </w:rPr>
        <w:t xml:space="preserve">An </w:t>
      </w:r>
      <w:r w:rsidRPr="00B7350F">
        <w:rPr>
          <w:rFonts w:ascii="Times New Roman" w:hAnsi="Times New Roman"/>
          <w:strike/>
          <w:sz w:val="20"/>
        </w:rPr>
        <w:t>aerosol</w:t>
      </w:r>
      <w:r w:rsidRPr="00ED445B">
        <w:rPr>
          <w:rFonts w:ascii="Times New Roman" w:hAnsi="Times New Roman"/>
          <w:sz w:val="20"/>
        </w:rPr>
        <w:t xml:space="preserve"> </w:t>
      </w:r>
      <w:r w:rsidRPr="00D124B3">
        <w:rPr>
          <w:rFonts w:ascii="Times New Roman" w:hAnsi="Times New Roman"/>
          <w:sz w:val="20"/>
          <w:u w:val="single"/>
        </w:rPr>
        <w:t>aerosolised</w:t>
      </w:r>
      <w:r w:rsidRPr="00ED445B">
        <w:rPr>
          <w:rFonts w:ascii="Times New Roman" w:hAnsi="Times New Roman"/>
        </w:rPr>
        <w:t xml:space="preserve"> </w:t>
      </w:r>
      <w:r w:rsidRPr="00ED445B">
        <w:rPr>
          <w:rFonts w:ascii="Times New Roman" w:hAnsi="Times New Roman"/>
          <w:sz w:val="20"/>
        </w:rPr>
        <w:t xml:space="preserve">form of a mixture may be classified in the same hazard category as the tested, </w:t>
      </w:r>
      <w:r w:rsidRPr="006B02EC">
        <w:rPr>
          <w:rFonts w:ascii="Times New Roman" w:hAnsi="Times New Roman"/>
          <w:strike/>
          <w:sz w:val="20"/>
        </w:rPr>
        <w:t>non-aerosolized</w:t>
      </w:r>
      <w:r w:rsidRPr="00ED445B">
        <w:rPr>
          <w:rFonts w:ascii="Times New Roman" w:hAnsi="Times New Roman"/>
          <w:sz w:val="20"/>
        </w:rPr>
        <w:t xml:space="preserve"> </w:t>
      </w:r>
      <w:r w:rsidRPr="00487105">
        <w:rPr>
          <w:rFonts w:ascii="Times New Roman" w:hAnsi="Times New Roman"/>
          <w:sz w:val="20"/>
          <w:u w:val="single"/>
        </w:rPr>
        <w:t>non-aerosolised</w:t>
      </w:r>
      <w:r w:rsidRPr="00ED445B">
        <w:rPr>
          <w:rFonts w:ascii="Times New Roman" w:hAnsi="Times New Roman"/>
        </w:rPr>
        <w:t xml:space="preserve"> </w:t>
      </w:r>
      <w:r w:rsidRPr="00ED445B">
        <w:rPr>
          <w:rFonts w:ascii="Times New Roman" w:hAnsi="Times New Roman"/>
          <w:sz w:val="20"/>
        </w:rPr>
        <w:t xml:space="preserve">form of the mixture for oral and dermal toxicity provided the added propellant does not affect the toxicity of the mixture on spraying. Classification of </w:t>
      </w:r>
      <w:r w:rsidRPr="00233DC3">
        <w:rPr>
          <w:rFonts w:ascii="Times New Roman" w:hAnsi="Times New Roman"/>
          <w:strike/>
          <w:sz w:val="20"/>
        </w:rPr>
        <w:t>aerosolized</w:t>
      </w:r>
      <w:r w:rsidRPr="00ED445B">
        <w:rPr>
          <w:rFonts w:ascii="Times New Roman" w:hAnsi="Times New Roman"/>
          <w:sz w:val="20"/>
        </w:rPr>
        <w:t xml:space="preserve"> </w:t>
      </w:r>
      <w:r w:rsidRPr="00233DC3">
        <w:rPr>
          <w:rFonts w:ascii="Times New Roman" w:hAnsi="Times New Roman"/>
          <w:u w:val="single"/>
        </w:rPr>
        <w:t>aerosolised</w:t>
      </w:r>
      <w:r>
        <w:rPr>
          <w:rFonts w:ascii="Times New Roman" w:hAnsi="Times New Roman"/>
        </w:rPr>
        <w:t xml:space="preserve"> </w:t>
      </w:r>
      <w:r w:rsidRPr="00ED445B">
        <w:rPr>
          <w:rFonts w:ascii="Times New Roman" w:hAnsi="Times New Roman"/>
          <w:sz w:val="20"/>
        </w:rPr>
        <w:t>mixtures for inhalation toxicity should be considered separately.</w:t>
      </w:r>
    </w:p>
    <w:p w14:paraId="4C21B1C5" w14:textId="77777777" w:rsidR="0046209C" w:rsidRPr="00ED445B" w:rsidRDefault="0046209C" w:rsidP="000D092B">
      <w:pPr>
        <w:pStyle w:val="GHSHeading5"/>
        <w:keepNext w:val="0"/>
        <w:keepLines w:val="0"/>
        <w:tabs>
          <w:tab w:val="left" w:pos="720"/>
        </w:tabs>
        <w:spacing w:after="200"/>
        <w:ind w:left="360" w:right="1041"/>
        <w:rPr>
          <w:sz w:val="20"/>
          <w:szCs w:val="20"/>
        </w:rPr>
      </w:pPr>
      <w:r w:rsidRPr="00ED445B">
        <w:rPr>
          <w:sz w:val="20"/>
          <w:szCs w:val="20"/>
        </w:rPr>
        <w:t>3.9.3.3.7</w:t>
      </w:r>
      <w:r w:rsidRPr="00ED445B">
        <w:rPr>
          <w:sz w:val="20"/>
          <w:szCs w:val="20"/>
        </w:rPr>
        <w:tab/>
      </w:r>
      <w:r w:rsidRPr="00ED445B">
        <w:rPr>
          <w:i/>
          <w:iCs/>
          <w:sz w:val="20"/>
          <w:szCs w:val="20"/>
        </w:rPr>
        <w:t>Aerosols</w:t>
      </w:r>
    </w:p>
    <w:p w14:paraId="43ADC1C3" w14:textId="77777777" w:rsidR="0046209C" w:rsidRPr="00ED445B" w:rsidRDefault="0046209C" w:rsidP="000D092B">
      <w:pPr>
        <w:tabs>
          <w:tab w:val="left" w:pos="1418"/>
        </w:tabs>
        <w:spacing w:after="240"/>
        <w:ind w:left="360" w:right="1041"/>
      </w:pPr>
      <w:r w:rsidRPr="00ED445B">
        <w:tab/>
        <w:t xml:space="preserve">An </w:t>
      </w:r>
      <w:r w:rsidRPr="00B7350F">
        <w:rPr>
          <w:strike/>
        </w:rPr>
        <w:t>aerosol</w:t>
      </w:r>
      <w:r w:rsidRPr="00ED445B">
        <w:t xml:space="preserve"> </w:t>
      </w:r>
      <w:r w:rsidRPr="00D124B3">
        <w:rPr>
          <w:u w:val="single"/>
        </w:rPr>
        <w:t>aerosolised</w:t>
      </w:r>
      <w:r w:rsidRPr="00ED445B">
        <w:t xml:space="preserve"> form of a mixture may be classified in the same hazard category as the tested, </w:t>
      </w:r>
      <w:r w:rsidRPr="006B02EC">
        <w:rPr>
          <w:strike/>
        </w:rPr>
        <w:t>non-aerosolized</w:t>
      </w:r>
      <w:r w:rsidRPr="00ED445B">
        <w:t xml:space="preserve"> </w:t>
      </w:r>
      <w:r w:rsidRPr="00487105">
        <w:rPr>
          <w:u w:val="single"/>
        </w:rPr>
        <w:t>non-aerosolised</w:t>
      </w:r>
      <w:r w:rsidRPr="00ED445B">
        <w:t xml:space="preserve"> form of the mixture for oral and dermal toxicity provided the added propellant does not affect the toxicity of the mixture on spraying. Classification of </w:t>
      </w:r>
      <w:r w:rsidRPr="00233DC3">
        <w:rPr>
          <w:strike/>
        </w:rPr>
        <w:t>aerosolized</w:t>
      </w:r>
      <w:r w:rsidRPr="00ED445B">
        <w:t xml:space="preserve"> </w:t>
      </w:r>
      <w:r w:rsidRPr="00233DC3">
        <w:rPr>
          <w:u w:val="single"/>
        </w:rPr>
        <w:t>aer</w:t>
      </w:r>
      <w:r>
        <w:rPr>
          <w:u w:val="single"/>
        </w:rPr>
        <w:t>oso</w:t>
      </w:r>
      <w:r w:rsidRPr="00233DC3">
        <w:rPr>
          <w:u w:val="single"/>
        </w:rPr>
        <w:t>lised</w:t>
      </w:r>
      <w:r>
        <w:t xml:space="preserve"> </w:t>
      </w:r>
      <w:r w:rsidRPr="00ED445B">
        <w:t>mixtures for inhalation toxicity should be considered separately.</w:t>
      </w:r>
    </w:p>
    <w:p w14:paraId="6BB728C8" w14:textId="36D465A5" w:rsidR="00FA1192" w:rsidRDefault="000D092B" w:rsidP="00EA21CB">
      <w:pPr>
        <w:pStyle w:val="H1G"/>
        <w:tabs>
          <w:tab w:val="clear" w:pos="851"/>
          <w:tab w:val="right" w:pos="567"/>
        </w:tabs>
        <w:ind w:right="1043"/>
      </w:pPr>
      <w:r>
        <w:tab/>
      </w:r>
      <w:r w:rsidR="00FC13F0">
        <w:t>3.</w:t>
      </w:r>
      <w:r w:rsidR="00FC13F0">
        <w:tab/>
      </w:r>
      <w:r w:rsidR="00FA1192" w:rsidRPr="00FA1192">
        <w:t>Inconsistency in the use of the term hazards vs. properties in paragraphs 3.2.3.3.1 and 3.3.3.3.1</w:t>
      </w:r>
    </w:p>
    <w:p w14:paraId="5898059A" w14:textId="77777777" w:rsidR="00FA1192" w:rsidRPr="00FA1192" w:rsidRDefault="00FA1192" w:rsidP="006360B8">
      <w:pPr>
        <w:keepNext/>
        <w:keepLines/>
        <w:kinsoku w:val="0"/>
        <w:overflowPunct w:val="0"/>
        <w:autoSpaceDE w:val="0"/>
        <w:autoSpaceDN w:val="0"/>
        <w:adjustRightInd w:val="0"/>
        <w:snapToGrid w:val="0"/>
        <w:ind w:left="180" w:right="1041"/>
        <w:contextualSpacing/>
        <w:rPr>
          <w:sz w:val="21"/>
          <w:szCs w:val="21"/>
        </w:rPr>
      </w:pPr>
    </w:p>
    <w:p w14:paraId="1F75955F" w14:textId="13602D51" w:rsidR="0046209C" w:rsidRPr="00ED445B" w:rsidRDefault="0046209C" w:rsidP="006360B8">
      <w:pPr>
        <w:keepNext/>
        <w:keepLines/>
        <w:tabs>
          <w:tab w:val="left" w:pos="1418"/>
          <w:tab w:val="left" w:pos="2268"/>
        </w:tabs>
        <w:spacing w:after="240"/>
        <w:ind w:left="360" w:right="1041"/>
        <w:jc w:val="both"/>
      </w:pPr>
      <w:r w:rsidRPr="00ED445B">
        <w:t>3.3.3.3.1</w:t>
      </w:r>
      <w:r w:rsidRPr="00ED445B">
        <w:tab/>
        <w:t xml:space="preserve">In order to make use of all available data for purposes of classifying the serious eye damage/eye irritation </w:t>
      </w:r>
      <w:r w:rsidRPr="00E227A2">
        <w:rPr>
          <w:strike/>
        </w:rPr>
        <w:t>properties</w:t>
      </w:r>
      <w:r w:rsidRPr="00ED445B">
        <w:t xml:space="preserve"> </w:t>
      </w:r>
      <w:r w:rsidRPr="00E227A2">
        <w:rPr>
          <w:u w:val="single"/>
        </w:rPr>
        <w:t>hazards</w:t>
      </w:r>
      <w:r>
        <w:t xml:space="preserve"> </w:t>
      </w:r>
      <w:r w:rsidRPr="00ED445B">
        <w:t xml:space="preserve">of </w:t>
      </w:r>
      <w:r w:rsidRPr="003C4E74">
        <w:rPr>
          <w:strike/>
        </w:rPr>
        <w:t>the</w:t>
      </w:r>
      <w:r w:rsidRPr="00ED445B">
        <w:t xml:space="preserve"> mixtures, the following assumption has been made and is applied where appropriate in the tiered approach:</w:t>
      </w:r>
    </w:p>
    <w:p w14:paraId="7CF02391" w14:textId="5A748E62" w:rsidR="0046209C" w:rsidRPr="00ED445B" w:rsidRDefault="000D092B" w:rsidP="006360B8">
      <w:pPr>
        <w:keepNext/>
        <w:keepLines/>
        <w:tabs>
          <w:tab w:val="left" w:pos="1418"/>
          <w:tab w:val="left" w:pos="2268"/>
        </w:tabs>
        <w:spacing w:after="240"/>
        <w:ind w:left="360" w:right="1041"/>
        <w:jc w:val="both"/>
      </w:pPr>
      <w:r>
        <w:tab/>
      </w:r>
      <w:r w:rsidR="0046209C" w:rsidRPr="00ED445B">
        <w:t>The “relevant ingredients” of a mixture are those which are present in concentrations ≥ 1% (w/w for solids, liquids, dusts, mists and vapours and v/v for gases), unless there is a presumption (</w:t>
      </w:r>
      <w:proofErr w:type="gramStart"/>
      <w:r w:rsidR="0046209C" w:rsidRPr="00ED445B">
        <w:t>e.g.</w:t>
      </w:r>
      <w:proofErr w:type="gramEnd"/>
      <w:r w:rsidR="0046209C" w:rsidRPr="00ED445B">
        <w:t xml:space="preserve"> in the case of corrosive ingredients) that an ingredient present at a concentration &lt; 1% can still be relevant for classifying the mixture for serious eye damage/eye irritation.</w:t>
      </w:r>
    </w:p>
    <w:p w14:paraId="42923F07" w14:textId="70FFB7BC" w:rsidR="00617AD6" w:rsidRDefault="00617AD6" w:rsidP="000D092B">
      <w:pPr>
        <w:pStyle w:val="HChG"/>
      </w:pPr>
      <w:r>
        <w:t>Proposed amendments to address Item 8</w:t>
      </w:r>
    </w:p>
    <w:p w14:paraId="45CECCAE" w14:textId="5AE85DA2" w:rsidR="00DA5FBC" w:rsidRPr="00DB5DD5" w:rsidRDefault="00DA5FBC" w:rsidP="000D092B">
      <w:pPr>
        <w:pStyle w:val="SingleTxtG"/>
        <w:rPr>
          <w:b/>
        </w:rPr>
      </w:pPr>
      <w:r w:rsidRPr="00DB5DD5">
        <w:t>Clarify the inconsistent use of the:</w:t>
      </w:r>
    </w:p>
    <w:p w14:paraId="298F0B13" w14:textId="2E8B5322" w:rsidR="00DA5FBC" w:rsidRPr="00DB5DD5" w:rsidRDefault="00DA5FBC" w:rsidP="000D092B">
      <w:pPr>
        <w:pStyle w:val="Bullet1G"/>
      </w:pPr>
      <w:r w:rsidRPr="00DB5DD5">
        <w:t xml:space="preserve">Terms hazard class vs. endpoint effects, </w:t>
      </w:r>
    </w:p>
    <w:p w14:paraId="6FA8A5E6" w14:textId="6B8CE85F" w:rsidR="00DA5FBC" w:rsidRPr="00DB5DD5" w:rsidRDefault="00DA5FBC" w:rsidP="000D092B">
      <w:pPr>
        <w:pStyle w:val="Bullet1G"/>
      </w:pPr>
      <w:r w:rsidRPr="00DB5DD5">
        <w:t>Order of the terms “cut-off values” and “concentration limits”,</w:t>
      </w:r>
    </w:p>
    <w:p w14:paraId="33F16C21" w14:textId="0EAE7FF0" w:rsidR="00DA5FBC" w:rsidRPr="00DB5DD5" w:rsidRDefault="00DA5FBC" w:rsidP="000D092B">
      <w:pPr>
        <w:pStyle w:val="Bullet1G"/>
      </w:pPr>
      <w:r w:rsidRPr="00DB5DD5">
        <w:t>Reference to the Section 1.3.3.2, and</w:t>
      </w:r>
    </w:p>
    <w:p w14:paraId="2DD5A447" w14:textId="5407FF92" w:rsidR="00DA5FBC" w:rsidRPr="00DB5DD5" w:rsidRDefault="00DA5FBC" w:rsidP="000D092B">
      <w:pPr>
        <w:pStyle w:val="Bullet1G"/>
      </w:pPr>
      <w:r w:rsidRPr="00DB5DD5">
        <w:t>Reference to another paragraph and Figure</w:t>
      </w:r>
      <w:r w:rsidR="00AD606C" w:rsidRPr="00DB5DD5">
        <w:t xml:space="preserve"> </w:t>
      </w:r>
      <w:r w:rsidRPr="00DB5DD5">
        <w:t>in the paragraphs 3.2.3.3.5 and 3.3.3.3.5</w:t>
      </w:r>
    </w:p>
    <w:p w14:paraId="58FF4132" w14:textId="77777777" w:rsidR="0024091A" w:rsidRPr="0007237C" w:rsidRDefault="0024091A" w:rsidP="000D092B">
      <w:pPr>
        <w:pStyle w:val="H1G"/>
      </w:pPr>
      <w:r w:rsidRPr="0007237C">
        <w:t>Chapter 3.2</w:t>
      </w:r>
    </w:p>
    <w:p w14:paraId="75E74B14" w14:textId="4D4BE45E" w:rsidR="00D70239" w:rsidRPr="0007237C" w:rsidRDefault="00D70239" w:rsidP="00D70239">
      <w:pPr>
        <w:pStyle w:val="SingleTxtG"/>
        <w:tabs>
          <w:tab w:val="left" w:pos="1134"/>
        </w:tabs>
        <w:ind w:left="0"/>
        <w:rPr>
          <w:b/>
          <w:bCs/>
        </w:rPr>
      </w:pPr>
      <w:r w:rsidRPr="0007237C">
        <w:t>3.2.3.3.5</w:t>
      </w:r>
      <w:r w:rsidRPr="0007237C">
        <w:tab/>
        <w:t>Amend as shown:</w:t>
      </w:r>
    </w:p>
    <w:p w14:paraId="5374FD52" w14:textId="3455D6AC" w:rsidR="0024091A" w:rsidRPr="0007237C" w:rsidRDefault="00D70239" w:rsidP="00D70239">
      <w:pPr>
        <w:pStyle w:val="SingleTxtG"/>
        <w:rPr>
          <w:sz w:val="24"/>
          <w:szCs w:val="24"/>
        </w:rPr>
      </w:pPr>
      <w:r w:rsidRPr="0007237C">
        <w:t>“</w:t>
      </w:r>
      <w:r w:rsidR="0024091A" w:rsidRPr="0007237C">
        <w:t xml:space="preserve">3.2.3.3.5 </w:t>
      </w:r>
      <w:r w:rsidR="0024091A" w:rsidRPr="0007237C">
        <w:tab/>
        <w:t xml:space="preserve">On occasion, reliable data may show that the skin corrosion/irritation of an ingredient will not be evident when present at a level above the generic </w:t>
      </w:r>
      <w:r w:rsidR="0024091A" w:rsidRPr="0007237C">
        <w:rPr>
          <w:strike/>
        </w:rPr>
        <w:t>concentration limits/cut-off values</w:t>
      </w:r>
      <w:r w:rsidR="0024091A" w:rsidRPr="0007237C">
        <w:t xml:space="preserve"> </w:t>
      </w:r>
      <w:r w:rsidR="0024091A" w:rsidRPr="0007237C">
        <w:rPr>
          <w:u w:val="single"/>
        </w:rPr>
        <w:t>cut-off values/concentration limits</w:t>
      </w:r>
      <w:r w:rsidR="0024091A" w:rsidRPr="0007237C">
        <w:t xml:space="preserve"> mentioned in Tables 3.2.3 and 3.2.4. In these cases, the mixture could be classified according to those data (</w:t>
      </w:r>
      <w:r w:rsidR="0024091A" w:rsidRPr="0007237C">
        <w:rPr>
          <w:strike/>
        </w:rPr>
        <w:t>see also Classification of hazardous substances and mixtures - Use of cut-off values/Concentration limits (1.3.3.2)</w:t>
      </w:r>
      <w:r w:rsidR="0024091A" w:rsidRPr="0007237C">
        <w:t xml:space="preserve"> </w:t>
      </w:r>
      <w:r w:rsidR="0024091A" w:rsidRPr="0007237C">
        <w:rPr>
          <w:u w:val="single"/>
        </w:rPr>
        <w:t xml:space="preserve">see also 1.3.3.2). </w:t>
      </w:r>
      <w:r w:rsidR="0024091A" w:rsidRPr="0007237C">
        <w:t xml:space="preserve">On occasion, when it is expected that the skin corrosion/irritation of an ingredient will not be evident when present at a level above the generic </w:t>
      </w:r>
      <w:r w:rsidR="0024091A" w:rsidRPr="0007237C">
        <w:rPr>
          <w:strike/>
        </w:rPr>
        <w:t>concentration cut-off values</w:t>
      </w:r>
      <w:r w:rsidR="0024091A" w:rsidRPr="0007237C">
        <w:t xml:space="preserve"> </w:t>
      </w:r>
      <w:r w:rsidR="0024091A" w:rsidRPr="0007237C">
        <w:rPr>
          <w:u w:val="single"/>
        </w:rPr>
        <w:t>cut-off values/concentration limits</w:t>
      </w:r>
      <w:r w:rsidR="0024091A" w:rsidRPr="0007237C">
        <w:t xml:space="preserve"> mentioned in Tables 3.2.3 and 3.2.4, testing of the mixture may be considered. In those cases, the tiered weight of evidence approach should be applied as </w:t>
      </w:r>
      <w:r w:rsidR="0024091A" w:rsidRPr="0007237C">
        <w:rPr>
          <w:strike/>
        </w:rPr>
        <w:t xml:space="preserve">described in 3.2.3 and illustrated in Figure 3.2.1 </w:t>
      </w:r>
      <w:r w:rsidR="0024091A" w:rsidRPr="0007237C">
        <w:rPr>
          <w:u w:val="single"/>
        </w:rPr>
        <w:t>referred to in section 3.2.3, Figure 3.2.1 and explained in detail in this chapter</w:t>
      </w:r>
      <w:r w:rsidR="0024091A" w:rsidRPr="0007237C">
        <w:t>.</w:t>
      </w:r>
      <w:r w:rsidRPr="0007237C">
        <w:t>”</w:t>
      </w:r>
    </w:p>
    <w:p w14:paraId="56D19186" w14:textId="77777777" w:rsidR="0024091A" w:rsidRPr="0007237C" w:rsidRDefault="0024091A" w:rsidP="000D092B">
      <w:pPr>
        <w:pStyle w:val="H1G"/>
      </w:pPr>
      <w:r w:rsidRPr="0007237C">
        <w:t>Chapter 3.3</w:t>
      </w:r>
    </w:p>
    <w:p w14:paraId="49D51642" w14:textId="6837D6A7" w:rsidR="00D70239" w:rsidRPr="0007237C" w:rsidRDefault="00D70239" w:rsidP="00D70239">
      <w:pPr>
        <w:pStyle w:val="SingleTxtG"/>
        <w:tabs>
          <w:tab w:val="left" w:pos="1134"/>
        </w:tabs>
        <w:ind w:left="0"/>
        <w:rPr>
          <w:b/>
          <w:bCs/>
        </w:rPr>
      </w:pPr>
      <w:r w:rsidRPr="0007237C">
        <w:t>3.3.3.3.5</w:t>
      </w:r>
      <w:r w:rsidRPr="0007237C">
        <w:tab/>
        <w:t>Amend as shown:</w:t>
      </w:r>
    </w:p>
    <w:p w14:paraId="40C89321" w14:textId="0914FF6A" w:rsidR="0024091A" w:rsidRPr="0007237C" w:rsidRDefault="00D70239" w:rsidP="00D70239">
      <w:pPr>
        <w:pStyle w:val="SingleTxtG"/>
        <w:rPr>
          <w:strike/>
          <w:sz w:val="24"/>
          <w:szCs w:val="24"/>
        </w:rPr>
      </w:pPr>
      <w:r w:rsidRPr="0007237C">
        <w:t>“</w:t>
      </w:r>
      <w:r w:rsidR="0024091A" w:rsidRPr="0007237C">
        <w:t xml:space="preserve">3.3.3.3.5 </w:t>
      </w:r>
      <w:r w:rsidR="0024091A" w:rsidRPr="0007237C">
        <w:tab/>
        <w:t xml:space="preserve">On occasion, reliable data may show that the </w:t>
      </w:r>
      <w:r w:rsidR="0024091A" w:rsidRPr="0007237C">
        <w:rPr>
          <w:strike/>
        </w:rPr>
        <w:t>irreversible/reversible eye effects</w:t>
      </w:r>
      <w:r w:rsidR="0024091A" w:rsidRPr="0007237C">
        <w:t xml:space="preserve"> </w:t>
      </w:r>
      <w:r w:rsidR="0024091A" w:rsidRPr="0007237C">
        <w:rPr>
          <w:u w:val="single"/>
        </w:rPr>
        <w:t>serious eye damage/eye irritation</w:t>
      </w:r>
      <w:r w:rsidR="0024091A" w:rsidRPr="0007237C">
        <w:t xml:space="preserve"> of an ingredient will not be evident when present at a level above the generic cut-off values/concentration limits mentioned in Tables 3.3.3 and 3.3.4. In these cases, the mixture could be classified according to those data (see also 1.3.3.2 </w:t>
      </w:r>
      <w:r w:rsidR="0024091A" w:rsidRPr="0007237C">
        <w:rPr>
          <w:strike/>
        </w:rPr>
        <w:t>"Use of cut-off values/Concentration limits"</w:t>
      </w:r>
      <w:r w:rsidR="0024091A" w:rsidRPr="0007237C">
        <w:t xml:space="preserve">). On occasion, when it is expected that the skin corrosion/irritation or the </w:t>
      </w:r>
      <w:r w:rsidR="0024091A" w:rsidRPr="0007237C">
        <w:rPr>
          <w:strike/>
        </w:rPr>
        <w:t>irreversible/reversible eye effects</w:t>
      </w:r>
      <w:r w:rsidR="0024091A" w:rsidRPr="0007237C">
        <w:t xml:space="preserve"> </w:t>
      </w:r>
      <w:r w:rsidR="0024091A" w:rsidRPr="0007237C">
        <w:rPr>
          <w:u w:val="single"/>
        </w:rPr>
        <w:t>serious eye damage/eye irritation</w:t>
      </w:r>
      <w:r w:rsidR="0024091A" w:rsidRPr="0007237C">
        <w:t xml:space="preserve"> of an ingredient will not be evident when present at a level above the generic </w:t>
      </w:r>
      <w:r w:rsidR="0024091A" w:rsidRPr="0007237C">
        <w:rPr>
          <w:strike/>
        </w:rPr>
        <w:t>concentration/cut-off levels</w:t>
      </w:r>
      <w:r w:rsidR="0024091A" w:rsidRPr="0007237C">
        <w:t xml:space="preserve"> </w:t>
      </w:r>
      <w:r w:rsidR="0024091A" w:rsidRPr="0007237C">
        <w:rPr>
          <w:u w:val="single"/>
        </w:rPr>
        <w:t>cut-off values/concentration limits</w:t>
      </w:r>
      <w:r w:rsidR="0024091A" w:rsidRPr="0007237C">
        <w:t xml:space="preserve"> mentioned in Tables 3.3.3 and 3.3.4, testing of the mixture may be considered. In those cases, the tiered weight of evidence approach should be applied as referred to in section 3.3.3, Figure 3.3.1 and explained in detail in this chapter.</w:t>
      </w:r>
      <w:r w:rsidRPr="0007237C">
        <w:t>”</w:t>
      </w:r>
    </w:p>
    <w:p w14:paraId="50AB303A" w14:textId="77777777" w:rsidR="004731AC" w:rsidRDefault="009A5DD9" w:rsidP="000D092B">
      <w:pPr>
        <w:pStyle w:val="HChG"/>
      </w:pPr>
      <w:r>
        <w:t>Proposed amendments to address Item 9</w:t>
      </w:r>
    </w:p>
    <w:p w14:paraId="45FF250A" w14:textId="25ABF38D" w:rsidR="005F1EE5" w:rsidRPr="004731AC" w:rsidRDefault="005F1EE5" w:rsidP="000D092B">
      <w:pPr>
        <w:pStyle w:val="SingleTxtG"/>
        <w:rPr>
          <w:sz w:val="28"/>
          <w:szCs w:val="28"/>
        </w:rPr>
      </w:pPr>
      <w:r w:rsidRPr="004731AC">
        <w:t>For consistency, update the hazard communication section of each physical, health and environmental chapter to refer to the label elements table</w:t>
      </w:r>
    </w:p>
    <w:p w14:paraId="75F2559C" w14:textId="77777777" w:rsidR="0024091A" w:rsidRPr="0007237C" w:rsidRDefault="0024091A" w:rsidP="000D092B">
      <w:pPr>
        <w:pStyle w:val="H1G"/>
      </w:pPr>
      <w:r w:rsidRPr="0007237C">
        <w:t>Chapter 2.1</w:t>
      </w:r>
    </w:p>
    <w:p w14:paraId="4AAD1634" w14:textId="3EA87A8F" w:rsidR="001F5B40" w:rsidRPr="0007237C" w:rsidRDefault="001F5B40" w:rsidP="0024091A">
      <w:pPr>
        <w:shd w:val="clear" w:color="auto" w:fill="FFFFFF"/>
        <w:spacing w:before="100" w:beforeAutospacing="1" w:after="100" w:afterAutospacing="1"/>
      </w:pPr>
      <w:r w:rsidRPr="0007237C">
        <w:t>2.1.3</w:t>
      </w:r>
      <w:r w:rsidRPr="0007237C">
        <w:tab/>
        <w:t xml:space="preserve">Amend as shown: </w:t>
      </w:r>
    </w:p>
    <w:p w14:paraId="6CCB3715" w14:textId="682B0A7C" w:rsidR="0024091A" w:rsidRPr="0007237C" w:rsidRDefault="001F5B40" w:rsidP="001F5B40">
      <w:pPr>
        <w:pStyle w:val="SingleTxtG"/>
        <w:rPr>
          <w:szCs w:val="24"/>
          <w:u w:val="single"/>
        </w:rPr>
      </w:pPr>
      <w:r w:rsidRPr="0007237C">
        <w:t>“</w:t>
      </w:r>
      <w:r w:rsidR="0024091A" w:rsidRPr="0007237C">
        <w:t xml:space="preserve">2.1.3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2.1.2 presents specific label elements for substances and mixtures classified into this hazard class based on the criteria in this chapter.</w:t>
      </w:r>
      <w:r w:rsidR="0024091A" w:rsidRPr="0007237C">
        <w:t xml:space="preserve"> </w:t>
      </w:r>
      <w:r w:rsidRPr="0007237C">
        <w:t>“</w:t>
      </w:r>
      <w:r w:rsidR="0024091A" w:rsidRPr="0007237C">
        <w:t xml:space="preserve"> </w:t>
      </w:r>
    </w:p>
    <w:p w14:paraId="4B0D12BF" w14:textId="77777777" w:rsidR="0024091A" w:rsidRPr="0007237C" w:rsidRDefault="0024091A" w:rsidP="000D092B">
      <w:pPr>
        <w:pStyle w:val="H1G"/>
      </w:pPr>
      <w:r w:rsidRPr="0007237C">
        <w:t>Chapter 2.2</w:t>
      </w:r>
    </w:p>
    <w:p w14:paraId="7C531C85" w14:textId="34DA6BE9" w:rsidR="001F5B40" w:rsidRPr="0007237C" w:rsidRDefault="001F5B40" w:rsidP="00103FA3">
      <w:pPr>
        <w:pStyle w:val="SingleTxtG"/>
        <w:keepNext/>
        <w:keepLines/>
        <w:ind w:left="0"/>
        <w:rPr>
          <w:b/>
          <w:bCs/>
        </w:rPr>
      </w:pPr>
      <w:r w:rsidRPr="0007237C">
        <w:t>2.2.3.1</w:t>
      </w:r>
      <w:r w:rsidRPr="0007237C">
        <w:tab/>
        <w:t>Amend as shown:</w:t>
      </w:r>
    </w:p>
    <w:p w14:paraId="4F94F570" w14:textId="470F0FF5" w:rsidR="0024091A" w:rsidRPr="0007237C" w:rsidRDefault="001F5B40" w:rsidP="001F5B40">
      <w:pPr>
        <w:pStyle w:val="SingleTxtG"/>
        <w:rPr>
          <w:szCs w:val="24"/>
          <w:u w:val="single"/>
        </w:rPr>
      </w:pPr>
      <w:r w:rsidRPr="0007237C">
        <w:t>“</w:t>
      </w:r>
      <w:r w:rsidR="0024091A" w:rsidRPr="0007237C">
        <w:t xml:space="preserve">2.2.3.1 </w:t>
      </w:r>
      <w:r w:rsidRPr="0007237C">
        <w:tab/>
      </w:r>
      <w:r w:rsidR="0024091A" w:rsidRPr="0007237C">
        <w:t xml:space="preserve">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2.2.2 presents specific label elements for substances and mixtures classified into this hazard class based on the criteria in this chapter.</w:t>
      </w:r>
      <w:r w:rsidRPr="0007237C">
        <w:t>”</w:t>
      </w:r>
      <w:r w:rsidR="0024091A" w:rsidRPr="0007237C">
        <w:t xml:space="preserve"> </w:t>
      </w:r>
    </w:p>
    <w:p w14:paraId="2098B18A" w14:textId="77777777" w:rsidR="0024091A" w:rsidRPr="0007237C" w:rsidRDefault="0024091A" w:rsidP="000D092B">
      <w:pPr>
        <w:pStyle w:val="H1G"/>
      </w:pPr>
      <w:r w:rsidRPr="0007237C">
        <w:t>Chapter 2.3</w:t>
      </w:r>
    </w:p>
    <w:p w14:paraId="52A299A8" w14:textId="5283BE6B" w:rsidR="001F5B40" w:rsidRPr="0007237C" w:rsidRDefault="001F5B40" w:rsidP="001F5B40">
      <w:pPr>
        <w:pStyle w:val="SingleTxtG"/>
        <w:ind w:left="0"/>
        <w:rPr>
          <w:b/>
          <w:bCs/>
        </w:rPr>
      </w:pPr>
      <w:r w:rsidRPr="0007237C">
        <w:t>2.3.1.3</w:t>
      </w:r>
      <w:r w:rsidRPr="0007237C">
        <w:tab/>
        <w:t xml:space="preserve">Amend as shown: </w:t>
      </w:r>
    </w:p>
    <w:p w14:paraId="1CDFCB89" w14:textId="27A3BFA5" w:rsidR="0024091A" w:rsidRPr="0007237C" w:rsidRDefault="001F5B40" w:rsidP="001F5B40">
      <w:pPr>
        <w:pStyle w:val="SingleTxtG"/>
      </w:pPr>
      <w:r w:rsidRPr="0007237C">
        <w:t>“</w:t>
      </w:r>
      <w:r w:rsidR="0024091A" w:rsidRPr="0007237C">
        <w:t xml:space="preserve">2.3.1.3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2.3.2 presents specific label elements for substances and mixtures classified into this hazard class based on the criteria in this chapter.</w:t>
      </w:r>
      <w:r w:rsidRPr="0007237C">
        <w:t>”</w:t>
      </w:r>
    </w:p>
    <w:p w14:paraId="449F52DC" w14:textId="5ECE799F" w:rsidR="001F5B40" w:rsidRPr="0007237C" w:rsidRDefault="001F5B40" w:rsidP="001F5B40">
      <w:pPr>
        <w:pStyle w:val="SingleTxtG"/>
        <w:ind w:left="0"/>
        <w:rPr>
          <w:szCs w:val="24"/>
          <w:u w:val="single"/>
        </w:rPr>
      </w:pPr>
      <w:r w:rsidRPr="0007237C">
        <w:t>2.3.2.3</w:t>
      </w:r>
      <w:r w:rsidRPr="0007237C">
        <w:tab/>
        <w:t>Amend as shown:</w:t>
      </w:r>
    </w:p>
    <w:p w14:paraId="508FF66C" w14:textId="740B3663" w:rsidR="0024091A" w:rsidRPr="0007237C" w:rsidRDefault="001F5B40" w:rsidP="001F5B40">
      <w:pPr>
        <w:pStyle w:val="SingleTxtG"/>
        <w:rPr>
          <w:u w:val="single"/>
        </w:rPr>
      </w:pPr>
      <w:r w:rsidRPr="0007237C">
        <w:t>“</w:t>
      </w:r>
      <w:r w:rsidR="0024091A" w:rsidRPr="0007237C">
        <w:t xml:space="preserve">2.3.2.3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2.3.4 presents specific label elements for substances and mixtures classified into this hazard class based on the criteria in this chapter.</w:t>
      </w:r>
      <w:r w:rsidRPr="0007237C">
        <w:t>”</w:t>
      </w:r>
      <w:r w:rsidR="0024091A" w:rsidRPr="0007237C">
        <w:t xml:space="preserve"> </w:t>
      </w:r>
    </w:p>
    <w:p w14:paraId="3DED7B28" w14:textId="77777777" w:rsidR="0024091A" w:rsidRPr="0007237C" w:rsidRDefault="0024091A" w:rsidP="000D092B">
      <w:pPr>
        <w:pStyle w:val="H1G"/>
      </w:pPr>
      <w:r w:rsidRPr="0007237C">
        <w:t>Chapter 2.4</w:t>
      </w:r>
    </w:p>
    <w:p w14:paraId="5920E498" w14:textId="574CFD5C" w:rsidR="001F5B40" w:rsidRPr="0007237C" w:rsidRDefault="001F5B40" w:rsidP="001F5B40">
      <w:pPr>
        <w:pStyle w:val="SingleTxtG"/>
        <w:ind w:left="0"/>
      </w:pPr>
      <w:r w:rsidRPr="0007237C">
        <w:t>2.4.3</w:t>
      </w:r>
      <w:r w:rsidRPr="0007237C">
        <w:tab/>
        <w:t>Amend as shown:</w:t>
      </w:r>
    </w:p>
    <w:p w14:paraId="5A9A72EA" w14:textId="2AE20993" w:rsidR="0024091A" w:rsidRPr="0007237C" w:rsidRDefault="001F5B40" w:rsidP="001F5B40">
      <w:pPr>
        <w:pStyle w:val="SingleTxtG"/>
        <w:rPr>
          <w:szCs w:val="24"/>
          <w:u w:val="single"/>
        </w:rPr>
      </w:pPr>
      <w:r w:rsidRPr="0007237C">
        <w:t>“</w:t>
      </w:r>
      <w:r w:rsidR="0024091A" w:rsidRPr="0007237C">
        <w:t xml:space="preserve">2.4.3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2.4.2 presents specific label elements for substances and mixtures classified into this hazard class based on the criteria in this chapter.</w:t>
      </w:r>
      <w:r w:rsidRPr="0007237C">
        <w:t>”</w:t>
      </w:r>
    </w:p>
    <w:p w14:paraId="72375C7D" w14:textId="77777777" w:rsidR="0024091A" w:rsidRPr="0007237C" w:rsidRDefault="0024091A" w:rsidP="000D092B">
      <w:pPr>
        <w:pStyle w:val="H1G"/>
      </w:pPr>
      <w:r w:rsidRPr="0007237C">
        <w:t>Chapter 2.5</w:t>
      </w:r>
    </w:p>
    <w:p w14:paraId="11D6E308" w14:textId="42158416" w:rsidR="001F5B40" w:rsidRPr="0007237C" w:rsidRDefault="001F5B40" w:rsidP="0024091A">
      <w:pPr>
        <w:shd w:val="clear" w:color="auto" w:fill="FFFFFF"/>
        <w:spacing w:before="100" w:beforeAutospacing="1" w:after="100" w:afterAutospacing="1"/>
      </w:pPr>
      <w:r w:rsidRPr="0007237C">
        <w:t>2.5.3</w:t>
      </w:r>
      <w:r w:rsidRPr="0007237C">
        <w:tab/>
        <w:t xml:space="preserve">Amend as shown: </w:t>
      </w:r>
    </w:p>
    <w:p w14:paraId="50E40D50" w14:textId="1F013F24" w:rsidR="0024091A" w:rsidRPr="0007237C" w:rsidRDefault="001F5B40" w:rsidP="001F5B40">
      <w:pPr>
        <w:pStyle w:val="SingleTxtG"/>
        <w:rPr>
          <w:szCs w:val="24"/>
          <w:u w:val="single"/>
        </w:rPr>
      </w:pPr>
      <w:r w:rsidRPr="0007237C">
        <w:t>“</w:t>
      </w:r>
      <w:r w:rsidR="0024091A" w:rsidRPr="0007237C">
        <w:t xml:space="preserve">2.5.3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2.5.2 presents specific label elements for substances and mixtures classified into this hazard class based on the criteria in this chapter.</w:t>
      </w:r>
      <w:r w:rsidRPr="0007237C">
        <w:rPr>
          <w:u w:val="single"/>
        </w:rPr>
        <w:t>”</w:t>
      </w:r>
      <w:r w:rsidR="0024091A" w:rsidRPr="0007237C">
        <w:t xml:space="preserve">  </w:t>
      </w:r>
    </w:p>
    <w:p w14:paraId="57DF9119" w14:textId="77777777" w:rsidR="0024091A" w:rsidRPr="0007237C" w:rsidRDefault="0024091A" w:rsidP="000D092B">
      <w:pPr>
        <w:pStyle w:val="H1G"/>
      </w:pPr>
      <w:r w:rsidRPr="0007237C">
        <w:t>Chapter 2.6</w:t>
      </w:r>
    </w:p>
    <w:p w14:paraId="63CDB63D" w14:textId="5FDBFD0A" w:rsidR="001F5B40" w:rsidRPr="0007237C" w:rsidRDefault="001F5B40" w:rsidP="001F5B40">
      <w:pPr>
        <w:pStyle w:val="SingleTxtG"/>
        <w:ind w:left="0"/>
        <w:rPr>
          <w:b/>
          <w:bCs/>
        </w:rPr>
      </w:pPr>
      <w:r w:rsidRPr="0007237C">
        <w:t>2.6.3</w:t>
      </w:r>
      <w:r w:rsidRPr="0007237C">
        <w:tab/>
        <w:t>Amend as shown:</w:t>
      </w:r>
    </w:p>
    <w:p w14:paraId="36CE6085" w14:textId="6ACFFE85" w:rsidR="0024091A" w:rsidRPr="0007237C" w:rsidRDefault="001F5B40" w:rsidP="001F5B40">
      <w:pPr>
        <w:pStyle w:val="SingleTxtG"/>
        <w:rPr>
          <w:szCs w:val="24"/>
          <w:u w:val="single"/>
        </w:rPr>
      </w:pPr>
      <w:r w:rsidRPr="0007237C">
        <w:t>“</w:t>
      </w:r>
      <w:r w:rsidR="0024091A" w:rsidRPr="0007237C">
        <w:t xml:space="preserve">2.6.3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2.6.2 presents specific label elements for substances and mixtures classified into this hazard class based on the criteria in this chapter.</w:t>
      </w:r>
      <w:r w:rsidR="0024091A" w:rsidRPr="0007237C">
        <w:t xml:space="preserve"> </w:t>
      </w:r>
      <w:r w:rsidRPr="0007237C">
        <w:t>“</w:t>
      </w:r>
      <w:r w:rsidR="0024091A" w:rsidRPr="0007237C">
        <w:t xml:space="preserve"> </w:t>
      </w:r>
    </w:p>
    <w:p w14:paraId="2659B27F" w14:textId="77777777" w:rsidR="0024091A" w:rsidRPr="0007237C" w:rsidRDefault="0024091A" w:rsidP="000D092B">
      <w:pPr>
        <w:pStyle w:val="H1G"/>
      </w:pPr>
      <w:r w:rsidRPr="0007237C">
        <w:t>Chapter 2.7</w:t>
      </w:r>
    </w:p>
    <w:p w14:paraId="38906C27" w14:textId="2231E63D" w:rsidR="00215672" w:rsidRPr="0007237C" w:rsidRDefault="00215672" w:rsidP="00215672">
      <w:pPr>
        <w:pStyle w:val="SingleTxtG"/>
        <w:ind w:left="0"/>
      </w:pPr>
      <w:r w:rsidRPr="0007237C">
        <w:t>2.7.3</w:t>
      </w:r>
      <w:r w:rsidRPr="0007237C">
        <w:tab/>
        <w:t>Amend as shown:</w:t>
      </w:r>
    </w:p>
    <w:p w14:paraId="5A21865B" w14:textId="51A9BA9C" w:rsidR="0024091A" w:rsidRPr="0007237C" w:rsidRDefault="00215672" w:rsidP="00215672">
      <w:pPr>
        <w:pStyle w:val="SingleTxtG"/>
        <w:rPr>
          <w:szCs w:val="24"/>
          <w:u w:val="single"/>
        </w:rPr>
      </w:pPr>
      <w:r w:rsidRPr="0007237C">
        <w:t>“</w:t>
      </w:r>
      <w:r w:rsidR="0024091A" w:rsidRPr="0007237C">
        <w:t xml:space="preserve">2.7.3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2.7.2 presents specific label elements for substances and mixtures classified into this hazard class based on the criteria in this chapter.</w:t>
      </w:r>
      <w:r w:rsidRPr="0007237C">
        <w:rPr>
          <w:u w:val="single"/>
        </w:rPr>
        <w:t>”</w:t>
      </w:r>
      <w:r w:rsidR="0024091A" w:rsidRPr="0007237C">
        <w:t xml:space="preserve">  </w:t>
      </w:r>
    </w:p>
    <w:p w14:paraId="532C3131" w14:textId="77777777" w:rsidR="0024091A" w:rsidRPr="0007237C" w:rsidRDefault="0024091A" w:rsidP="000D092B">
      <w:pPr>
        <w:pStyle w:val="H1G"/>
      </w:pPr>
      <w:r w:rsidRPr="0007237C">
        <w:t>Chapter 2.8</w:t>
      </w:r>
    </w:p>
    <w:p w14:paraId="4879ED41" w14:textId="355DD0BB" w:rsidR="00215672" w:rsidRPr="0007237C" w:rsidRDefault="00215672" w:rsidP="0024091A">
      <w:pPr>
        <w:shd w:val="clear" w:color="auto" w:fill="FFFFFF"/>
        <w:spacing w:before="100" w:beforeAutospacing="1" w:after="100" w:afterAutospacing="1"/>
      </w:pPr>
      <w:r w:rsidRPr="0007237C">
        <w:t>2.8.3</w:t>
      </w:r>
      <w:r w:rsidRPr="0007237C">
        <w:tab/>
        <w:t>Amend as shown:</w:t>
      </w:r>
    </w:p>
    <w:p w14:paraId="6168005D" w14:textId="13080FDC" w:rsidR="0024091A" w:rsidRPr="0007237C" w:rsidRDefault="00215672" w:rsidP="00215672">
      <w:pPr>
        <w:pStyle w:val="SingleTxtG"/>
        <w:rPr>
          <w:szCs w:val="24"/>
          <w:u w:val="single"/>
        </w:rPr>
      </w:pPr>
      <w:r w:rsidRPr="0007237C">
        <w:t>“</w:t>
      </w:r>
      <w:r w:rsidR="0024091A" w:rsidRPr="0007237C">
        <w:t xml:space="preserve">2.8.3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2.8.1 presents specific label elements for substances and mixtures classified into this hazard class based on the criteria in this chapter.</w:t>
      </w:r>
      <w:r w:rsidRPr="0007237C">
        <w:rPr>
          <w:u w:val="single"/>
        </w:rPr>
        <w:t>”</w:t>
      </w:r>
      <w:r w:rsidR="0024091A" w:rsidRPr="0007237C">
        <w:t xml:space="preserve">  </w:t>
      </w:r>
    </w:p>
    <w:p w14:paraId="6DE2C846" w14:textId="77777777" w:rsidR="0024091A" w:rsidRPr="0007237C" w:rsidRDefault="0024091A" w:rsidP="000D092B">
      <w:pPr>
        <w:pStyle w:val="H1G"/>
      </w:pPr>
      <w:r w:rsidRPr="0007237C">
        <w:t>Chapter 2.9</w:t>
      </w:r>
    </w:p>
    <w:p w14:paraId="2A34F31A" w14:textId="0839620B" w:rsidR="00215672" w:rsidRPr="0007237C" w:rsidRDefault="00215672" w:rsidP="0024091A">
      <w:pPr>
        <w:shd w:val="clear" w:color="auto" w:fill="FFFFFF"/>
        <w:spacing w:before="100" w:beforeAutospacing="1" w:after="100" w:afterAutospacing="1"/>
      </w:pPr>
      <w:r w:rsidRPr="0007237C">
        <w:t>2.9.3</w:t>
      </w:r>
      <w:r w:rsidRPr="0007237C">
        <w:tab/>
        <w:t>Amend as shown:</w:t>
      </w:r>
    </w:p>
    <w:p w14:paraId="302A1320" w14:textId="1735F8F3" w:rsidR="0024091A" w:rsidRPr="0007237C" w:rsidRDefault="00215672" w:rsidP="00215672">
      <w:pPr>
        <w:pStyle w:val="SingleTxtG"/>
        <w:rPr>
          <w:szCs w:val="24"/>
          <w:u w:val="single"/>
        </w:rPr>
      </w:pPr>
      <w:r w:rsidRPr="0007237C">
        <w:t>“</w:t>
      </w:r>
      <w:r w:rsidR="0024091A" w:rsidRPr="0007237C">
        <w:t xml:space="preserve">2.9.3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2.9.2 presents specific label elements for substances and mixtures classified into this hazard class based on the criteria in this chapter.</w:t>
      </w:r>
      <w:r w:rsidRPr="0007237C">
        <w:rPr>
          <w:u w:val="single"/>
        </w:rPr>
        <w:t>”</w:t>
      </w:r>
    </w:p>
    <w:p w14:paraId="592C8977" w14:textId="77777777" w:rsidR="0024091A" w:rsidRPr="0007237C" w:rsidRDefault="0024091A" w:rsidP="000D092B">
      <w:pPr>
        <w:pStyle w:val="H1G"/>
      </w:pPr>
      <w:r w:rsidRPr="0007237C">
        <w:t>Chapter 2.10</w:t>
      </w:r>
    </w:p>
    <w:p w14:paraId="0C5B081D" w14:textId="1571A6D6" w:rsidR="00215672" w:rsidRPr="0007237C" w:rsidRDefault="00215672" w:rsidP="00215672">
      <w:pPr>
        <w:pStyle w:val="SingleTxtG"/>
        <w:ind w:left="0"/>
      </w:pPr>
      <w:r w:rsidRPr="0007237C">
        <w:t>2.10.3</w:t>
      </w:r>
      <w:r w:rsidRPr="0007237C">
        <w:tab/>
        <w:t>Amend as shown:</w:t>
      </w:r>
    </w:p>
    <w:p w14:paraId="1CA28814" w14:textId="07DF349A" w:rsidR="0024091A" w:rsidRPr="0007237C" w:rsidRDefault="00215672" w:rsidP="00215672">
      <w:pPr>
        <w:pStyle w:val="SingleTxtG"/>
      </w:pPr>
      <w:r w:rsidRPr="0007237C">
        <w:t>“</w:t>
      </w:r>
      <w:r w:rsidR="0024091A" w:rsidRPr="0007237C">
        <w:t xml:space="preserve">2.10.3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2.10.2 presents specific label elements for substances and mixtures classified into this hazard class based on the criteria in this chapter.</w:t>
      </w:r>
      <w:r w:rsidRPr="0007237C">
        <w:t>”</w:t>
      </w:r>
      <w:r w:rsidR="0024091A" w:rsidRPr="0007237C">
        <w:t xml:space="preserve"> </w:t>
      </w:r>
    </w:p>
    <w:p w14:paraId="224B25AF" w14:textId="77777777" w:rsidR="0024091A" w:rsidRPr="0007237C" w:rsidRDefault="0024091A" w:rsidP="000D092B">
      <w:pPr>
        <w:pStyle w:val="H1G"/>
      </w:pPr>
      <w:r w:rsidRPr="0007237C">
        <w:t>Chapter 2.11</w:t>
      </w:r>
    </w:p>
    <w:p w14:paraId="5344F3A3" w14:textId="07E95019" w:rsidR="00215672" w:rsidRPr="0007237C" w:rsidRDefault="00215672" w:rsidP="00215672">
      <w:pPr>
        <w:pStyle w:val="SingleTxtG"/>
        <w:ind w:left="0"/>
      </w:pPr>
      <w:r w:rsidRPr="0007237C">
        <w:t>2.11.3</w:t>
      </w:r>
      <w:r w:rsidRPr="0007237C">
        <w:tab/>
        <w:t>Amend as shown:</w:t>
      </w:r>
    </w:p>
    <w:p w14:paraId="37F169D1" w14:textId="72271117" w:rsidR="0024091A" w:rsidRPr="0007237C" w:rsidRDefault="00215672" w:rsidP="00215672">
      <w:pPr>
        <w:pStyle w:val="SingleTxtG"/>
        <w:rPr>
          <w:szCs w:val="24"/>
          <w:u w:val="single"/>
        </w:rPr>
      </w:pPr>
      <w:r w:rsidRPr="0007237C">
        <w:t>“</w:t>
      </w:r>
      <w:r w:rsidR="0024091A" w:rsidRPr="0007237C">
        <w:t xml:space="preserve">2.11.3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2.11.2 presents specific label elements for substances and mixtures classified into this hazard class based on the criteria in this chapter.</w:t>
      </w:r>
      <w:r w:rsidRPr="0007237C">
        <w:rPr>
          <w:u w:val="single"/>
        </w:rPr>
        <w:t>”</w:t>
      </w:r>
      <w:r w:rsidR="0024091A" w:rsidRPr="0007237C">
        <w:t xml:space="preserve">  </w:t>
      </w:r>
    </w:p>
    <w:p w14:paraId="43753617" w14:textId="77777777" w:rsidR="0024091A" w:rsidRPr="0007237C" w:rsidRDefault="0024091A" w:rsidP="000D092B">
      <w:pPr>
        <w:pStyle w:val="H1G"/>
      </w:pPr>
      <w:r w:rsidRPr="0007237C">
        <w:t>Chapter 2.12</w:t>
      </w:r>
    </w:p>
    <w:p w14:paraId="2794A936" w14:textId="15AC1B32" w:rsidR="00215672" w:rsidRPr="0007237C" w:rsidRDefault="00215672" w:rsidP="00215672">
      <w:pPr>
        <w:pStyle w:val="SingleTxtG"/>
        <w:ind w:left="0"/>
      </w:pPr>
      <w:r w:rsidRPr="0007237C">
        <w:t>2.12.3</w:t>
      </w:r>
      <w:r w:rsidRPr="0007237C">
        <w:tab/>
        <w:t>Amend as shown:</w:t>
      </w:r>
    </w:p>
    <w:p w14:paraId="02A8EEEB" w14:textId="6CD36E99" w:rsidR="0024091A" w:rsidRPr="0007237C" w:rsidRDefault="00215672" w:rsidP="00215672">
      <w:pPr>
        <w:pStyle w:val="SingleTxtG"/>
        <w:rPr>
          <w:szCs w:val="24"/>
          <w:u w:val="single"/>
        </w:rPr>
      </w:pPr>
      <w:r w:rsidRPr="0007237C">
        <w:t>“</w:t>
      </w:r>
      <w:r w:rsidR="0024091A" w:rsidRPr="0007237C">
        <w:t xml:space="preserve">2.12.3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2.12.2 presents specific label elements for substances and mixtures classified into this hazard class based on the criteria in this chapter.</w:t>
      </w:r>
      <w:r w:rsidRPr="0007237C">
        <w:rPr>
          <w:u w:val="single"/>
        </w:rPr>
        <w:t>”</w:t>
      </w:r>
      <w:r w:rsidR="0024091A" w:rsidRPr="0007237C">
        <w:t xml:space="preserve">  </w:t>
      </w:r>
    </w:p>
    <w:p w14:paraId="25E269B1" w14:textId="77777777" w:rsidR="0024091A" w:rsidRPr="0007237C" w:rsidRDefault="0024091A" w:rsidP="000D092B">
      <w:pPr>
        <w:pStyle w:val="H1G"/>
      </w:pPr>
      <w:r w:rsidRPr="0007237C">
        <w:t>Chapter 2.13</w:t>
      </w:r>
    </w:p>
    <w:p w14:paraId="11F38587" w14:textId="4B897DD4" w:rsidR="00215672" w:rsidRPr="0007237C" w:rsidRDefault="00215672" w:rsidP="0024091A">
      <w:pPr>
        <w:shd w:val="clear" w:color="auto" w:fill="FFFFFF"/>
        <w:spacing w:before="100" w:beforeAutospacing="1" w:after="100" w:afterAutospacing="1"/>
      </w:pPr>
      <w:r w:rsidRPr="0007237C">
        <w:t>2.13.3</w:t>
      </w:r>
      <w:r w:rsidRPr="0007237C">
        <w:tab/>
        <w:t>Amend as shown:</w:t>
      </w:r>
    </w:p>
    <w:p w14:paraId="79FD673E" w14:textId="1C0CF33E" w:rsidR="0024091A" w:rsidRPr="0007237C" w:rsidRDefault="00215672" w:rsidP="00215672">
      <w:pPr>
        <w:pStyle w:val="SingleTxtG"/>
        <w:rPr>
          <w:szCs w:val="24"/>
          <w:u w:val="single"/>
        </w:rPr>
      </w:pPr>
      <w:r w:rsidRPr="0007237C">
        <w:t>“</w:t>
      </w:r>
      <w:r w:rsidR="0024091A" w:rsidRPr="0007237C">
        <w:t xml:space="preserve">2.13.3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2.13.2 presents specific label elements for substances and mixtures classified into this hazard class based on the criteria in this chapter.</w:t>
      </w:r>
      <w:r w:rsidRPr="0007237C">
        <w:rPr>
          <w:u w:val="single"/>
        </w:rPr>
        <w:t>”</w:t>
      </w:r>
      <w:r w:rsidR="0024091A" w:rsidRPr="0007237C">
        <w:t xml:space="preserve">  </w:t>
      </w:r>
    </w:p>
    <w:p w14:paraId="096EB25C" w14:textId="77777777" w:rsidR="0024091A" w:rsidRPr="0007237C" w:rsidRDefault="0024091A" w:rsidP="00583360">
      <w:pPr>
        <w:pStyle w:val="H1G"/>
      </w:pPr>
      <w:r w:rsidRPr="0007237C">
        <w:t>Chapter 2.14</w:t>
      </w:r>
    </w:p>
    <w:p w14:paraId="722762D6" w14:textId="47D2DCEA" w:rsidR="00215672" w:rsidRPr="0007237C" w:rsidRDefault="00215672" w:rsidP="00583360">
      <w:pPr>
        <w:pStyle w:val="SingleTxtG"/>
        <w:keepNext/>
        <w:keepLines/>
        <w:ind w:left="0"/>
        <w:rPr>
          <w:b/>
          <w:bCs/>
        </w:rPr>
      </w:pPr>
      <w:r w:rsidRPr="0007237C">
        <w:t>2.14.3</w:t>
      </w:r>
      <w:r w:rsidRPr="0007237C">
        <w:tab/>
        <w:t>Amend as shown:</w:t>
      </w:r>
    </w:p>
    <w:p w14:paraId="76BD1835" w14:textId="08137CBB" w:rsidR="0024091A" w:rsidRPr="0007237C" w:rsidRDefault="00215672" w:rsidP="00215672">
      <w:pPr>
        <w:pStyle w:val="SingleTxtG"/>
        <w:rPr>
          <w:szCs w:val="24"/>
          <w:u w:val="single"/>
        </w:rPr>
      </w:pPr>
      <w:r w:rsidRPr="0007237C">
        <w:t>“</w:t>
      </w:r>
      <w:r w:rsidR="0024091A" w:rsidRPr="0007237C">
        <w:t xml:space="preserve">2.14.3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2.14.2 presents specific label elements for substances and mixtures classified into this hazard class based on the criteria in this chapter.</w:t>
      </w:r>
      <w:r w:rsidRPr="0007237C">
        <w:rPr>
          <w:u w:val="single"/>
        </w:rPr>
        <w:t>”</w:t>
      </w:r>
      <w:r w:rsidR="0024091A" w:rsidRPr="0007237C">
        <w:t xml:space="preserve"> </w:t>
      </w:r>
    </w:p>
    <w:p w14:paraId="4F56B093" w14:textId="77777777" w:rsidR="0024091A" w:rsidRPr="0007237C" w:rsidRDefault="0024091A" w:rsidP="000D092B">
      <w:pPr>
        <w:pStyle w:val="H1G"/>
      </w:pPr>
      <w:r w:rsidRPr="0007237C">
        <w:t>Chapter 2.15</w:t>
      </w:r>
    </w:p>
    <w:p w14:paraId="08910D07" w14:textId="77777777" w:rsidR="00215672" w:rsidRPr="0007237C" w:rsidRDefault="00215672" w:rsidP="00215672">
      <w:pPr>
        <w:pStyle w:val="SingleTxtG"/>
        <w:ind w:left="0"/>
        <w:rPr>
          <w:b/>
          <w:bCs/>
        </w:rPr>
      </w:pPr>
      <w:r w:rsidRPr="0007237C">
        <w:t>2.15.3</w:t>
      </w:r>
      <w:r w:rsidRPr="0007237C">
        <w:tab/>
        <w:t>Amend as shown:</w:t>
      </w:r>
    </w:p>
    <w:p w14:paraId="4BC0D30A" w14:textId="3DA250B7" w:rsidR="0024091A" w:rsidRPr="0007237C" w:rsidRDefault="00215672" w:rsidP="00215672">
      <w:pPr>
        <w:pStyle w:val="SingleTxtG"/>
        <w:rPr>
          <w:szCs w:val="24"/>
          <w:u w:val="single"/>
        </w:rPr>
      </w:pPr>
      <w:r w:rsidRPr="0007237C">
        <w:t>“</w:t>
      </w:r>
      <w:r w:rsidR="0024091A" w:rsidRPr="0007237C">
        <w:t xml:space="preserve">2.15.3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2.15.1 presents specific label elements for substances and mixtures classified into this hazard class based on the criteria in this chapter.</w:t>
      </w:r>
      <w:r w:rsidRPr="0007237C">
        <w:t>”</w:t>
      </w:r>
      <w:r w:rsidR="0024091A" w:rsidRPr="0007237C">
        <w:t xml:space="preserve"> </w:t>
      </w:r>
    </w:p>
    <w:p w14:paraId="3F6D0618" w14:textId="77777777" w:rsidR="0024091A" w:rsidRPr="0007237C" w:rsidRDefault="0024091A" w:rsidP="000D092B">
      <w:pPr>
        <w:pStyle w:val="H1G"/>
      </w:pPr>
      <w:r w:rsidRPr="0007237C">
        <w:t>Chapter 2.16</w:t>
      </w:r>
    </w:p>
    <w:p w14:paraId="4ACC292D" w14:textId="55E0D632" w:rsidR="00215672" w:rsidRPr="0007237C" w:rsidRDefault="00215672" w:rsidP="00215672">
      <w:pPr>
        <w:pStyle w:val="SingleTxtG"/>
        <w:ind w:left="0"/>
      </w:pPr>
      <w:r w:rsidRPr="0007237C">
        <w:t>2.16.3</w:t>
      </w:r>
      <w:r w:rsidRPr="0007237C">
        <w:tab/>
        <w:t>Amend as shown:</w:t>
      </w:r>
    </w:p>
    <w:p w14:paraId="548F89EE" w14:textId="3028B1FE" w:rsidR="0024091A" w:rsidRPr="0007237C" w:rsidRDefault="00215672" w:rsidP="00215672">
      <w:pPr>
        <w:pStyle w:val="SingleTxtG"/>
        <w:rPr>
          <w:szCs w:val="24"/>
          <w:u w:val="single"/>
        </w:rPr>
      </w:pPr>
      <w:r w:rsidRPr="0007237C">
        <w:t>“</w:t>
      </w:r>
      <w:r w:rsidR="0024091A" w:rsidRPr="0007237C">
        <w:t xml:space="preserve">2.16.3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2.16.2 presents specific label elements for substances and mixtures classified into this hazard class based on the criteria in this chapter.</w:t>
      </w:r>
      <w:r w:rsidRPr="0007237C">
        <w:rPr>
          <w:u w:val="single"/>
        </w:rPr>
        <w:t>”</w:t>
      </w:r>
      <w:r w:rsidR="0024091A" w:rsidRPr="0007237C">
        <w:t xml:space="preserve">  </w:t>
      </w:r>
    </w:p>
    <w:p w14:paraId="21AB46AE" w14:textId="77777777" w:rsidR="0024091A" w:rsidRPr="0007237C" w:rsidRDefault="0024091A" w:rsidP="000D092B">
      <w:pPr>
        <w:pStyle w:val="H1G"/>
      </w:pPr>
      <w:r w:rsidRPr="0007237C">
        <w:t>Chapter 2.17</w:t>
      </w:r>
    </w:p>
    <w:p w14:paraId="25987D10" w14:textId="23059568" w:rsidR="00215672" w:rsidRPr="0007237C" w:rsidRDefault="00215672" w:rsidP="0024091A">
      <w:pPr>
        <w:shd w:val="clear" w:color="auto" w:fill="FFFFFF"/>
        <w:spacing w:before="100" w:beforeAutospacing="1" w:after="100" w:afterAutospacing="1"/>
      </w:pPr>
      <w:r w:rsidRPr="0007237C">
        <w:t>2.17.3</w:t>
      </w:r>
      <w:r w:rsidRPr="0007237C">
        <w:tab/>
        <w:t>Amend as shown:</w:t>
      </w:r>
    </w:p>
    <w:p w14:paraId="42C3452C" w14:textId="11A191D7" w:rsidR="0024091A" w:rsidRPr="0007237C" w:rsidRDefault="00215672" w:rsidP="00215672">
      <w:pPr>
        <w:pStyle w:val="SingleTxtG"/>
        <w:rPr>
          <w:szCs w:val="24"/>
          <w:u w:val="single"/>
        </w:rPr>
      </w:pPr>
      <w:r w:rsidRPr="0007237C">
        <w:t>“</w:t>
      </w:r>
      <w:r w:rsidR="0024091A" w:rsidRPr="0007237C">
        <w:t xml:space="preserve">2.17.3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2.17.2 presents specific label elements for substances and mixtures classified into this hazard class based on the criteria in this chapter.</w:t>
      </w:r>
      <w:r w:rsidRPr="0007237C">
        <w:rPr>
          <w:u w:val="single"/>
        </w:rPr>
        <w:t>”</w:t>
      </w:r>
      <w:r w:rsidR="0024091A" w:rsidRPr="0007237C">
        <w:t xml:space="preserve">  </w:t>
      </w:r>
    </w:p>
    <w:p w14:paraId="58417928" w14:textId="77777777" w:rsidR="0024091A" w:rsidRPr="0007237C" w:rsidRDefault="0024091A" w:rsidP="000D092B">
      <w:pPr>
        <w:pStyle w:val="H1G"/>
      </w:pPr>
      <w:r w:rsidRPr="0007237C">
        <w:t>Chapter 3.1</w:t>
      </w:r>
    </w:p>
    <w:p w14:paraId="45627463" w14:textId="2236D651" w:rsidR="00215672" w:rsidRPr="0007237C" w:rsidRDefault="00215672" w:rsidP="00103FA3">
      <w:pPr>
        <w:pStyle w:val="SingleTxtG"/>
        <w:keepNext/>
        <w:keepLines/>
        <w:ind w:left="0"/>
        <w:rPr>
          <w:b/>
          <w:bCs/>
        </w:rPr>
      </w:pPr>
      <w:r w:rsidRPr="0007237C">
        <w:t>3.1.4.1</w:t>
      </w:r>
      <w:r w:rsidRPr="0007237C">
        <w:tab/>
        <w:t>Amend as shown:</w:t>
      </w:r>
    </w:p>
    <w:p w14:paraId="62D1DB01" w14:textId="44A637B3" w:rsidR="0024091A" w:rsidRPr="0007237C" w:rsidRDefault="00215672" w:rsidP="00215672">
      <w:pPr>
        <w:pStyle w:val="SingleTxtG"/>
        <w:rPr>
          <w:szCs w:val="24"/>
          <w:u w:val="single"/>
        </w:rPr>
      </w:pPr>
      <w:r w:rsidRPr="0007237C">
        <w:t>“</w:t>
      </w:r>
      <w:r w:rsidR="0024091A" w:rsidRPr="0007237C">
        <w:t xml:space="preserve">3.1.4.1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The table below presents specific label elements for substances and mixtures that are classified into acute toxicity hazard categories 1 to 5 based on the criteria set forth in this chapter.</w:t>
      </w:r>
      <w:r w:rsidR="0024091A" w:rsidRPr="0007237C">
        <w:t xml:space="preserve"> </w:t>
      </w:r>
      <w:r w:rsidR="0024091A" w:rsidRPr="0007237C">
        <w:rPr>
          <w:u w:val="single"/>
        </w:rPr>
        <w:t>Table 3.1.3 presents specific label elements for substances and mixtures classified into this hazard class based on the criteria in this chapter.</w:t>
      </w:r>
      <w:r w:rsidRPr="0007237C">
        <w:rPr>
          <w:u w:val="single"/>
        </w:rPr>
        <w:t>”</w:t>
      </w:r>
      <w:r w:rsidR="0024091A" w:rsidRPr="0007237C">
        <w:t xml:space="preserve">  </w:t>
      </w:r>
    </w:p>
    <w:p w14:paraId="27CBAFA6" w14:textId="77777777" w:rsidR="0024091A" w:rsidRPr="0007237C" w:rsidRDefault="0024091A" w:rsidP="006360B8">
      <w:pPr>
        <w:pStyle w:val="H1G"/>
      </w:pPr>
      <w:r w:rsidRPr="0007237C">
        <w:t>Chapter 3.2</w:t>
      </w:r>
    </w:p>
    <w:p w14:paraId="65217CDA" w14:textId="598D5792" w:rsidR="003F65A6" w:rsidRPr="0007237C" w:rsidRDefault="003F65A6" w:rsidP="006360B8">
      <w:pPr>
        <w:keepNext/>
        <w:keepLines/>
        <w:shd w:val="clear" w:color="auto" w:fill="FFFFFF"/>
        <w:spacing w:before="100" w:beforeAutospacing="1" w:after="100" w:afterAutospacing="1"/>
      </w:pPr>
      <w:r w:rsidRPr="0007237C">
        <w:t>3.2.4</w:t>
      </w:r>
      <w:r w:rsidRPr="0007237C">
        <w:tab/>
        <w:t xml:space="preserve">Amend as </w:t>
      </w:r>
      <w:proofErr w:type="gramStart"/>
      <w:r w:rsidRPr="0007237C">
        <w:t>shown;</w:t>
      </w:r>
      <w:proofErr w:type="gramEnd"/>
    </w:p>
    <w:p w14:paraId="4C1E3790" w14:textId="7EE41D8C" w:rsidR="0024091A" w:rsidRPr="0007237C" w:rsidRDefault="003F65A6" w:rsidP="003F65A6">
      <w:pPr>
        <w:pStyle w:val="SingleTxtG"/>
        <w:rPr>
          <w:szCs w:val="24"/>
          <w:u w:val="single"/>
        </w:rPr>
      </w:pPr>
      <w:r w:rsidRPr="0007237C">
        <w:t>“</w:t>
      </w:r>
      <w:r w:rsidR="0024091A" w:rsidRPr="0007237C">
        <w:t xml:space="preserve">3.2.4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The table below presents specific label elements for substances and mixtures that are classified as irritating or corrosive to the skin based on the criteria set forth in this chapter.</w:t>
      </w:r>
      <w:r w:rsidR="0024091A" w:rsidRPr="0007237C">
        <w:t xml:space="preserve"> </w:t>
      </w:r>
      <w:r w:rsidR="0024091A" w:rsidRPr="0007237C">
        <w:rPr>
          <w:u w:val="single"/>
        </w:rPr>
        <w:t>Table 3.2.5 presents specific label elements for substances and mixtures classified into this hazard class based on the criteria in this chapter.</w:t>
      </w:r>
      <w:r w:rsidRPr="0007237C">
        <w:rPr>
          <w:u w:val="single"/>
        </w:rPr>
        <w:t>”</w:t>
      </w:r>
      <w:r w:rsidR="0024091A" w:rsidRPr="0007237C">
        <w:t xml:space="preserve">  </w:t>
      </w:r>
    </w:p>
    <w:p w14:paraId="3E467B5C" w14:textId="77777777" w:rsidR="0024091A" w:rsidRPr="0007237C" w:rsidRDefault="0024091A" w:rsidP="000D092B">
      <w:pPr>
        <w:pStyle w:val="H1G"/>
      </w:pPr>
      <w:r w:rsidRPr="0007237C">
        <w:t>Chapter 3.3</w:t>
      </w:r>
    </w:p>
    <w:p w14:paraId="319EE6CF" w14:textId="087B629D" w:rsidR="003F65A6" w:rsidRPr="0007237C" w:rsidRDefault="003F65A6" w:rsidP="0024091A">
      <w:pPr>
        <w:shd w:val="clear" w:color="auto" w:fill="FFFFFF"/>
        <w:spacing w:before="100" w:beforeAutospacing="1" w:after="100" w:afterAutospacing="1"/>
      </w:pPr>
      <w:r w:rsidRPr="0007237C">
        <w:t>3.3.4</w:t>
      </w:r>
      <w:r w:rsidRPr="0007237C">
        <w:tab/>
        <w:t>Amend as shown:</w:t>
      </w:r>
    </w:p>
    <w:p w14:paraId="30F74F6A" w14:textId="2F80DB47" w:rsidR="0024091A" w:rsidRPr="0007237C" w:rsidRDefault="003F65A6" w:rsidP="003F65A6">
      <w:pPr>
        <w:pStyle w:val="SingleTxtG"/>
        <w:rPr>
          <w:szCs w:val="24"/>
          <w:u w:val="single"/>
        </w:rPr>
      </w:pPr>
      <w:r w:rsidRPr="0007237C">
        <w:t>“</w:t>
      </w:r>
      <w:r w:rsidR="0024091A" w:rsidRPr="0007237C">
        <w:t xml:space="preserve">3.3.4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3.3.5 presents specific label elements for substances and mixtures classified into this hazard class based on the criteria in this chapter.</w:t>
      </w:r>
      <w:r w:rsidRPr="0007237C">
        <w:t>”</w:t>
      </w:r>
      <w:r w:rsidR="0024091A" w:rsidRPr="0007237C">
        <w:t xml:space="preserve"> </w:t>
      </w:r>
    </w:p>
    <w:p w14:paraId="1AAE6AEE" w14:textId="77777777" w:rsidR="0024091A" w:rsidRPr="0007237C" w:rsidRDefault="0024091A" w:rsidP="000D092B">
      <w:pPr>
        <w:pStyle w:val="H1G"/>
      </w:pPr>
      <w:r w:rsidRPr="0007237C">
        <w:t>Chapter 3.4</w:t>
      </w:r>
    </w:p>
    <w:p w14:paraId="38A99615" w14:textId="33DBCB49" w:rsidR="003F65A6" w:rsidRPr="0007237C" w:rsidRDefault="003F65A6" w:rsidP="0024091A">
      <w:pPr>
        <w:shd w:val="clear" w:color="auto" w:fill="FFFFFF"/>
        <w:spacing w:before="100" w:beforeAutospacing="1" w:after="100" w:afterAutospacing="1"/>
      </w:pPr>
      <w:r w:rsidRPr="0007237C">
        <w:t>3.4.4.1</w:t>
      </w:r>
      <w:r w:rsidRPr="0007237C">
        <w:tab/>
        <w:t>Amend as shown:</w:t>
      </w:r>
    </w:p>
    <w:p w14:paraId="1EAA250E" w14:textId="56F399A0" w:rsidR="006C0F07" w:rsidRPr="0007237C" w:rsidRDefault="003F65A6" w:rsidP="006C0F07">
      <w:pPr>
        <w:pStyle w:val="SingleTxtG"/>
        <w:rPr>
          <w:szCs w:val="24"/>
          <w:u w:val="single"/>
        </w:rPr>
      </w:pPr>
      <w:r w:rsidRPr="0007237C">
        <w:t>“</w:t>
      </w:r>
      <w:r w:rsidR="0024091A" w:rsidRPr="0007237C">
        <w:t xml:space="preserve">3.4.4.1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6C0F07">
        <w:rPr>
          <w:strike/>
        </w:rPr>
        <w:t>Table 3.4.6 below presents specific label elements for substances and mixtures that are classified as respiratory and skin sensitizers based on the criteria in this chapter.</w:t>
      </w:r>
      <w:r w:rsidR="006C0F07">
        <w:t xml:space="preserve"> </w:t>
      </w:r>
      <w:r w:rsidR="006C0F07" w:rsidRPr="0007237C">
        <w:rPr>
          <w:u w:val="single"/>
        </w:rPr>
        <w:t>Table 3.</w:t>
      </w:r>
      <w:r w:rsidR="006C0F07">
        <w:rPr>
          <w:u w:val="single"/>
        </w:rPr>
        <w:t>4.6</w:t>
      </w:r>
      <w:r w:rsidR="006C0F07" w:rsidRPr="0007237C">
        <w:rPr>
          <w:u w:val="single"/>
        </w:rPr>
        <w:t xml:space="preserve"> presents specific label elements for substances and mixtures classified into this hazard class based on the criteria in this chapter.</w:t>
      </w:r>
      <w:r w:rsidR="006C0F07" w:rsidRPr="0007237C">
        <w:t xml:space="preserve">” </w:t>
      </w:r>
    </w:p>
    <w:p w14:paraId="772B4733" w14:textId="77777777" w:rsidR="0024091A" w:rsidRPr="0007237C" w:rsidRDefault="0024091A" w:rsidP="000D092B">
      <w:pPr>
        <w:pStyle w:val="H1G"/>
      </w:pPr>
      <w:r w:rsidRPr="0007237C">
        <w:t>Chapter 3.5</w:t>
      </w:r>
    </w:p>
    <w:p w14:paraId="0D13340D" w14:textId="7EC6599F" w:rsidR="003F65A6" w:rsidRPr="0007237C" w:rsidRDefault="003F65A6" w:rsidP="0024091A">
      <w:pPr>
        <w:shd w:val="clear" w:color="auto" w:fill="FFFFFF"/>
        <w:spacing w:before="100" w:beforeAutospacing="1" w:after="100" w:afterAutospacing="1"/>
      </w:pPr>
      <w:r w:rsidRPr="0007237C">
        <w:t>3.5.4</w:t>
      </w:r>
      <w:r w:rsidRPr="0007237C">
        <w:tab/>
        <w:t>Amend as shown:</w:t>
      </w:r>
    </w:p>
    <w:p w14:paraId="52577460" w14:textId="42D06931" w:rsidR="0024091A" w:rsidRPr="0007237C" w:rsidRDefault="003F65A6" w:rsidP="003F65A6">
      <w:pPr>
        <w:pStyle w:val="SingleTxtG"/>
        <w:rPr>
          <w:szCs w:val="24"/>
          <w:u w:val="single"/>
        </w:rPr>
      </w:pPr>
      <w:r w:rsidRPr="0007237C">
        <w:t>“</w:t>
      </w:r>
      <w:r w:rsidR="0024091A" w:rsidRPr="0007237C">
        <w:t xml:space="preserve">3.5.4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The table below presents specific label elements for substances and mixtures classified as germ cell mutagens based on the criteria in this chapter.</w:t>
      </w:r>
      <w:r w:rsidR="0024091A" w:rsidRPr="0007237C">
        <w:t xml:space="preserve"> </w:t>
      </w:r>
      <w:r w:rsidR="0024091A" w:rsidRPr="0007237C">
        <w:rPr>
          <w:u w:val="single"/>
        </w:rPr>
        <w:t>Table 3.5.2 presents specific label elements for substances and mixtures classified into this hazard class based on the criteria in this chapter.</w:t>
      </w:r>
      <w:r w:rsidRPr="0007237C">
        <w:rPr>
          <w:u w:val="single"/>
        </w:rPr>
        <w:t>”</w:t>
      </w:r>
      <w:r w:rsidR="0024091A" w:rsidRPr="0007237C">
        <w:t xml:space="preserve">  </w:t>
      </w:r>
    </w:p>
    <w:p w14:paraId="001862AB" w14:textId="3FE5C02B" w:rsidR="0024091A" w:rsidRPr="0007237C" w:rsidRDefault="0024091A" w:rsidP="006360B8">
      <w:pPr>
        <w:pStyle w:val="H1G"/>
      </w:pPr>
      <w:r w:rsidRPr="0007237C">
        <w:t>Chapter 3.6</w:t>
      </w:r>
    </w:p>
    <w:p w14:paraId="1F334F77" w14:textId="108175E2" w:rsidR="003F65A6" w:rsidRPr="0007237C" w:rsidRDefault="003F65A6" w:rsidP="006360B8">
      <w:pPr>
        <w:keepNext/>
        <w:keepLines/>
        <w:shd w:val="clear" w:color="auto" w:fill="FFFFFF"/>
        <w:spacing w:before="100" w:beforeAutospacing="1" w:after="100" w:afterAutospacing="1"/>
      </w:pPr>
      <w:r w:rsidRPr="0007237C">
        <w:t>3.6.4</w:t>
      </w:r>
      <w:r w:rsidRPr="0007237C">
        <w:tab/>
        <w:t>Amend as shown:</w:t>
      </w:r>
    </w:p>
    <w:p w14:paraId="428DDACA" w14:textId="0789CFE9" w:rsidR="0024091A" w:rsidRPr="0007237C" w:rsidRDefault="003F65A6" w:rsidP="003F65A6">
      <w:pPr>
        <w:pStyle w:val="SingleTxtG"/>
        <w:rPr>
          <w:szCs w:val="24"/>
          <w:u w:val="single"/>
        </w:rPr>
      </w:pPr>
      <w:r w:rsidRPr="0007237C">
        <w:t>“</w:t>
      </w:r>
      <w:r w:rsidR="0024091A" w:rsidRPr="0007237C">
        <w:t xml:space="preserve">3.6.4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Table 3.6.2 below presents specific label elements for substances and mixtures that are classified as carcinogenic based on the criteria set forth in this chapter.</w:t>
      </w:r>
      <w:r w:rsidR="0024091A" w:rsidRPr="0007237C">
        <w:t xml:space="preserve">  </w:t>
      </w:r>
      <w:r w:rsidR="0024091A" w:rsidRPr="0007237C">
        <w:rPr>
          <w:u w:val="single"/>
        </w:rPr>
        <w:t>Table 3.6.2 presents specific label elements for substances and mixtures classified into this hazard class based on the criteria in this chapter</w:t>
      </w:r>
      <w:r w:rsidRPr="0007237C">
        <w:rPr>
          <w:u w:val="single"/>
        </w:rPr>
        <w:t>.”</w:t>
      </w:r>
      <w:r w:rsidR="0024091A" w:rsidRPr="0007237C">
        <w:t xml:space="preserve"> </w:t>
      </w:r>
    </w:p>
    <w:p w14:paraId="570F58B7" w14:textId="77777777" w:rsidR="0024091A" w:rsidRPr="0007237C" w:rsidRDefault="0024091A" w:rsidP="000D092B">
      <w:pPr>
        <w:pStyle w:val="H1G"/>
      </w:pPr>
      <w:r w:rsidRPr="0007237C">
        <w:t>Chapter 3.7</w:t>
      </w:r>
    </w:p>
    <w:p w14:paraId="540D4CBE" w14:textId="77F12B02" w:rsidR="003F65A6" w:rsidRPr="0007237C" w:rsidRDefault="003F65A6" w:rsidP="004640A7">
      <w:pPr>
        <w:pStyle w:val="SingleTxtG"/>
        <w:ind w:left="0"/>
      </w:pPr>
      <w:r w:rsidRPr="0007237C">
        <w:t>3.7.4</w:t>
      </w:r>
      <w:r w:rsidRPr="0007237C">
        <w:tab/>
        <w:t>Amend as shown:</w:t>
      </w:r>
    </w:p>
    <w:p w14:paraId="02CB4A16" w14:textId="2062845F" w:rsidR="0024091A" w:rsidRPr="0007237C" w:rsidRDefault="004640A7" w:rsidP="004640A7">
      <w:pPr>
        <w:pStyle w:val="SingleTxtG"/>
        <w:rPr>
          <w:szCs w:val="24"/>
          <w:u w:val="single"/>
        </w:rPr>
      </w:pPr>
      <w:r w:rsidRPr="0007237C">
        <w:t>“</w:t>
      </w:r>
      <w:r w:rsidR="0024091A" w:rsidRPr="0007237C">
        <w:t xml:space="preserve">3.7.4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3.7.2 presents specific label elements for substances and mixtures classified into this hazard class based on the criteria in this chapter.</w:t>
      </w:r>
      <w:r w:rsidRPr="0007237C">
        <w:t>”</w:t>
      </w:r>
      <w:r w:rsidR="0024091A" w:rsidRPr="0007237C">
        <w:t xml:space="preserve"> </w:t>
      </w:r>
    </w:p>
    <w:p w14:paraId="4BE5ED28" w14:textId="77777777" w:rsidR="0024091A" w:rsidRPr="0007237C" w:rsidRDefault="0024091A" w:rsidP="000D092B">
      <w:pPr>
        <w:pStyle w:val="H1G"/>
      </w:pPr>
      <w:r w:rsidRPr="0007237C">
        <w:t>Chapter 3.8</w:t>
      </w:r>
    </w:p>
    <w:p w14:paraId="48BC54C5" w14:textId="4CEFE6D6" w:rsidR="004640A7" w:rsidRPr="0007237C" w:rsidRDefault="004640A7" w:rsidP="004640A7">
      <w:pPr>
        <w:pStyle w:val="SingleTxtG"/>
        <w:ind w:left="0"/>
      </w:pPr>
      <w:r w:rsidRPr="0007237C">
        <w:t>3.8.4.1</w:t>
      </w:r>
      <w:r w:rsidRPr="0007237C">
        <w:tab/>
        <w:t>Amend as shown:</w:t>
      </w:r>
    </w:p>
    <w:p w14:paraId="4EC7F618" w14:textId="6B7ED711" w:rsidR="0024091A" w:rsidRPr="0007237C" w:rsidRDefault="004640A7" w:rsidP="004640A7">
      <w:pPr>
        <w:pStyle w:val="SingleTxtG"/>
        <w:rPr>
          <w:szCs w:val="24"/>
          <w:u w:val="single"/>
        </w:rPr>
      </w:pPr>
      <w:r w:rsidRPr="0007237C">
        <w:t>“</w:t>
      </w:r>
      <w:r w:rsidR="0024091A" w:rsidRPr="0007237C">
        <w:t xml:space="preserve">3.8.4.1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3.8.3 presents specific label elements for substances and mixtures classified into this hazard class based on the criteria in this chapter.</w:t>
      </w:r>
      <w:r w:rsidRPr="0007237C">
        <w:rPr>
          <w:u w:val="single"/>
        </w:rPr>
        <w:t>”</w:t>
      </w:r>
      <w:r w:rsidR="0024091A" w:rsidRPr="0007237C">
        <w:t xml:space="preserve">  </w:t>
      </w:r>
    </w:p>
    <w:p w14:paraId="6838CA09" w14:textId="77777777" w:rsidR="0024091A" w:rsidRPr="0007237C" w:rsidRDefault="0024091A" w:rsidP="000D092B">
      <w:pPr>
        <w:pStyle w:val="H1G"/>
      </w:pPr>
      <w:r w:rsidRPr="0007237C">
        <w:t>Chapter 3.9</w:t>
      </w:r>
    </w:p>
    <w:p w14:paraId="4F251F74" w14:textId="29CA873C" w:rsidR="004640A7" w:rsidRPr="0007237C" w:rsidRDefault="004640A7" w:rsidP="0024091A">
      <w:pPr>
        <w:shd w:val="clear" w:color="auto" w:fill="FFFFFF"/>
        <w:spacing w:before="100" w:beforeAutospacing="1" w:after="100" w:afterAutospacing="1"/>
      </w:pPr>
      <w:r w:rsidRPr="0007237C">
        <w:t>3.9.4</w:t>
      </w:r>
      <w:r w:rsidRPr="0007237C">
        <w:tab/>
        <w:t>Amend as shown:</w:t>
      </w:r>
    </w:p>
    <w:p w14:paraId="65ABBADF" w14:textId="60CA639A" w:rsidR="0024091A" w:rsidRPr="0007237C" w:rsidRDefault="004640A7" w:rsidP="004640A7">
      <w:pPr>
        <w:pStyle w:val="SingleTxtG"/>
        <w:rPr>
          <w:szCs w:val="24"/>
          <w:u w:val="single"/>
        </w:rPr>
      </w:pPr>
      <w:r w:rsidRPr="0007237C">
        <w:t>“</w:t>
      </w:r>
      <w:r w:rsidR="0024091A" w:rsidRPr="0007237C">
        <w:t xml:space="preserve">3.9.4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3.9.4 presents specific label elements for substances and mixtures classified into this hazard class based on the criteria in this chapter.</w:t>
      </w:r>
      <w:r w:rsidRPr="0007237C">
        <w:t>”</w:t>
      </w:r>
      <w:r w:rsidR="0024091A" w:rsidRPr="0007237C">
        <w:t xml:space="preserve"> </w:t>
      </w:r>
    </w:p>
    <w:p w14:paraId="059654FF" w14:textId="77777777" w:rsidR="004640A7" w:rsidRPr="0007237C" w:rsidRDefault="0024091A" w:rsidP="000D092B">
      <w:pPr>
        <w:pStyle w:val="H1G"/>
      </w:pPr>
      <w:r w:rsidRPr="0007237C">
        <w:t>Chapter 3.10</w:t>
      </w:r>
    </w:p>
    <w:p w14:paraId="179731DB" w14:textId="5C59D0B8" w:rsidR="004640A7" w:rsidRPr="0007237C" w:rsidRDefault="004640A7" w:rsidP="00183075">
      <w:pPr>
        <w:shd w:val="clear" w:color="auto" w:fill="FFFFFF"/>
        <w:spacing w:before="100" w:beforeAutospacing="1" w:after="100" w:afterAutospacing="1"/>
      </w:pPr>
      <w:r w:rsidRPr="0007237C">
        <w:t>3.10.4.1</w:t>
      </w:r>
      <w:r w:rsidRPr="0007237C">
        <w:tab/>
      </w:r>
      <w:r w:rsidR="00183075" w:rsidRPr="0007237C">
        <w:t>Amend as shown:</w:t>
      </w:r>
    </w:p>
    <w:p w14:paraId="2028FF14" w14:textId="7CA91987" w:rsidR="00183075" w:rsidRPr="0007237C" w:rsidRDefault="00183075" w:rsidP="00183075">
      <w:pPr>
        <w:pStyle w:val="SingleTxtG"/>
        <w:rPr>
          <w:u w:val="single"/>
        </w:rPr>
      </w:pPr>
      <w:r w:rsidRPr="0007237C">
        <w:t xml:space="preserve">“3.10.4.1 </w:t>
      </w:r>
      <w:r w:rsidRPr="0007237C">
        <w:tab/>
        <w:t xml:space="preserve">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Pr="0007237C">
        <w:rPr>
          <w:strike/>
        </w:rPr>
        <w:t>The table below presents specific label elements for substances and mixtures which are classified as posing an aspiration toxicity hazard, Categories 1 and 2, based on the criteria set forth in this chapter.</w:t>
      </w:r>
      <w:r w:rsidRPr="0007237C">
        <w:t xml:space="preserve"> </w:t>
      </w:r>
      <w:r w:rsidRPr="0007237C">
        <w:rPr>
          <w:u w:val="single"/>
        </w:rPr>
        <w:t>Table 3.10.2 presents specific label elements for substances and mixtures classified into this hazard class based on the criteria in this chapter.</w:t>
      </w:r>
      <w:r w:rsidRPr="0007237C">
        <w:t xml:space="preserve">” </w:t>
      </w:r>
    </w:p>
    <w:p w14:paraId="1356EB58" w14:textId="77777777" w:rsidR="0024091A" w:rsidRPr="0007237C" w:rsidRDefault="0024091A" w:rsidP="000D092B">
      <w:pPr>
        <w:pStyle w:val="H1G"/>
      </w:pPr>
      <w:r w:rsidRPr="0007237C">
        <w:t>Chapter 4.1</w:t>
      </w:r>
    </w:p>
    <w:p w14:paraId="208C5067" w14:textId="25EFE915" w:rsidR="00183075" w:rsidRPr="0007237C" w:rsidRDefault="00183075" w:rsidP="000D092B">
      <w:pPr>
        <w:keepNext/>
        <w:keepLines/>
        <w:shd w:val="clear" w:color="auto" w:fill="FFFFFF"/>
        <w:spacing w:before="100" w:beforeAutospacing="1" w:after="100" w:afterAutospacing="1"/>
      </w:pPr>
      <w:r w:rsidRPr="0007237C">
        <w:t>4.1.4</w:t>
      </w:r>
      <w:r w:rsidRPr="0007237C">
        <w:tab/>
        <w:t>Amend as follows:</w:t>
      </w:r>
    </w:p>
    <w:p w14:paraId="088F5089" w14:textId="2FE6C985" w:rsidR="0024091A" w:rsidRPr="0007237C" w:rsidRDefault="00183075" w:rsidP="00183075">
      <w:pPr>
        <w:shd w:val="clear" w:color="auto" w:fill="FFFFFF"/>
        <w:spacing w:before="100" w:beforeAutospacing="1" w:after="100" w:afterAutospacing="1"/>
        <w:ind w:left="1134" w:right="1133"/>
        <w:jc w:val="both"/>
        <w:rPr>
          <w:szCs w:val="24"/>
          <w:u w:val="single"/>
        </w:rPr>
      </w:pPr>
      <w:r w:rsidRPr="0007237C">
        <w:t>“</w:t>
      </w:r>
      <w:r w:rsidR="0024091A" w:rsidRPr="0007237C">
        <w:t xml:space="preserve">4.1.4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Tables 4.1.6 presents specific label elements for substances and mixtures classified into this hazard class based on the criteria in this chapter.</w:t>
      </w:r>
      <w:r w:rsidRPr="0007237C">
        <w:rPr>
          <w:u w:val="single"/>
        </w:rPr>
        <w:t>”</w:t>
      </w:r>
      <w:r w:rsidR="0024091A" w:rsidRPr="0007237C">
        <w:t xml:space="preserve"> </w:t>
      </w:r>
    </w:p>
    <w:p w14:paraId="7D1148C5" w14:textId="77777777" w:rsidR="0024091A" w:rsidRPr="0007237C" w:rsidRDefault="0024091A" w:rsidP="000D092B">
      <w:pPr>
        <w:pStyle w:val="H1G"/>
      </w:pPr>
      <w:r w:rsidRPr="0007237C">
        <w:t>Chapter 4.2</w:t>
      </w:r>
    </w:p>
    <w:p w14:paraId="34D83E2E" w14:textId="015D69CA" w:rsidR="00183075" w:rsidRPr="0007237C" w:rsidRDefault="00183075" w:rsidP="0024091A">
      <w:pPr>
        <w:shd w:val="clear" w:color="auto" w:fill="FFFFFF"/>
        <w:spacing w:before="100" w:beforeAutospacing="1" w:after="100" w:afterAutospacing="1"/>
      </w:pPr>
      <w:r w:rsidRPr="0007237C">
        <w:t>4.2.3</w:t>
      </w:r>
      <w:r w:rsidRPr="0007237C">
        <w:tab/>
        <w:t>Amend as shown:</w:t>
      </w:r>
    </w:p>
    <w:p w14:paraId="1B21A5D4" w14:textId="3492861A" w:rsidR="0024091A" w:rsidRDefault="00183075" w:rsidP="00183075">
      <w:pPr>
        <w:shd w:val="clear" w:color="auto" w:fill="FFFFFF"/>
        <w:spacing w:before="100" w:beforeAutospacing="1" w:after="100" w:afterAutospacing="1"/>
        <w:ind w:left="993" w:right="1133"/>
        <w:jc w:val="both"/>
      </w:pPr>
      <w:r w:rsidRPr="0007237C">
        <w:t>“</w:t>
      </w:r>
      <w:r w:rsidR="0024091A" w:rsidRPr="0007237C">
        <w:t xml:space="preserve">4.2.3 </w:t>
      </w:r>
      <w:r w:rsidRPr="0007237C">
        <w:tab/>
      </w:r>
      <w:r w:rsidR="0024091A" w:rsidRPr="0007237C">
        <w:t xml:space="preserve">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Tables 4.2.2 presents specific label elements for substances and mixtures classified into this hazard class based on the criteria in this chapter.</w:t>
      </w:r>
      <w:r w:rsidRPr="0007237C">
        <w:t>”</w:t>
      </w:r>
    </w:p>
    <w:p w14:paraId="623D9D20" w14:textId="0B6088EA" w:rsidR="00670F83" w:rsidRDefault="003F65A6" w:rsidP="003F65A6">
      <w:pPr>
        <w:spacing w:before="240"/>
        <w:jc w:val="center"/>
        <w:rPr>
          <w:b/>
          <w:bCs/>
          <w:sz w:val="28"/>
          <w:szCs w:val="28"/>
        </w:rPr>
      </w:pPr>
      <w:r>
        <w:rPr>
          <w:u w:val="single"/>
        </w:rPr>
        <w:tab/>
      </w:r>
      <w:r>
        <w:rPr>
          <w:u w:val="single"/>
        </w:rPr>
        <w:tab/>
      </w:r>
      <w:bookmarkEnd w:id="0"/>
    </w:p>
    <w:sectPr w:rsidR="00670F83" w:rsidSect="0058336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134" w:left="1134"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FEE2" w14:textId="77777777" w:rsidR="00B54D98" w:rsidRDefault="00B54D98" w:rsidP="00760F29">
      <w:pPr>
        <w:spacing w:line="240" w:lineRule="auto"/>
      </w:pPr>
      <w:r>
        <w:separator/>
      </w:r>
    </w:p>
  </w:endnote>
  <w:endnote w:type="continuationSeparator" w:id="0">
    <w:p w14:paraId="39EBBD66" w14:textId="77777777" w:rsidR="00B54D98" w:rsidRDefault="00B54D98" w:rsidP="00760F29">
      <w:pPr>
        <w:spacing w:line="240" w:lineRule="auto"/>
      </w:pPr>
      <w:r>
        <w:continuationSeparator/>
      </w:r>
    </w:p>
  </w:endnote>
  <w:endnote w:type="continuationNotice" w:id="1">
    <w:p w14:paraId="28140D60" w14:textId="77777777" w:rsidR="00B54D98" w:rsidRDefault="00B54D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2126"/>
      <w:docPartObj>
        <w:docPartGallery w:val="Page Numbers (Bottom of Page)"/>
        <w:docPartUnique/>
      </w:docPartObj>
    </w:sdtPr>
    <w:sdtEndPr>
      <w:rPr>
        <w:b/>
        <w:bCs/>
        <w:noProof/>
        <w:sz w:val="18"/>
        <w:szCs w:val="22"/>
      </w:rPr>
    </w:sdtEndPr>
    <w:sdtContent>
      <w:p w14:paraId="2D4C9FAC" w14:textId="2BE8FDD0" w:rsidR="0076675C" w:rsidRPr="00A43354" w:rsidRDefault="00A43354" w:rsidP="00A43354">
        <w:pPr>
          <w:pStyle w:val="Footer"/>
          <w:jc w:val="right"/>
          <w:rPr>
            <w:b/>
            <w:bCs/>
            <w:sz w:val="18"/>
            <w:szCs w:val="22"/>
          </w:rPr>
        </w:pPr>
        <w:r w:rsidRPr="00A43354">
          <w:rPr>
            <w:b/>
            <w:bCs/>
            <w:sz w:val="18"/>
            <w:szCs w:val="22"/>
          </w:rPr>
          <w:fldChar w:fldCharType="begin"/>
        </w:r>
        <w:r w:rsidRPr="00A43354">
          <w:rPr>
            <w:b/>
            <w:bCs/>
            <w:sz w:val="18"/>
            <w:szCs w:val="22"/>
          </w:rPr>
          <w:instrText xml:space="preserve"> PAGE   \* MERGEFORMAT </w:instrText>
        </w:r>
        <w:r w:rsidRPr="00A43354">
          <w:rPr>
            <w:b/>
            <w:bCs/>
            <w:sz w:val="18"/>
            <w:szCs w:val="22"/>
          </w:rPr>
          <w:fldChar w:fldCharType="separate"/>
        </w:r>
        <w:r w:rsidRPr="00A43354">
          <w:rPr>
            <w:b/>
            <w:bCs/>
            <w:noProof/>
            <w:sz w:val="18"/>
            <w:szCs w:val="22"/>
          </w:rPr>
          <w:t>2</w:t>
        </w:r>
        <w:r w:rsidRPr="00A4335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4B45" w14:textId="77777777" w:rsidR="00B54D98" w:rsidRDefault="00B54D98" w:rsidP="00760F29">
      <w:pPr>
        <w:spacing w:line="240" w:lineRule="auto"/>
      </w:pPr>
      <w:r>
        <w:separator/>
      </w:r>
    </w:p>
  </w:footnote>
  <w:footnote w:type="continuationSeparator" w:id="0">
    <w:p w14:paraId="395D2228" w14:textId="77777777" w:rsidR="00B54D98" w:rsidRDefault="00B54D98" w:rsidP="00760F29">
      <w:pPr>
        <w:spacing w:line="240" w:lineRule="auto"/>
      </w:pPr>
      <w:r>
        <w:continuationSeparator/>
      </w:r>
    </w:p>
  </w:footnote>
  <w:footnote w:type="continuationNotice" w:id="1">
    <w:p w14:paraId="68FAC423" w14:textId="77777777" w:rsidR="00B54D98" w:rsidRDefault="00B54D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3E142BF7" w:rsidR="0076675C" w:rsidRPr="001E5919" w:rsidRDefault="00A31103" w:rsidP="0076675C">
    <w:pPr>
      <w:pStyle w:val="Header"/>
      <w:rPr>
        <w:lang w:val="fr-FR"/>
      </w:rPr>
    </w:pPr>
    <w:r w:rsidRPr="005B2428">
      <w:rPr>
        <w:lang w:val="fr-FR"/>
      </w:rPr>
      <w:t>UN/SCEGHS/</w:t>
    </w:r>
    <w:r w:rsidR="00193A30" w:rsidRPr="005B2428">
      <w:rPr>
        <w:lang w:val="fr-FR"/>
      </w:rPr>
      <w:t>4</w:t>
    </w:r>
    <w:r w:rsidR="00393BDF">
      <w:rPr>
        <w:lang w:val="fr-FR"/>
      </w:rPr>
      <w:t>3</w:t>
    </w:r>
    <w:r w:rsidRPr="005B2428">
      <w:rPr>
        <w:lang w:val="fr-FR"/>
      </w:rPr>
      <w:t>/INF.</w:t>
    </w:r>
    <w:r w:rsidR="000516D7">
      <w:rPr>
        <w:lang w:val="fr-FR"/>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3AA2A401" w:rsidR="0076675C" w:rsidRPr="001E5919" w:rsidRDefault="00A31103" w:rsidP="0076675C">
    <w:pPr>
      <w:pStyle w:val="Header"/>
      <w:jc w:val="right"/>
      <w:rPr>
        <w:lang w:val="fr-FR"/>
      </w:rPr>
    </w:pPr>
    <w:r w:rsidRPr="00350C82">
      <w:rPr>
        <w:lang w:val="fr-FR"/>
      </w:rPr>
      <w:t>UN/SCEGHS/4</w:t>
    </w:r>
    <w:r w:rsidR="00393BDF">
      <w:rPr>
        <w:lang w:val="fr-FR"/>
      </w:rPr>
      <w:t>3</w:t>
    </w:r>
    <w:r w:rsidR="000F27ED" w:rsidRPr="00350C82">
      <w:rPr>
        <w:lang w:val="fr-FR"/>
      </w:rPr>
      <w:t>/INF.</w:t>
    </w:r>
    <w:r w:rsidR="000516D7">
      <w:rPr>
        <w:lang w:val="fr-FR"/>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C7"/>
    <w:multiLevelType w:val="hybridMultilevel"/>
    <w:tmpl w:val="F99A28D2"/>
    <w:lvl w:ilvl="0" w:tplc="7E4C8DD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754AB9"/>
    <w:multiLevelType w:val="multilevel"/>
    <w:tmpl w:val="960A789C"/>
    <w:styleLink w:val="CurrentList1"/>
    <w:lvl w:ilvl="0">
      <w:start w:val="1"/>
      <w:numFmt w:val="decimal"/>
      <w:lvlText w:val="%1."/>
      <w:lvlJc w:val="left"/>
      <w:pPr>
        <w:ind w:left="1120" w:hanging="560"/>
      </w:pPr>
      <w:rPr>
        <w:rFonts w:hint="default"/>
      </w:rPr>
    </w:lvl>
    <w:lvl w:ilvl="1">
      <w:start w:val="1"/>
      <w:numFmt w:val="decimal"/>
      <w:lvlText w:val="%2."/>
      <w:lvlJc w:val="left"/>
      <w:pPr>
        <w:ind w:left="1840" w:hanging="560"/>
      </w:pPr>
      <w:rPr>
        <w:rFonts w:hint="default"/>
      </w:r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 w15:restartNumberingAfterBreak="0">
    <w:nsid w:val="25DA42AC"/>
    <w:multiLevelType w:val="hybridMultilevel"/>
    <w:tmpl w:val="FC04C2B8"/>
    <w:lvl w:ilvl="0" w:tplc="F4888D26">
      <w:start w:val="1"/>
      <w:numFmt w:val="none"/>
      <w:lvlText w:val="3."/>
      <w:lvlJc w:val="left"/>
      <w:pPr>
        <w:ind w:left="920" w:hanging="360"/>
      </w:pPr>
      <w:rPr>
        <w:rFonts w:hint="default"/>
      </w:rPr>
    </w:lvl>
    <w:lvl w:ilvl="1" w:tplc="FFFFFFFF">
      <w:start w:val="1"/>
      <w:numFmt w:val="decimal"/>
      <w:lvlText w:val="%2."/>
      <w:lvlJc w:val="left"/>
      <w:pPr>
        <w:ind w:left="1840" w:hanging="560"/>
      </w:pPr>
      <w:rPr>
        <w:rFonts w:hint="default"/>
      </w:r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15:restartNumberingAfterBreak="0">
    <w:nsid w:val="278F4ECD"/>
    <w:multiLevelType w:val="multilevel"/>
    <w:tmpl w:val="0E8ED0F2"/>
    <w:styleLink w:val="CurrentList4"/>
    <w:lvl w:ilvl="0">
      <w:start w:val="1"/>
      <w:numFmt w:val="decimal"/>
      <w:lvlText w:val="%1."/>
      <w:lvlJc w:val="left"/>
      <w:pPr>
        <w:ind w:left="920" w:hanging="360"/>
      </w:pPr>
      <w:rPr>
        <w:rFonts w:hint="default"/>
      </w:rPr>
    </w:lvl>
    <w:lvl w:ilvl="1">
      <w:start w:val="1"/>
      <w:numFmt w:val="decimal"/>
      <w:lvlText w:val="%2."/>
      <w:lvlJc w:val="left"/>
      <w:pPr>
        <w:ind w:left="1840" w:hanging="560"/>
      </w:pPr>
      <w:rPr>
        <w:rFonts w:hint="default"/>
      </w:r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5" w15:restartNumberingAfterBreak="0">
    <w:nsid w:val="338F326F"/>
    <w:multiLevelType w:val="hybridMultilevel"/>
    <w:tmpl w:val="960A789C"/>
    <w:lvl w:ilvl="0" w:tplc="FFFFFFFF">
      <w:start w:val="1"/>
      <w:numFmt w:val="decimal"/>
      <w:lvlText w:val="%1."/>
      <w:lvlJc w:val="left"/>
      <w:pPr>
        <w:ind w:left="1120" w:hanging="560"/>
      </w:pPr>
      <w:rPr>
        <w:rFonts w:hint="default"/>
      </w:rPr>
    </w:lvl>
    <w:lvl w:ilvl="1" w:tplc="FFFFFFFF">
      <w:start w:val="1"/>
      <w:numFmt w:val="decimal"/>
      <w:lvlText w:val="%2."/>
      <w:lvlJc w:val="left"/>
      <w:pPr>
        <w:ind w:left="1840" w:hanging="560"/>
      </w:pPr>
      <w:rPr>
        <w:rFonts w:hint="default"/>
      </w:r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6" w15:restartNumberingAfterBreak="0">
    <w:nsid w:val="398A2FFB"/>
    <w:multiLevelType w:val="hybridMultilevel"/>
    <w:tmpl w:val="37B8E8A2"/>
    <w:lvl w:ilvl="0" w:tplc="4AB8C522">
      <w:start w:val="1"/>
      <w:numFmt w:val="none"/>
      <w:lvlText w:val="2."/>
      <w:lvlJc w:val="left"/>
      <w:pPr>
        <w:ind w:left="920" w:hanging="360"/>
      </w:pPr>
      <w:rPr>
        <w:rFonts w:hint="default"/>
      </w:rPr>
    </w:lvl>
    <w:lvl w:ilvl="1" w:tplc="FFFFFFFF">
      <w:start w:val="1"/>
      <w:numFmt w:val="decimal"/>
      <w:lvlText w:val="%2."/>
      <w:lvlJc w:val="left"/>
      <w:pPr>
        <w:ind w:left="1840" w:hanging="560"/>
      </w:pPr>
      <w:rPr>
        <w:rFonts w:hint="default"/>
      </w:r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7" w15:restartNumberingAfterBreak="0">
    <w:nsid w:val="42893A74"/>
    <w:multiLevelType w:val="hybridMultilevel"/>
    <w:tmpl w:val="960A789C"/>
    <w:lvl w:ilvl="0" w:tplc="FFFFFFFF">
      <w:start w:val="1"/>
      <w:numFmt w:val="decimal"/>
      <w:lvlText w:val="%1."/>
      <w:lvlJc w:val="left"/>
      <w:pPr>
        <w:ind w:left="1120" w:hanging="560"/>
      </w:pPr>
      <w:rPr>
        <w:rFonts w:hint="default"/>
      </w:rPr>
    </w:lvl>
    <w:lvl w:ilvl="1" w:tplc="FFFFFFFF">
      <w:start w:val="1"/>
      <w:numFmt w:val="decimal"/>
      <w:lvlText w:val="%2."/>
      <w:lvlJc w:val="left"/>
      <w:pPr>
        <w:ind w:left="1840" w:hanging="560"/>
      </w:pPr>
      <w:rPr>
        <w:rFonts w:hint="default"/>
      </w:r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8" w15:restartNumberingAfterBreak="0">
    <w:nsid w:val="46A85824"/>
    <w:multiLevelType w:val="multilevel"/>
    <w:tmpl w:val="960A789C"/>
    <w:styleLink w:val="CurrentList3"/>
    <w:lvl w:ilvl="0">
      <w:start w:val="1"/>
      <w:numFmt w:val="decimal"/>
      <w:lvlText w:val="%1."/>
      <w:lvlJc w:val="left"/>
      <w:pPr>
        <w:ind w:left="1120" w:hanging="560"/>
      </w:pPr>
      <w:rPr>
        <w:rFonts w:hint="default"/>
      </w:rPr>
    </w:lvl>
    <w:lvl w:ilvl="1">
      <w:start w:val="1"/>
      <w:numFmt w:val="decimal"/>
      <w:lvlText w:val="%2."/>
      <w:lvlJc w:val="left"/>
      <w:pPr>
        <w:ind w:left="1840" w:hanging="560"/>
      </w:pPr>
      <w:rPr>
        <w:rFonts w:hint="default"/>
      </w:r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2187B63"/>
    <w:multiLevelType w:val="hybridMultilevel"/>
    <w:tmpl w:val="1CBE21C2"/>
    <w:lvl w:ilvl="0" w:tplc="A116603C">
      <w:start w:val="1"/>
      <w:numFmt w:val="decimal"/>
      <w:lvlText w:val="%1."/>
      <w:lvlJc w:val="left"/>
      <w:pPr>
        <w:ind w:left="1127" w:hanging="560"/>
      </w:pPr>
      <w:rPr>
        <w:rFonts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B3D9B"/>
    <w:multiLevelType w:val="hybridMultilevel"/>
    <w:tmpl w:val="49580436"/>
    <w:lvl w:ilvl="0" w:tplc="04090001">
      <w:start w:val="1"/>
      <w:numFmt w:val="bullet"/>
      <w:lvlText w:val=""/>
      <w:lvlJc w:val="left"/>
      <w:pPr>
        <w:ind w:left="1647"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90770BB"/>
    <w:multiLevelType w:val="hybridMultilevel"/>
    <w:tmpl w:val="E6CE29B2"/>
    <w:lvl w:ilvl="0" w:tplc="AE1016F8">
      <w:start w:val="1"/>
      <w:numFmt w:val="decimal"/>
      <w:lvlText w:val="%1"/>
      <w:lvlJc w:val="left"/>
      <w:pPr>
        <w:tabs>
          <w:tab w:val="num" w:pos="1701"/>
        </w:tabs>
        <w:ind w:left="1701" w:hanging="170"/>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D6ED7"/>
    <w:multiLevelType w:val="multilevel"/>
    <w:tmpl w:val="556EF244"/>
    <w:styleLink w:val="CurrentList2"/>
    <w:lvl w:ilvl="0">
      <w:start w:val="1"/>
      <w:numFmt w:val="decimal"/>
      <w:lvlText w:val="%1."/>
      <w:lvlJc w:val="left"/>
      <w:pPr>
        <w:ind w:left="920" w:hanging="360"/>
      </w:pPr>
      <w:rPr>
        <w:rFonts w:hint="default"/>
      </w:rPr>
    </w:lvl>
    <w:lvl w:ilvl="1">
      <w:start w:val="1"/>
      <w:numFmt w:val="decimal"/>
      <w:lvlText w:val="%2."/>
      <w:lvlJc w:val="left"/>
      <w:pPr>
        <w:ind w:left="1840" w:hanging="560"/>
      </w:pPr>
      <w:rPr>
        <w:rFonts w:hint="default"/>
      </w:r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9"/>
  </w:num>
  <w:num w:numId="4">
    <w:abstractNumId w:val="1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0"/>
  </w:num>
  <w:num w:numId="10">
    <w:abstractNumId w:val="7"/>
  </w:num>
  <w:num w:numId="11">
    <w:abstractNumId w:val="5"/>
  </w:num>
  <w:num w:numId="12">
    <w:abstractNumId w:val="6"/>
  </w:num>
  <w:num w:numId="13">
    <w:abstractNumId w:val="2"/>
  </w:num>
  <w:num w:numId="14">
    <w:abstractNumId w:val="14"/>
  </w:num>
  <w:num w:numId="15">
    <w:abstractNumId w:val="3"/>
  </w:num>
  <w:num w:numId="16">
    <w:abstractNumId w:val="8"/>
  </w:num>
  <w:num w:numId="17">
    <w:abstractNumId w:val="4"/>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2BC"/>
    <w:rsid w:val="00001CE1"/>
    <w:rsid w:val="0000208F"/>
    <w:rsid w:val="0000299A"/>
    <w:rsid w:val="000061D1"/>
    <w:rsid w:val="00010BDD"/>
    <w:rsid w:val="00013A05"/>
    <w:rsid w:val="00014872"/>
    <w:rsid w:val="00015F9B"/>
    <w:rsid w:val="000214BC"/>
    <w:rsid w:val="000218F8"/>
    <w:rsid w:val="0003079A"/>
    <w:rsid w:val="0004046B"/>
    <w:rsid w:val="00040DE3"/>
    <w:rsid w:val="00041403"/>
    <w:rsid w:val="00044F8B"/>
    <w:rsid w:val="00046E3E"/>
    <w:rsid w:val="000471D6"/>
    <w:rsid w:val="000516D7"/>
    <w:rsid w:val="0005459E"/>
    <w:rsid w:val="0005653A"/>
    <w:rsid w:val="0006039D"/>
    <w:rsid w:val="000614E2"/>
    <w:rsid w:val="0006580F"/>
    <w:rsid w:val="00065BA5"/>
    <w:rsid w:val="00067399"/>
    <w:rsid w:val="00067AF0"/>
    <w:rsid w:val="00067DD1"/>
    <w:rsid w:val="0007237C"/>
    <w:rsid w:val="00076071"/>
    <w:rsid w:val="00086587"/>
    <w:rsid w:val="00092F68"/>
    <w:rsid w:val="0009425C"/>
    <w:rsid w:val="00094BF7"/>
    <w:rsid w:val="00094C7F"/>
    <w:rsid w:val="00096229"/>
    <w:rsid w:val="000A35E5"/>
    <w:rsid w:val="000A4184"/>
    <w:rsid w:val="000A6640"/>
    <w:rsid w:val="000B03C5"/>
    <w:rsid w:val="000B2D5C"/>
    <w:rsid w:val="000B6ACF"/>
    <w:rsid w:val="000C20F7"/>
    <w:rsid w:val="000C55A3"/>
    <w:rsid w:val="000C5F34"/>
    <w:rsid w:val="000C6595"/>
    <w:rsid w:val="000D092B"/>
    <w:rsid w:val="000E159A"/>
    <w:rsid w:val="000E1E26"/>
    <w:rsid w:val="000F27ED"/>
    <w:rsid w:val="000F29DB"/>
    <w:rsid w:val="00100095"/>
    <w:rsid w:val="00103FA3"/>
    <w:rsid w:val="0012282B"/>
    <w:rsid w:val="00122928"/>
    <w:rsid w:val="00127FC6"/>
    <w:rsid w:val="00136BAB"/>
    <w:rsid w:val="00137021"/>
    <w:rsid w:val="00137EE2"/>
    <w:rsid w:val="00141A1D"/>
    <w:rsid w:val="001425EB"/>
    <w:rsid w:val="00144A37"/>
    <w:rsid w:val="001506E7"/>
    <w:rsid w:val="00152B49"/>
    <w:rsid w:val="00162329"/>
    <w:rsid w:val="00163F95"/>
    <w:rsid w:val="001672DB"/>
    <w:rsid w:val="00171159"/>
    <w:rsid w:val="001720A7"/>
    <w:rsid w:val="0017322E"/>
    <w:rsid w:val="00181E17"/>
    <w:rsid w:val="00183075"/>
    <w:rsid w:val="00184D16"/>
    <w:rsid w:val="001851B2"/>
    <w:rsid w:val="00193A30"/>
    <w:rsid w:val="001A335F"/>
    <w:rsid w:val="001A35E0"/>
    <w:rsid w:val="001B057F"/>
    <w:rsid w:val="001C02E3"/>
    <w:rsid w:val="001C1E78"/>
    <w:rsid w:val="001C2B95"/>
    <w:rsid w:val="001C5FE4"/>
    <w:rsid w:val="001E56B5"/>
    <w:rsid w:val="001E593A"/>
    <w:rsid w:val="001E750E"/>
    <w:rsid w:val="001E7C2F"/>
    <w:rsid w:val="001F19BA"/>
    <w:rsid w:val="001F5B40"/>
    <w:rsid w:val="002006B8"/>
    <w:rsid w:val="00202043"/>
    <w:rsid w:val="00206553"/>
    <w:rsid w:val="00207B8C"/>
    <w:rsid w:val="00212C7F"/>
    <w:rsid w:val="00213C2A"/>
    <w:rsid w:val="00215672"/>
    <w:rsid w:val="002164F8"/>
    <w:rsid w:val="0021738A"/>
    <w:rsid w:val="002239B8"/>
    <w:rsid w:val="00223F9F"/>
    <w:rsid w:val="002240C4"/>
    <w:rsid w:val="00224956"/>
    <w:rsid w:val="00225747"/>
    <w:rsid w:val="00226CEA"/>
    <w:rsid w:val="00227C4D"/>
    <w:rsid w:val="00235889"/>
    <w:rsid w:val="00236385"/>
    <w:rsid w:val="002372E4"/>
    <w:rsid w:val="0024091A"/>
    <w:rsid w:val="0024310D"/>
    <w:rsid w:val="0024786A"/>
    <w:rsid w:val="00250194"/>
    <w:rsid w:val="00260117"/>
    <w:rsid w:val="00261FA3"/>
    <w:rsid w:val="00275729"/>
    <w:rsid w:val="00276858"/>
    <w:rsid w:val="00276B4C"/>
    <w:rsid w:val="002804ED"/>
    <w:rsid w:val="00280AB1"/>
    <w:rsid w:val="00280ED1"/>
    <w:rsid w:val="0028150B"/>
    <w:rsid w:val="00287ABA"/>
    <w:rsid w:val="00294B2C"/>
    <w:rsid w:val="002952DA"/>
    <w:rsid w:val="00295F66"/>
    <w:rsid w:val="002971BF"/>
    <w:rsid w:val="002A01A8"/>
    <w:rsid w:val="002A15A7"/>
    <w:rsid w:val="002A5B7F"/>
    <w:rsid w:val="002B02C4"/>
    <w:rsid w:val="002B4FB4"/>
    <w:rsid w:val="002B58BC"/>
    <w:rsid w:val="002B7299"/>
    <w:rsid w:val="002C0672"/>
    <w:rsid w:val="002C2C78"/>
    <w:rsid w:val="002D0D9A"/>
    <w:rsid w:val="002D3FC3"/>
    <w:rsid w:val="002E0292"/>
    <w:rsid w:val="002E53D1"/>
    <w:rsid w:val="002F0C16"/>
    <w:rsid w:val="002F6B4A"/>
    <w:rsid w:val="002F7C78"/>
    <w:rsid w:val="0030509D"/>
    <w:rsid w:val="0030626F"/>
    <w:rsid w:val="00307BE6"/>
    <w:rsid w:val="00313097"/>
    <w:rsid w:val="0031445F"/>
    <w:rsid w:val="00323E70"/>
    <w:rsid w:val="00325F26"/>
    <w:rsid w:val="00330944"/>
    <w:rsid w:val="00332450"/>
    <w:rsid w:val="0033267B"/>
    <w:rsid w:val="00333A50"/>
    <w:rsid w:val="003378A9"/>
    <w:rsid w:val="00340588"/>
    <w:rsid w:val="00341040"/>
    <w:rsid w:val="00344BA0"/>
    <w:rsid w:val="00346C0F"/>
    <w:rsid w:val="00350C1C"/>
    <w:rsid w:val="00350C57"/>
    <w:rsid w:val="00350C82"/>
    <w:rsid w:val="00350D5B"/>
    <w:rsid w:val="003548DF"/>
    <w:rsid w:val="003561D6"/>
    <w:rsid w:val="003635C7"/>
    <w:rsid w:val="00363B88"/>
    <w:rsid w:val="00364666"/>
    <w:rsid w:val="003658E0"/>
    <w:rsid w:val="00366194"/>
    <w:rsid w:val="00371089"/>
    <w:rsid w:val="00371B0B"/>
    <w:rsid w:val="00372484"/>
    <w:rsid w:val="00374178"/>
    <w:rsid w:val="00381D29"/>
    <w:rsid w:val="00383739"/>
    <w:rsid w:val="00386A0C"/>
    <w:rsid w:val="00393BDF"/>
    <w:rsid w:val="003949B7"/>
    <w:rsid w:val="003A228D"/>
    <w:rsid w:val="003A2720"/>
    <w:rsid w:val="003A2A96"/>
    <w:rsid w:val="003A3245"/>
    <w:rsid w:val="003A75AC"/>
    <w:rsid w:val="003B2653"/>
    <w:rsid w:val="003B3AEF"/>
    <w:rsid w:val="003C0E03"/>
    <w:rsid w:val="003C10B9"/>
    <w:rsid w:val="003C425A"/>
    <w:rsid w:val="003C4B75"/>
    <w:rsid w:val="003D31FD"/>
    <w:rsid w:val="003D6940"/>
    <w:rsid w:val="003E31AB"/>
    <w:rsid w:val="003E36B5"/>
    <w:rsid w:val="003E64B9"/>
    <w:rsid w:val="003E7193"/>
    <w:rsid w:val="003F40BB"/>
    <w:rsid w:val="003F4DC0"/>
    <w:rsid w:val="003F65A6"/>
    <w:rsid w:val="00402415"/>
    <w:rsid w:val="0040625C"/>
    <w:rsid w:val="00406A6B"/>
    <w:rsid w:val="004110EF"/>
    <w:rsid w:val="0041122F"/>
    <w:rsid w:val="0041194B"/>
    <w:rsid w:val="004145B4"/>
    <w:rsid w:val="004152C8"/>
    <w:rsid w:val="00416769"/>
    <w:rsid w:val="00423FB4"/>
    <w:rsid w:val="00426B05"/>
    <w:rsid w:val="00430151"/>
    <w:rsid w:val="00432A97"/>
    <w:rsid w:val="00435344"/>
    <w:rsid w:val="00437D1D"/>
    <w:rsid w:val="004409C6"/>
    <w:rsid w:val="00440F59"/>
    <w:rsid w:val="00447081"/>
    <w:rsid w:val="004473FB"/>
    <w:rsid w:val="00451105"/>
    <w:rsid w:val="00451858"/>
    <w:rsid w:val="004537F8"/>
    <w:rsid w:val="00456059"/>
    <w:rsid w:val="0045752F"/>
    <w:rsid w:val="0046204C"/>
    <w:rsid w:val="0046209C"/>
    <w:rsid w:val="00462A16"/>
    <w:rsid w:val="004640A7"/>
    <w:rsid w:val="004656D2"/>
    <w:rsid w:val="00470E41"/>
    <w:rsid w:val="004731AC"/>
    <w:rsid w:val="0047553C"/>
    <w:rsid w:val="004774AF"/>
    <w:rsid w:val="00480595"/>
    <w:rsid w:val="00490887"/>
    <w:rsid w:val="00493CF5"/>
    <w:rsid w:val="004957C8"/>
    <w:rsid w:val="00496520"/>
    <w:rsid w:val="004A2C86"/>
    <w:rsid w:val="004A6FA4"/>
    <w:rsid w:val="004B2D21"/>
    <w:rsid w:val="004B4644"/>
    <w:rsid w:val="004B5A77"/>
    <w:rsid w:val="004C135A"/>
    <w:rsid w:val="004C2F12"/>
    <w:rsid w:val="004C303A"/>
    <w:rsid w:val="004D3744"/>
    <w:rsid w:val="004E0CC0"/>
    <w:rsid w:val="004E7435"/>
    <w:rsid w:val="00501BA0"/>
    <w:rsid w:val="00507081"/>
    <w:rsid w:val="00507870"/>
    <w:rsid w:val="00507FDD"/>
    <w:rsid w:val="00510057"/>
    <w:rsid w:val="00511CF6"/>
    <w:rsid w:val="00513EED"/>
    <w:rsid w:val="00514588"/>
    <w:rsid w:val="005210E2"/>
    <w:rsid w:val="00522D72"/>
    <w:rsid w:val="00526749"/>
    <w:rsid w:val="00536F4D"/>
    <w:rsid w:val="00550C8D"/>
    <w:rsid w:val="00551892"/>
    <w:rsid w:val="005545DE"/>
    <w:rsid w:val="00554BE6"/>
    <w:rsid w:val="00561E93"/>
    <w:rsid w:val="005632E6"/>
    <w:rsid w:val="005632F6"/>
    <w:rsid w:val="005639E7"/>
    <w:rsid w:val="00574027"/>
    <w:rsid w:val="005745C7"/>
    <w:rsid w:val="005746FD"/>
    <w:rsid w:val="00581297"/>
    <w:rsid w:val="005821AC"/>
    <w:rsid w:val="00583360"/>
    <w:rsid w:val="00585251"/>
    <w:rsid w:val="00592369"/>
    <w:rsid w:val="0059523F"/>
    <w:rsid w:val="005A5F59"/>
    <w:rsid w:val="005B2428"/>
    <w:rsid w:val="005B56D1"/>
    <w:rsid w:val="005C0B65"/>
    <w:rsid w:val="005C4868"/>
    <w:rsid w:val="005D24DF"/>
    <w:rsid w:val="005D6488"/>
    <w:rsid w:val="005E1732"/>
    <w:rsid w:val="005E17D4"/>
    <w:rsid w:val="005E79BB"/>
    <w:rsid w:val="005F1C6C"/>
    <w:rsid w:val="005F1EE5"/>
    <w:rsid w:val="005F22CC"/>
    <w:rsid w:val="005F2949"/>
    <w:rsid w:val="005F7AE9"/>
    <w:rsid w:val="00607D03"/>
    <w:rsid w:val="0061276A"/>
    <w:rsid w:val="00613BFE"/>
    <w:rsid w:val="00617AD6"/>
    <w:rsid w:val="00620144"/>
    <w:rsid w:val="006218BA"/>
    <w:rsid w:val="0062268F"/>
    <w:rsid w:val="006231F8"/>
    <w:rsid w:val="006258C0"/>
    <w:rsid w:val="0062617C"/>
    <w:rsid w:val="00630265"/>
    <w:rsid w:val="00633F54"/>
    <w:rsid w:val="006360B8"/>
    <w:rsid w:val="00636810"/>
    <w:rsid w:val="0064473E"/>
    <w:rsid w:val="0064644C"/>
    <w:rsid w:val="00647141"/>
    <w:rsid w:val="00661DE9"/>
    <w:rsid w:val="00665EC6"/>
    <w:rsid w:val="00670F83"/>
    <w:rsid w:val="006743BC"/>
    <w:rsid w:val="00674E0C"/>
    <w:rsid w:val="006775D4"/>
    <w:rsid w:val="00680944"/>
    <w:rsid w:val="00684F3F"/>
    <w:rsid w:val="00686B73"/>
    <w:rsid w:val="006919CF"/>
    <w:rsid w:val="006933A7"/>
    <w:rsid w:val="00693AB1"/>
    <w:rsid w:val="00695070"/>
    <w:rsid w:val="00695446"/>
    <w:rsid w:val="00697A8B"/>
    <w:rsid w:val="006A2C7D"/>
    <w:rsid w:val="006A4036"/>
    <w:rsid w:val="006A6580"/>
    <w:rsid w:val="006A730C"/>
    <w:rsid w:val="006B0B78"/>
    <w:rsid w:val="006C0ABA"/>
    <w:rsid w:val="006C0F07"/>
    <w:rsid w:val="006C7436"/>
    <w:rsid w:val="006D2D60"/>
    <w:rsid w:val="006D3E76"/>
    <w:rsid w:val="006D4BA9"/>
    <w:rsid w:val="006D7553"/>
    <w:rsid w:val="006E0172"/>
    <w:rsid w:val="006F23DD"/>
    <w:rsid w:val="006F280C"/>
    <w:rsid w:val="00701F0D"/>
    <w:rsid w:val="00705D5B"/>
    <w:rsid w:val="007122BC"/>
    <w:rsid w:val="00717408"/>
    <w:rsid w:val="0072143B"/>
    <w:rsid w:val="007239D6"/>
    <w:rsid w:val="007242AA"/>
    <w:rsid w:val="007265D0"/>
    <w:rsid w:val="007360BB"/>
    <w:rsid w:val="007441A2"/>
    <w:rsid w:val="00744B84"/>
    <w:rsid w:val="00747F68"/>
    <w:rsid w:val="0075251A"/>
    <w:rsid w:val="0075412F"/>
    <w:rsid w:val="007552E9"/>
    <w:rsid w:val="00760F29"/>
    <w:rsid w:val="00762E1B"/>
    <w:rsid w:val="00764A83"/>
    <w:rsid w:val="00764BF8"/>
    <w:rsid w:val="00765300"/>
    <w:rsid w:val="0076675C"/>
    <w:rsid w:val="007765BF"/>
    <w:rsid w:val="00783749"/>
    <w:rsid w:val="00785828"/>
    <w:rsid w:val="00787CA8"/>
    <w:rsid w:val="0079209A"/>
    <w:rsid w:val="007971F9"/>
    <w:rsid w:val="00797CE1"/>
    <w:rsid w:val="007A5031"/>
    <w:rsid w:val="007B112C"/>
    <w:rsid w:val="007B431E"/>
    <w:rsid w:val="007C1E4D"/>
    <w:rsid w:val="007C2967"/>
    <w:rsid w:val="007C61DB"/>
    <w:rsid w:val="007C6F77"/>
    <w:rsid w:val="007C7EE8"/>
    <w:rsid w:val="007D1CD7"/>
    <w:rsid w:val="007D36D2"/>
    <w:rsid w:val="007D6912"/>
    <w:rsid w:val="007D7B1D"/>
    <w:rsid w:val="007F1D3F"/>
    <w:rsid w:val="007F38C1"/>
    <w:rsid w:val="007F6C08"/>
    <w:rsid w:val="00800A23"/>
    <w:rsid w:val="00803197"/>
    <w:rsid w:val="00804C4D"/>
    <w:rsid w:val="008123B0"/>
    <w:rsid w:val="008130B6"/>
    <w:rsid w:val="00813F4E"/>
    <w:rsid w:val="00815224"/>
    <w:rsid w:val="00816B53"/>
    <w:rsid w:val="00820224"/>
    <w:rsid w:val="00822B9D"/>
    <w:rsid w:val="00822F3B"/>
    <w:rsid w:val="0082334F"/>
    <w:rsid w:val="00823D62"/>
    <w:rsid w:val="00830DCF"/>
    <w:rsid w:val="008312D4"/>
    <w:rsid w:val="00833F47"/>
    <w:rsid w:val="00840982"/>
    <w:rsid w:val="00852576"/>
    <w:rsid w:val="0085283D"/>
    <w:rsid w:val="00855A2B"/>
    <w:rsid w:val="00862DAD"/>
    <w:rsid w:val="00872250"/>
    <w:rsid w:val="00880A9D"/>
    <w:rsid w:val="0089773A"/>
    <w:rsid w:val="008A7C6D"/>
    <w:rsid w:val="008B5DD0"/>
    <w:rsid w:val="008C0D90"/>
    <w:rsid w:val="008C3F42"/>
    <w:rsid w:val="008E0BFF"/>
    <w:rsid w:val="008E1749"/>
    <w:rsid w:val="008E3269"/>
    <w:rsid w:val="008F003A"/>
    <w:rsid w:val="008F0E55"/>
    <w:rsid w:val="008F2933"/>
    <w:rsid w:val="008F2BC5"/>
    <w:rsid w:val="008F6F04"/>
    <w:rsid w:val="00901873"/>
    <w:rsid w:val="00905FE8"/>
    <w:rsid w:val="00910A8F"/>
    <w:rsid w:val="009143FF"/>
    <w:rsid w:val="0091533D"/>
    <w:rsid w:val="00920C54"/>
    <w:rsid w:val="00930F93"/>
    <w:rsid w:val="00932AAB"/>
    <w:rsid w:val="00933123"/>
    <w:rsid w:val="00935F35"/>
    <w:rsid w:val="0094333C"/>
    <w:rsid w:val="0094551F"/>
    <w:rsid w:val="009461EB"/>
    <w:rsid w:val="00951170"/>
    <w:rsid w:val="00953A95"/>
    <w:rsid w:val="0096227E"/>
    <w:rsid w:val="00977DDF"/>
    <w:rsid w:val="009855D0"/>
    <w:rsid w:val="00991CD9"/>
    <w:rsid w:val="00996D2E"/>
    <w:rsid w:val="009A048B"/>
    <w:rsid w:val="009A1C13"/>
    <w:rsid w:val="009A5DD9"/>
    <w:rsid w:val="009B11B2"/>
    <w:rsid w:val="009B3A10"/>
    <w:rsid w:val="009B490C"/>
    <w:rsid w:val="009B5002"/>
    <w:rsid w:val="009B7C35"/>
    <w:rsid w:val="009C2C6E"/>
    <w:rsid w:val="009C6587"/>
    <w:rsid w:val="009C6594"/>
    <w:rsid w:val="009C7036"/>
    <w:rsid w:val="009C7B7F"/>
    <w:rsid w:val="009D0A39"/>
    <w:rsid w:val="009D759F"/>
    <w:rsid w:val="009E1F11"/>
    <w:rsid w:val="009E245E"/>
    <w:rsid w:val="009E2F3E"/>
    <w:rsid w:val="009E42E4"/>
    <w:rsid w:val="009F0E39"/>
    <w:rsid w:val="00A032F5"/>
    <w:rsid w:val="00A0469A"/>
    <w:rsid w:val="00A0760F"/>
    <w:rsid w:val="00A134F7"/>
    <w:rsid w:val="00A13ED2"/>
    <w:rsid w:val="00A15BD9"/>
    <w:rsid w:val="00A20A07"/>
    <w:rsid w:val="00A22594"/>
    <w:rsid w:val="00A25245"/>
    <w:rsid w:val="00A31103"/>
    <w:rsid w:val="00A3176A"/>
    <w:rsid w:val="00A43354"/>
    <w:rsid w:val="00A43F19"/>
    <w:rsid w:val="00A45838"/>
    <w:rsid w:val="00A548D9"/>
    <w:rsid w:val="00A55BFD"/>
    <w:rsid w:val="00A569B6"/>
    <w:rsid w:val="00A57074"/>
    <w:rsid w:val="00A57ACB"/>
    <w:rsid w:val="00A61901"/>
    <w:rsid w:val="00A72105"/>
    <w:rsid w:val="00A75990"/>
    <w:rsid w:val="00A77DD7"/>
    <w:rsid w:val="00A812D4"/>
    <w:rsid w:val="00A83A4A"/>
    <w:rsid w:val="00A84500"/>
    <w:rsid w:val="00A85FC4"/>
    <w:rsid w:val="00A8793F"/>
    <w:rsid w:val="00A91B52"/>
    <w:rsid w:val="00A951DB"/>
    <w:rsid w:val="00A96A55"/>
    <w:rsid w:val="00AA1429"/>
    <w:rsid w:val="00AA3D2B"/>
    <w:rsid w:val="00AA65E3"/>
    <w:rsid w:val="00AB03B2"/>
    <w:rsid w:val="00AC2A15"/>
    <w:rsid w:val="00AC54EC"/>
    <w:rsid w:val="00AC5882"/>
    <w:rsid w:val="00AC7597"/>
    <w:rsid w:val="00AD606C"/>
    <w:rsid w:val="00AD6C46"/>
    <w:rsid w:val="00AE0560"/>
    <w:rsid w:val="00AE1992"/>
    <w:rsid w:val="00AE35F2"/>
    <w:rsid w:val="00AE613A"/>
    <w:rsid w:val="00AE6AE8"/>
    <w:rsid w:val="00AF56C8"/>
    <w:rsid w:val="00AF779F"/>
    <w:rsid w:val="00B04910"/>
    <w:rsid w:val="00B12B8A"/>
    <w:rsid w:val="00B17783"/>
    <w:rsid w:val="00B208F6"/>
    <w:rsid w:val="00B21C0B"/>
    <w:rsid w:val="00B24121"/>
    <w:rsid w:val="00B25713"/>
    <w:rsid w:val="00B2646C"/>
    <w:rsid w:val="00B34494"/>
    <w:rsid w:val="00B350AE"/>
    <w:rsid w:val="00B35D8D"/>
    <w:rsid w:val="00B41F57"/>
    <w:rsid w:val="00B45363"/>
    <w:rsid w:val="00B50D68"/>
    <w:rsid w:val="00B513FB"/>
    <w:rsid w:val="00B5164B"/>
    <w:rsid w:val="00B54183"/>
    <w:rsid w:val="00B54D98"/>
    <w:rsid w:val="00B552D1"/>
    <w:rsid w:val="00B558AE"/>
    <w:rsid w:val="00B5674A"/>
    <w:rsid w:val="00B56E76"/>
    <w:rsid w:val="00B60261"/>
    <w:rsid w:val="00B64854"/>
    <w:rsid w:val="00B746E6"/>
    <w:rsid w:val="00B74FBE"/>
    <w:rsid w:val="00B77E3D"/>
    <w:rsid w:val="00B77F0A"/>
    <w:rsid w:val="00B80CE0"/>
    <w:rsid w:val="00B85035"/>
    <w:rsid w:val="00B8545A"/>
    <w:rsid w:val="00B85B89"/>
    <w:rsid w:val="00B87848"/>
    <w:rsid w:val="00B9564D"/>
    <w:rsid w:val="00B97B41"/>
    <w:rsid w:val="00BA0B5B"/>
    <w:rsid w:val="00BA2AD5"/>
    <w:rsid w:val="00BA33B5"/>
    <w:rsid w:val="00BA4B76"/>
    <w:rsid w:val="00BB2714"/>
    <w:rsid w:val="00BB4D43"/>
    <w:rsid w:val="00BB535D"/>
    <w:rsid w:val="00BB74A5"/>
    <w:rsid w:val="00BB769C"/>
    <w:rsid w:val="00BC0E29"/>
    <w:rsid w:val="00BC25A6"/>
    <w:rsid w:val="00BD787A"/>
    <w:rsid w:val="00BE105F"/>
    <w:rsid w:val="00BE52D6"/>
    <w:rsid w:val="00BE52E1"/>
    <w:rsid w:val="00BF0E50"/>
    <w:rsid w:val="00BF37A2"/>
    <w:rsid w:val="00BF6225"/>
    <w:rsid w:val="00C030C7"/>
    <w:rsid w:val="00C04B58"/>
    <w:rsid w:val="00C06C5D"/>
    <w:rsid w:val="00C11183"/>
    <w:rsid w:val="00C130FB"/>
    <w:rsid w:val="00C13576"/>
    <w:rsid w:val="00C13F89"/>
    <w:rsid w:val="00C1503B"/>
    <w:rsid w:val="00C15551"/>
    <w:rsid w:val="00C16067"/>
    <w:rsid w:val="00C17D5B"/>
    <w:rsid w:val="00C20533"/>
    <w:rsid w:val="00C31BFC"/>
    <w:rsid w:val="00C34EDB"/>
    <w:rsid w:val="00C34F52"/>
    <w:rsid w:val="00C35D54"/>
    <w:rsid w:val="00C36081"/>
    <w:rsid w:val="00C37C01"/>
    <w:rsid w:val="00C50416"/>
    <w:rsid w:val="00C5116F"/>
    <w:rsid w:val="00C51F95"/>
    <w:rsid w:val="00C5390E"/>
    <w:rsid w:val="00C53F24"/>
    <w:rsid w:val="00C5440F"/>
    <w:rsid w:val="00C55D07"/>
    <w:rsid w:val="00C55F0A"/>
    <w:rsid w:val="00C60AE5"/>
    <w:rsid w:val="00C623FB"/>
    <w:rsid w:val="00C64CCA"/>
    <w:rsid w:val="00C65283"/>
    <w:rsid w:val="00C70A06"/>
    <w:rsid w:val="00C70B7C"/>
    <w:rsid w:val="00C84332"/>
    <w:rsid w:val="00C846BC"/>
    <w:rsid w:val="00C90E4D"/>
    <w:rsid w:val="00C940BF"/>
    <w:rsid w:val="00C969C0"/>
    <w:rsid w:val="00C96E3B"/>
    <w:rsid w:val="00CA28D8"/>
    <w:rsid w:val="00CA5128"/>
    <w:rsid w:val="00CA55D4"/>
    <w:rsid w:val="00CA7831"/>
    <w:rsid w:val="00CA79A1"/>
    <w:rsid w:val="00CB2271"/>
    <w:rsid w:val="00CB24C7"/>
    <w:rsid w:val="00CB6635"/>
    <w:rsid w:val="00CC22A4"/>
    <w:rsid w:val="00CC5877"/>
    <w:rsid w:val="00CD06DC"/>
    <w:rsid w:val="00CD0A0B"/>
    <w:rsid w:val="00CE031D"/>
    <w:rsid w:val="00CE2A99"/>
    <w:rsid w:val="00CE5143"/>
    <w:rsid w:val="00CE5440"/>
    <w:rsid w:val="00CE6284"/>
    <w:rsid w:val="00CF5183"/>
    <w:rsid w:val="00CF5E7D"/>
    <w:rsid w:val="00CF6737"/>
    <w:rsid w:val="00D31D6B"/>
    <w:rsid w:val="00D35160"/>
    <w:rsid w:val="00D41F75"/>
    <w:rsid w:val="00D44C15"/>
    <w:rsid w:val="00D56126"/>
    <w:rsid w:val="00D60175"/>
    <w:rsid w:val="00D60488"/>
    <w:rsid w:val="00D63D2E"/>
    <w:rsid w:val="00D660CB"/>
    <w:rsid w:val="00D670CE"/>
    <w:rsid w:val="00D70239"/>
    <w:rsid w:val="00D718E5"/>
    <w:rsid w:val="00D767FB"/>
    <w:rsid w:val="00D841B8"/>
    <w:rsid w:val="00D918AD"/>
    <w:rsid w:val="00D9351F"/>
    <w:rsid w:val="00DA2E58"/>
    <w:rsid w:val="00DA5FBC"/>
    <w:rsid w:val="00DA6169"/>
    <w:rsid w:val="00DB521F"/>
    <w:rsid w:val="00DB5DD5"/>
    <w:rsid w:val="00DB6F3B"/>
    <w:rsid w:val="00DC2BC6"/>
    <w:rsid w:val="00DC372E"/>
    <w:rsid w:val="00DC45AC"/>
    <w:rsid w:val="00DC7646"/>
    <w:rsid w:val="00DD0021"/>
    <w:rsid w:val="00DD396E"/>
    <w:rsid w:val="00DE37D5"/>
    <w:rsid w:val="00DE594E"/>
    <w:rsid w:val="00DF0398"/>
    <w:rsid w:val="00DF0B06"/>
    <w:rsid w:val="00E002DD"/>
    <w:rsid w:val="00E0419A"/>
    <w:rsid w:val="00E05466"/>
    <w:rsid w:val="00E11ECF"/>
    <w:rsid w:val="00E15AE8"/>
    <w:rsid w:val="00E167D5"/>
    <w:rsid w:val="00E1727E"/>
    <w:rsid w:val="00E207EC"/>
    <w:rsid w:val="00E26063"/>
    <w:rsid w:val="00E2727C"/>
    <w:rsid w:val="00E319C2"/>
    <w:rsid w:val="00E32FFC"/>
    <w:rsid w:val="00E34A13"/>
    <w:rsid w:val="00E37BDF"/>
    <w:rsid w:val="00E41600"/>
    <w:rsid w:val="00E43205"/>
    <w:rsid w:val="00E449C3"/>
    <w:rsid w:val="00E44A64"/>
    <w:rsid w:val="00E50EE8"/>
    <w:rsid w:val="00E51AC9"/>
    <w:rsid w:val="00E56308"/>
    <w:rsid w:val="00E63D10"/>
    <w:rsid w:val="00E66413"/>
    <w:rsid w:val="00E664E2"/>
    <w:rsid w:val="00E67F2E"/>
    <w:rsid w:val="00E70C2F"/>
    <w:rsid w:val="00E76A5B"/>
    <w:rsid w:val="00E76D29"/>
    <w:rsid w:val="00E772B2"/>
    <w:rsid w:val="00E80599"/>
    <w:rsid w:val="00E8673D"/>
    <w:rsid w:val="00E86FBA"/>
    <w:rsid w:val="00E93287"/>
    <w:rsid w:val="00E97BCE"/>
    <w:rsid w:val="00EA21CB"/>
    <w:rsid w:val="00EA3F81"/>
    <w:rsid w:val="00EA5B52"/>
    <w:rsid w:val="00EB1291"/>
    <w:rsid w:val="00EB5681"/>
    <w:rsid w:val="00EC6691"/>
    <w:rsid w:val="00ED69FE"/>
    <w:rsid w:val="00ED752F"/>
    <w:rsid w:val="00EF35EF"/>
    <w:rsid w:val="00EF3EAD"/>
    <w:rsid w:val="00EF7D84"/>
    <w:rsid w:val="00F0058E"/>
    <w:rsid w:val="00F01B28"/>
    <w:rsid w:val="00F01DF9"/>
    <w:rsid w:val="00F02DE0"/>
    <w:rsid w:val="00F035D0"/>
    <w:rsid w:val="00F06313"/>
    <w:rsid w:val="00F06765"/>
    <w:rsid w:val="00F22714"/>
    <w:rsid w:val="00F22BAA"/>
    <w:rsid w:val="00F265A5"/>
    <w:rsid w:val="00F2782B"/>
    <w:rsid w:val="00F27F2C"/>
    <w:rsid w:val="00F305B3"/>
    <w:rsid w:val="00F311DD"/>
    <w:rsid w:val="00F32B41"/>
    <w:rsid w:val="00F34BF8"/>
    <w:rsid w:val="00F414FF"/>
    <w:rsid w:val="00F41B6B"/>
    <w:rsid w:val="00F41DD7"/>
    <w:rsid w:val="00F60A53"/>
    <w:rsid w:val="00F61A56"/>
    <w:rsid w:val="00F628F4"/>
    <w:rsid w:val="00F64F17"/>
    <w:rsid w:val="00F717DC"/>
    <w:rsid w:val="00F73505"/>
    <w:rsid w:val="00F84D75"/>
    <w:rsid w:val="00F85414"/>
    <w:rsid w:val="00F85DE2"/>
    <w:rsid w:val="00F96CB9"/>
    <w:rsid w:val="00F97CAC"/>
    <w:rsid w:val="00FA0F0E"/>
    <w:rsid w:val="00FA1192"/>
    <w:rsid w:val="00FA1604"/>
    <w:rsid w:val="00FA2F9E"/>
    <w:rsid w:val="00FA5BE7"/>
    <w:rsid w:val="00FA63B2"/>
    <w:rsid w:val="00FB0354"/>
    <w:rsid w:val="00FB0F9F"/>
    <w:rsid w:val="00FC13F0"/>
    <w:rsid w:val="00FC3E9B"/>
    <w:rsid w:val="00FC42E0"/>
    <w:rsid w:val="00FD377B"/>
    <w:rsid w:val="00FD3EBB"/>
    <w:rsid w:val="00FD414B"/>
    <w:rsid w:val="00FD4302"/>
    <w:rsid w:val="00FD7086"/>
    <w:rsid w:val="00FE179E"/>
    <w:rsid w:val="00FE28D3"/>
    <w:rsid w:val="00FF1C02"/>
    <w:rsid w:val="00FF508A"/>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276B4C"/>
    <w:pPr>
      <w:suppressAutoHyphens w:val="0"/>
      <w:spacing w:line="240" w:lineRule="auto"/>
    </w:pPr>
    <w:rPr>
      <w:sz w:val="22"/>
      <w:szCs w:val="24"/>
    </w:rPr>
  </w:style>
  <w:style w:type="paragraph" w:customStyle="1" w:styleId="Num-DocParagraph">
    <w:name w:val="Num-Doc Paragraph"/>
    <w:basedOn w:val="BodyText"/>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nhideWhenUsed/>
    <w:rsid w:val="00276B4C"/>
    <w:pPr>
      <w:spacing w:after="120"/>
    </w:pPr>
  </w:style>
  <w:style w:type="character" w:customStyle="1" w:styleId="BodyTextChar">
    <w:name w:val="Body Text Char"/>
    <w:basedOn w:val="DefaultParagraphFont"/>
    <w:link w:val="BodyText"/>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nhideWhenUsed/>
    <w:rsid w:val="00276B4C"/>
    <w:pPr>
      <w:spacing w:line="240" w:lineRule="auto"/>
    </w:pPr>
  </w:style>
  <w:style w:type="character" w:customStyle="1" w:styleId="CommentTextChar">
    <w:name w:val="Comment Text Char"/>
    <w:basedOn w:val="DefaultParagraphFont"/>
    <w:link w:val="CommentText"/>
    <w:rsid w:val="00276B4C"/>
    <w:rPr>
      <w:rFonts w:eastAsia="Times New Roman"/>
      <w:lang w:eastAsia="en-US"/>
    </w:rPr>
  </w:style>
  <w:style w:type="paragraph" w:styleId="CommentSubject">
    <w:name w:val="annotation subject"/>
    <w:basedOn w:val="CommentText"/>
    <w:next w:val="CommentText"/>
    <w:link w:val="CommentSubjectChar"/>
    <w:semiHidden/>
    <w:unhideWhenUsed/>
    <w:rsid w:val="00276B4C"/>
    <w:rPr>
      <w:b/>
      <w:bCs/>
    </w:rPr>
  </w:style>
  <w:style w:type="character" w:customStyle="1" w:styleId="CommentSubjectChar">
    <w:name w:val="Comment Subject Char"/>
    <w:basedOn w:val="CommentTextChar"/>
    <w:link w:val="CommentSubject"/>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nhideWhenUsed/>
    <w:rsid w:val="00C5390E"/>
    <w:pPr>
      <w:spacing w:line="240" w:lineRule="auto"/>
      <w:ind w:left="200" w:hanging="200"/>
    </w:pPr>
  </w:style>
  <w:style w:type="paragraph" w:styleId="IndexHeading">
    <w:name w:val="index heading"/>
    <w:basedOn w:val="Normal"/>
    <w:next w:val="Index1"/>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link w:val="ListParagraphChar"/>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ListParagraphChar">
    <w:name w:val="List Paragraph Char"/>
    <w:basedOn w:val="DefaultParagraphFont"/>
    <w:link w:val="ListParagraph"/>
    <w:uiPriority w:val="34"/>
    <w:locked/>
    <w:rsid w:val="00507870"/>
    <w:rPr>
      <w:rFonts w:eastAsia="Times New Roman"/>
      <w:sz w:val="24"/>
      <w:szCs w:val="24"/>
      <w:lang w:val="en-US" w:eastAsia="en-US"/>
    </w:rPr>
  </w:style>
  <w:style w:type="paragraph" w:customStyle="1" w:styleId="ParNoG">
    <w:name w:val="_ParNo_G"/>
    <w:basedOn w:val="SingleTxtG"/>
    <w:qFormat/>
    <w:rsid w:val="00670F83"/>
    <w:pPr>
      <w:numPr>
        <w:numId w:val="5"/>
      </w:numPr>
      <w:suppressAutoHyphens w:val="0"/>
    </w:pPr>
    <w:rPr>
      <w:lang w:eastAsia="zh-CN"/>
    </w:rPr>
  </w:style>
  <w:style w:type="numbering" w:styleId="111111">
    <w:name w:val="Outline List 2"/>
    <w:basedOn w:val="NoList"/>
    <w:semiHidden/>
    <w:rsid w:val="00670F83"/>
    <w:pPr>
      <w:numPr>
        <w:numId w:val="3"/>
      </w:numPr>
    </w:pPr>
  </w:style>
  <w:style w:type="numbering" w:styleId="1ai">
    <w:name w:val="Outline List 1"/>
    <w:basedOn w:val="NoList"/>
    <w:semiHidden/>
    <w:rsid w:val="00670F83"/>
    <w:pPr>
      <w:numPr>
        <w:numId w:val="4"/>
      </w:numPr>
    </w:pPr>
  </w:style>
  <w:style w:type="character" w:customStyle="1" w:styleId="StyleBold">
    <w:name w:val="Style Bold"/>
    <w:rsid w:val="00670F83"/>
    <w:rPr>
      <w:rFonts w:ascii="Times New Roman" w:hAnsi="Times New Roman" w:cs="Times New Roman" w:hint="default"/>
      <w:b/>
      <w:bCs/>
    </w:rPr>
  </w:style>
  <w:style w:type="character" w:customStyle="1" w:styleId="StyleItalic">
    <w:name w:val="Style Italic"/>
    <w:rsid w:val="00670F83"/>
    <w:rPr>
      <w:rFonts w:ascii="Times New Roman" w:hAnsi="Times New Roman"/>
      <w:i/>
      <w:iCs/>
    </w:rPr>
  </w:style>
  <w:style w:type="paragraph" w:styleId="BodyTextIndent">
    <w:name w:val="Body Text Indent"/>
    <w:basedOn w:val="Normal"/>
    <w:link w:val="BodyTextIndentChar"/>
    <w:unhideWhenUsed/>
    <w:rsid w:val="00670F83"/>
    <w:pPr>
      <w:spacing w:after="120"/>
      <w:ind w:left="283"/>
    </w:pPr>
  </w:style>
  <w:style w:type="character" w:customStyle="1" w:styleId="BodyTextIndentChar">
    <w:name w:val="Body Text Indent Char"/>
    <w:basedOn w:val="DefaultParagraphFont"/>
    <w:link w:val="BodyTextIndent"/>
    <w:rsid w:val="00670F83"/>
    <w:rPr>
      <w:rFonts w:eastAsia="Times New Roman"/>
      <w:lang w:eastAsia="en-US"/>
    </w:rPr>
  </w:style>
  <w:style w:type="paragraph" w:styleId="BodyText3">
    <w:name w:val="Body Text 3"/>
    <w:basedOn w:val="Normal"/>
    <w:link w:val="BodyText3Char"/>
    <w:uiPriority w:val="99"/>
    <w:rsid w:val="00670F83"/>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670F83"/>
    <w:rPr>
      <w:rFonts w:eastAsia="Times New Roman"/>
      <w:color w:val="000000"/>
      <w:sz w:val="22"/>
      <w:lang w:eastAsia="fr-FR"/>
    </w:rPr>
  </w:style>
  <w:style w:type="paragraph" w:styleId="BodyText2">
    <w:name w:val="Body Text 2"/>
    <w:basedOn w:val="Normal"/>
    <w:link w:val="BodyText2Char"/>
    <w:rsid w:val="00670F83"/>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rsid w:val="00670F83"/>
    <w:rPr>
      <w:rFonts w:ascii="CG Times" w:eastAsia="Times New Roman" w:hAnsi="CG Times"/>
      <w:lang w:val="fr-FR" w:eastAsia="fr-FR"/>
    </w:rPr>
  </w:style>
  <w:style w:type="paragraph" w:styleId="BodyTextIndent2">
    <w:name w:val="Body Text Indent 2"/>
    <w:basedOn w:val="Normal"/>
    <w:link w:val="BodyTextIndent2Char"/>
    <w:rsid w:val="00670F83"/>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rsid w:val="00670F83"/>
    <w:rPr>
      <w:rFonts w:eastAsia="Times New Roman"/>
      <w:color w:val="000000"/>
      <w:sz w:val="22"/>
      <w:szCs w:val="24"/>
      <w:lang w:eastAsia="en-US"/>
    </w:rPr>
  </w:style>
  <w:style w:type="paragraph" w:styleId="BodyTextIndent3">
    <w:name w:val="Body Text Indent 3"/>
    <w:basedOn w:val="Normal"/>
    <w:link w:val="BodyTextIndent3Char"/>
    <w:rsid w:val="00670F83"/>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670F83"/>
    <w:rPr>
      <w:rFonts w:eastAsia="Times New Roman"/>
      <w:sz w:val="22"/>
      <w:szCs w:val="24"/>
      <w:lang w:eastAsia="en-US"/>
    </w:rPr>
  </w:style>
  <w:style w:type="paragraph" w:customStyle="1" w:styleId="GHSHeading1">
    <w:name w:val="GHSHeading1"/>
    <w:basedOn w:val="Normal"/>
    <w:link w:val="GHSHeading1Char"/>
    <w:rsid w:val="00670F83"/>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670F83"/>
    <w:pPr>
      <w:suppressAutoHyphens w:val="0"/>
      <w:spacing w:line="240" w:lineRule="auto"/>
      <w:ind w:left="1440" w:right="720"/>
    </w:pPr>
    <w:rPr>
      <w:sz w:val="22"/>
    </w:rPr>
  </w:style>
  <w:style w:type="paragraph" w:customStyle="1" w:styleId="DefaultText">
    <w:name w:val="Default Text"/>
    <w:basedOn w:val="Normal"/>
    <w:rsid w:val="00670F83"/>
    <w:pPr>
      <w:tabs>
        <w:tab w:val="left" w:pos="0"/>
      </w:tabs>
      <w:suppressAutoHyphens w:val="0"/>
      <w:spacing w:line="240" w:lineRule="auto"/>
    </w:pPr>
    <w:rPr>
      <w:sz w:val="22"/>
    </w:rPr>
  </w:style>
  <w:style w:type="paragraph" w:customStyle="1" w:styleId="NumDocPara">
    <w:name w:val="Num©Doc Para"/>
    <w:basedOn w:val="Normal"/>
    <w:rsid w:val="00670F8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rsid w:val="00670F83"/>
    <w:rPr>
      <w:rFonts w:ascii="Arial" w:eastAsia="Times New Roman" w:hAnsi="Arial"/>
      <w:snapToGrid w:val="0"/>
      <w:sz w:val="24"/>
      <w:lang w:eastAsia="en-US"/>
    </w:rPr>
  </w:style>
  <w:style w:type="paragraph" w:customStyle="1" w:styleId="Level1">
    <w:name w:val="Level 1"/>
    <w:basedOn w:val="Normal"/>
    <w:rsid w:val="00670F83"/>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semiHidden/>
    <w:rsid w:val="00670F83"/>
    <w:pPr>
      <w:suppressAutoHyphens w:val="0"/>
      <w:spacing w:line="240" w:lineRule="auto"/>
    </w:pPr>
    <w:rPr>
      <w:rFonts w:ascii="Tahoma" w:hAnsi="Tahoma" w:cs="Tahoma"/>
      <w:sz w:val="16"/>
      <w:szCs w:val="16"/>
    </w:rPr>
  </w:style>
  <w:style w:type="character" w:customStyle="1" w:styleId="NormalcentrCar">
    <w:name w:val="Normal centré Car"/>
    <w:rsid w:val="00670F83"/>
    <w:rPr>
      <w:sz w:val="22"/>
      <w:lang w:val="en-GB" w:eastAsia="en-US" w:bidi="ar-SA"/>
    </w:rPr>
  </w:style>
  <w:style w:type="paragraph" w:customStyle="1" w:styleId="GHSHeading2">
    <w:name w:val="GHSHeading2"/>
    <w:basedOn w:val="Normal"/>
    <w:rsid w:val="00670F83"/>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670F83"/>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rsid w:val="00670F83"/>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670F83"/>
    <w:rPr>
      <w:b/>
      <w:bCs/>
    </w:rPr>
  </w:style>
  <w:style w:type="paragraph" w:styleId="ListBullet">
    <w:name w:val="List Bullet"/>
    <w:basedOn w:val="Normal"/>
    <w:autoRedefine/>
    <w:rsid w:val="00670F83"/>
    <w:pPr>
      <w:tabs>
        <w:tab w:val="num" w:pos="360"/>
      </w:tabs>
      <w:suppressAutoHyphens w:val="0"/>
      <w:spacing w:line="240" w:lineRule="auto"/>
      <w:ind w:left="360" w:hanging="360"/>
    </w:pPr>
    <w:rPr>
      <w:sz w:val="24"/>
      <w:szCs w:val="24"/>
    </w:rPr>
  </w:style>
  <w:style w:type="paragraph" w:styleId="ListBullet2">
    <w:name w:val="List Bullet 2"/>
    <w:basedOn w:val="Normal"/>
    <w:autoRedefine/>
    <w:rsid w:val="00670F83"/>
    <w:pPr>
      <w:tabs>
        <w:tab w:val="num" w:pos="643"/>
      </w:tabs>
      <w:suppressAutoHyphens w:val="0"/>
      <w:spacing w:line="240" w:lineRule="auto"/>
      <w:ind w:left="643" w:hanging="360"/>
    </w:pPr>
    <w:rPr>
      <w:sz w:val="24"/>
      <w:szCs w:val="24"/>
    </w:rPr>
  </w:style>
  <w:style w:type="paragraph" w:styleId="ListBullet3">
    <w:name w:val="List Bullet 3"/>
    <w:basedOn w:val="Normal"/>
    <w:autoRedefine/>
    <w:rsid w:val="00670F83"/>
    <w:pPr>
      <w:tabs>
        <w:tab w:val="num" w:pos="926"/>
      </w:tabs>
      <w:suppressAutoHyphens w:val="0"/>
      <w:spacing w:line="240" w:lineRule="auto"/>
      <w:ind w:left="926" w:hanging="360"/>
    </w:pPr>
    <w:rPr>
      <w:sz w:val="24"/>
      <w:szCs w:val="24"/>
    </w:rPr>
  </w:style>
  <w:style w:type="paragraph" w:styleId="ListBullet4">
    <w:name w:val="List Bullet 4"/>
    <w:basedOn w:val="Normal"/>
    <w:autoRedefine/>
    <w:rsid w:val="00670F83"/>
    <w:pPr>
      <w:tabs>
        <w:tab w:val="num" w:pos="1209"/>
      </w:tabs>
      <w:suppressAutoHyphens w:val="0"/>
      <w:spacing w:line="240" w:lineRule="auto"/>
      <w:ind w:left="1209" w:hanging="360"/>
    </w:pPr>
    <w:rPr>
      <w:sz w:val="24"/>
      <w:szCs w:val="24"/>
    </w:rPr>
  </w:style>
  <w:style w:type="paragraph" w:styleId="ListBullet5">
    <w:name w:val="List Bullet 5"/>
    <w:basedOn w:val="Normal"/>
    <w:autoRedefine/>
    <w:rsid w:val="00670F83"/>
    <w:pPr>
      <w:tabs>
        <w:tab w:val="num" w:pos="1492"/>
      </w:tabs>
      <w:suppressAutoHyphens w:val="0"/>
      <w:spacing w:line="240" w:lineRule="auto"/>
      <w:ind w:left="1492" w:hanging="360"/>
    </w:pPr>
    <w:rPr>
      <w:sz w:val="24"/>
      <w:szCs w:val="24"/>
    </w:rPr>
  </w:style>
  <w:style w:type="paragraph" w:styleId="ListNumber">
    <w:name w:val="List Number"/>
    <w:basedOn w:val="Normal"/>
    <w:rsid w:val="00670F83"/>
    <w:pPr>
      <w:tabs>
        <w:tab w:val="num" w:pos="360"/>
      </w:tabs>
      <w:suppressAutoHyphens w:val="0"/>
      <w:spacing w:line="240" w:lineRule="auto"/>
      <w:ind w:left="360" w:hanging="360"/>
    </w:pPr>
    <w:rPr>
      <w:sz w:val="24"/>
      <w:szCs w:val="24"/>
    </w:rPr>
  </w:style>
  <w:style w:type="paragraph" w:styleId="ListNumber2">
    <w:name w:val="List Number 2"/>
    <w:basedOn w:val="Normal"/>
    <w:rsid w:val="00670F83"/>
    <w:pPr>
      <w:tabs>
        <w:tab w:val="num" w:pos="643"/>
      </w:tabs>
      <w:suppressAutoHyphens w:val="0"/>
      <w:spacing w:line="240" w:lineRule="auto"/>
      <w:ind w:left="643" w:hanging="360"/>
    </w:pPr>
    <w:rPr>
      <w:sz w:val="24"/>
      <w:szCs w:val="24"/>
    </w:rPr>
  </w:style>
  <w:style w:type="paragraph" w:styleId="ListNumber3">
    <w:name w:val="List Number 3"/>
    <w:basedOn w:val="Normal"/>
    <w:rsid w:val="00670F83"/>
    <w:pPr>
      <w:tabs>
        <w:tab w:val="num" w:pos="926"/>
      </w:tabs>
      <w:suppressAutoHyphens w:val="0"/>
      <w:spacing w:line="240" w:lineRule="auto"/>
      <w:ind w:left="926" w:hanging="360"/>
    </w:pPr>
    <w:rPr>
      <w:sz w:val="24"/>
      <w:szCs w:val="24"/>
    </w:rPr>
  </w:style>
  <w:style w:type="paragraph" w:styleId="ListNumber4">
    <w:name w:val="List Number 4"/>
    <w:basedOn w:val="Normal"/>
    <w:rsid w:val="00670F83"/>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670F83"/>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670F83"/>
    <w:rPr>
      <w:rFonts w:ascii="Courier New" w:eastAsia="Times New Roman" w:hAnsi="Courier New" w:cs="Courier New"/>
      <w:lang w:eastAsia="en-US"/>
    </w:rPr>
  </w:style>
  <w:style w:type="paragraph" w:styleId="NormalWeb">
    <w:name w:val="Normal (Web)"/>
    <w:basedOn w:val="Normal"/>
    <w:uiPriority w:val="99"/>
    <w:rsid w:val="00670F83"/>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670F83"/>
    <w:rPr>
      <w:i/>
      <w:iCs/>
    </w:rPr>
  </w:style>
  <w:style w:type="paragraph" w:styleId="Revision">
    <w:name w:val="Revision"/>
    <w:hidden/>
    <w:uiPriority w:val="99"/>
    <w:semiHidden/>
    <w:rsid w:val="00670F83"/>
    <w:rPr>
      <w:rFonts w:eastAsia="Times New Roman"/>
      <w:sz w:val="22"/>
      <w:szCs w:val="24"/>
      <w:lang w:eastAsia="en-US"/>
    </w:rPr>
  </w:style>
  <w:style w:type="paragraph" w:styleId="Subtitle">
    <w:name w:val="Subtitle"/>
    <w:basedOn w:val="Normal"/>
    <w:link w:val="SubtitleChar"/>
    <w:qFormat/>
    <w:rsid w:val="00670F83"/>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rsid w:val="00670F83"/>
    <w:rPr>
      <w:rFonts w:eastAsia="Times New Roman"/>
      <w:b/>
      <w:sz w:val="24"/>
      <w:lang w:val="en-US" w:eastAsia="en-US"/>
    </w:rPr>
  </w:style>
  <w:style w:type="paragraph" w:styleId="EnvelopeReturn">
    <w:name w:val="envelope return"/>
    <w:basedOn w:val="Normal"/>
    <w:rsid w:val="00670F83"/>
    <w:pPr>
      <w:suppressAutoHyphens w:val="0"/>
      <w:spacing w:line="240" w:lineRule="auto"/>
    </w:pPr>
    <w:rPr>
      <w:rFonts w:ascii="Arial" w:hAnsi="Arial" w:cs="Arial"/>
    </w:rPr>
  </w:style>
  <w:style w:type="paragraph" w:styleId="HTMLAddress">
    <w:name w:val="HTML Address"/>
    <w:basedOn w:val="Normal"/>
    <w:link w:val="HTMLAddressChar"/>
    <w:rsid w:val="00670F83"/>
    <w:pPr>
      <w:suppressAutoHyphens w:val="0"/>
      <w:spacing w:line="240" w:lineRule="auto"/>
    </w:pPr>
    <w:rPr>
      <w:i/>
      <w:iCs/>
      <w:sz w:val="22"/>
      <w:szCs w:val="24"/>
    </w:rPr>
  </w:style>
  <w:style w:type="character" w:customStyle="1" w:styleId="HTMLAddressChar">
    <w:name w:val="HTML Address Char"/>
    <w:basedOn w:val="DefaultParagraphFont"/>
    <w:link w:val="HTMLAddress"/>
    <w:rsid w:val="00670F83"/>
    <w:rPr>
      <w:rFonts w:eastAsia="Times New Roman"/>
      <w:i/>
      <w:iCs/>
      <w:sz w:val="22"/>
      <w:szCs w:val="24"/>
      <w:lang w:eastAsia="en-US"/>
    </w:rPr>
  </w:style>
  <w:style w:type="paragraph" w:styleId="NormalIndent">
    <w:name w:val="Normal Indent"/>
    <w:basedOn w:val="Normal"/>
    <w:uiPriority w:val="99"/>
    <w:rsid w:val="00670F83"/>
    <w:pPr>
      <w:suppressAutoHyphens w:val="0"/>
      <w:spacing w:line="240" w:lineRule="auto"/>
      <w:ind w:left="720"/>
    </w:pPr>
    <w:rPr>
      <w:sz w:val="22"/>
      <w:szCs w:val="24"/>
    </w:rPr>
  </w:style>
  <w:style w:type="paragraph" w:styleId="TOC1">
    <w:name w:val="toc 1"/>
    <w:basedOn w:val="Normal"/>
    <w:next w:val="Normal"/>
    <w:autoRedefine/>
    <w:rsid w:val="00670F83"/>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rsid w:val="00670F83"/>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rsid w:val="00670F83"/>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670F83"/>
    <w:rPr>
      <w:rFonts w:eastAsia="Times New Roman"/>
      <w:i/>
      <w:iCs/>
      <w:lang w:val="fr-FR" w:eastAsia="fr-FR"/>
    </w:rPr>
  </w:style>
  <w:style w:type="paragraph" w:styleId="Title">
    <w:name w:val="Title"/>
    <w:basedOn w:val="Normal"/>
    <w:link w:val="TitleChar"/>
    <w:qFormat/>
    <w:rsid w:val="00670F83"/>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rsid w:val="00670F83"/>
    <w:rPr>
      <w:rFonts w:eastAsia="Times New Roman"/>
      <w:b/>
      <w:bCs/>
      <w:sz w:val="28"/>
      <w:szCs w:val="28"/>
      <w:lang w:eastAsia="en-US"/>
    </w:rPr>
  </w:style>
  <w:style w:type="paragraph" w:styleId="Caption">
    <w:name w:val="caption"/>
    <w:basedOn w:val="Normal"/>
    <w:next w:val="Normal"/>
    <w:qFormat/>
    <w:rsid w:val="00670F83"/>
    <w:pPr>
      <w:suppressAutoHyphens w:val="0"/>
      <w:spacing w:before="120" w:line="216" w:lineRule="auto"/>
      <w:jc w:val="center"/>
    </w:pPr>
    <w:rPr>
      <w:sz w:val="22"/>
      <w:szCs w:val="24"/>
    </w:rPr>
  </w:style>
  <w:style w:type="paragraph" w:customStyle="1" w:styleId="Annotation">
    <w:name w:val="Annotation"/>
    <w:basedOn w:val="BodyText"/>
    <w:rsid w:val="00670F83"/>
    <w:pPr>
      <w:suppressAutoHyphens w:val="0"/>
      <w:spacing w:after="240" w:line="240" w:lineRule="auto"/>
    </w:pPr>
    <w:rPr>
      <w:b/>
      <w:bCs/>
      <w:i/>
      <w:iCs/>
      <w:sz w:val="22"/>
      <w:szCs w:val="24"/>
    </w:rPr>
  </w:style>
  <w:style w:type="paragraph" w:customStyle="1" w:styleId="GHSpageNumber">
    <w:name w:val="GHSpageNumber"/>
    <w:basedOn w:val="Normal"/>
    <w:rsid w:val="00670F83"/>
    <w:pPr>
      <w:suppressAutoHyphens w:val="0"/>
      <w:spacing w:line="240" w:lineRule="auto"/>
      <w:jc w:val="center"/>
    </w:pPr>
    <w:rPr>
      <w:szCs w:val="22"/>
    </w:rPr>
  </w:style>
  <w:style w:type="paragraph" w:customStyle="1" w:styleId="TableText">
    <w:name w:val="Table Text"/>
    <w:basedOn w:val="Normal"/>
    <w:rsid w:val="00670F83"/>
    <w:pPr>
      <w:tabs>
        <w:tab w:val="left" w:pos="0"/>
      </w:tabs>
      <w:suppressAutoHyphens w:val="0"/>
      <w:spacing w:line="240" w:lineRule="auto"/>
    </w:pPr>
  </w:style>
  <w:style w:type="paragraph" w:customStyle="1" w:styleId="BlockQuotation">
    <w:name w:val="Block Quotation"/>
    <w:basedOn w:val="Normal"/>
    <w:rsid w:val="00670F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rsid w:val="00670F83"/>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rsid w:val="00670F83"/>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rsid w:val="00670F83"/>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rsid w:val="00670F83"/>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670F83"/>
    <w:rPr>
      <w:color w:val="0000FF"/>
      <w:u w:val="single"/>
    </w:rPr>
  </w:style>
  <w:style w:type="paragraph" w:customStyle="1" w:styleId="XP">
    <w:name w:val="XP"/>
    <w:rsid w:val="00670F83"/>
    <w:pPr>
      <w:widowControl w:val="0"/>
      <w:spacing w:before="120" w:after="120" w:line="280" w:lineRule="exact"/>
      <w:jc w:val="both"/>
    </w:pPr>
    <w:rPr>
      <w:rFonts w:ascii="Arial" w:eastAsia="Times New Roman" w:hAnsi="Arial"/>
      <w:lang w:val="nl-NL" w:eastAsia="en-US"/>
    </w:rPr>
  </w:style>
  <w:style w:type="paragraph" w:customStyle="1" w:styleId="IT">
    <w:name w:val="IT"/>
    <w:rsid w:val="00670F83"/>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670F83"/>
    <w:pPr>
      <w:spacing w:after="120"/>
    </w:pPr>
  </w:style>
  <w:style w:type="paragraph" w:customStyle="1" w:styleId="GHStext">
    <w:name w:val="GHS_text"/>
    <w:basedOn w:val="Normal"/>
    <w:link w:val="GHStextChar"/>
    <w:qFormat/>
    <w:rsid w:val="00670F83"/>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670F83"/>
    <w:rPr>
      <w:rFonts w:eastAsia="SimSun"/>
      <w:snapToGrid w:val="0"/>
      <w:color w:val="000000"/>
      <w:szCs w:val="22"/>
      <w:lang w:val="es-ES" w:eastAsia="en-US"/>
    </w:rPr>
  </w:style>
  <w:style w:type="paragraph" w:customStyle="1" w:styleId="Table4">
    <w:name w:val="Table4"/>
    <w:basedOn w:val="Normal"/>
    <w:autoRedefine/>
    <w:rsid w:val="00670F83"/>
    <w:pPr>
      <w:keepNext/>
      <w:keepLines/>
      <w:suppressAutoHyphens w:val="0"/>
      <w:spacing w:line="240" w:lineRule="auto"/>
    </w:pPr>
    <w:rPr>
      <w:rFonts w:eastAsia="SimSun"/>
      <w:b/>
      <w:bCs/>
      <w:sz w:val="18"/>
      <w:szCs w:val="18"/>
    </w:rPr>
  </w:style>
  <w:style w:type="paragraph" w:customStyle="1" w:styleId="TNR11">
    <w:name w:val="TNR11"/>
    <w:rsid w:val="00670F83"/>
    <w:pPr>
      <w:spacing w:before="240"/>
      <w:ind w:firstLine="1276"/>
      <w:jc w:val="both"/>
    </w:pPr>
    <w:rPr>
      <w:rFonts w:eastAsia="Times New Roman"/>
      <w:noProof/>
      <w:sz w:val="22"/>
      <w:lang w:eastAsia="en-US"/>
    </w:rPr>
  </w:style>
  <w:style w:type="paragraph" w:customStyle="1" w:styleId="Tabb">
    <w:name w:val="TabÜb"/>
    <w:basedOn w:val="Normal"/>
    <w:next w:val="Normal"/>
    <w:rsid w:val="00670F83"/>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rsid w:val="00670F83"/>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670F83"/>
    <w:rPr>
      <w:rFonts w:ascii="Times New Roman" w:hAnsi="Times New Roman"/>
      <w:b/>
      <w:bCs/>
    </w:rPr>
  </w:style>
  <w:style w:type="character" w:customStyle="1" w:styleId="StyleBoldStrikethrough">
    <w:name w:val="Style Bold Strikethrough"/>
    <w:semiHidden/>
    <w:rsid w:val="00670F83"/>
    <w:rPr>
      <w:rFonts w:ascii="Times New Roman" w:hAnsi="Times New Roman"/>
      <w:b/>
      <w:bCs/>
      <w:strike/>
      <w:dstrike w:val="0"/>
    </w:rPr>
  </w:style>
  <w:style w:type="character" w:customStyle="1" w:styleId="StyleBold2">
    <w:name w:val="Style Bold2"/>
    <w:semiHidden/>
    <w:rsid w:val="00670F83"/>
    <w:rPr>
      <w:rFonts w:ascii="Times New Roman" w:hAnsi="Times New Roman"/>
      <w:b/>
      <w:bCs/>
    </w:rPr>
  </w:style>
  <w:style w:type="paragraph" w:customStyle="1" w:styleId="GHSPartHeading">
    <w:name w:val="GHS Part Heading"/>
    <w:basedOn w:val="GHSHeading1"/>
    <w:link w:val="GHSPartHeadingChar"/>
    <w:qFormat/>
    <w:rsid w:val="00670F83"/>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670F83"/>
    <w:rPr>
      <w:rFonts w:eastAsia="Times New Roman"/>
      <w:b/>
      <w:bCs/>
      <w:color w:val="000000"/>
      <w:sz w:val="56"/>
      <w:szCs w:val="56"/>
      <w:lang w:eastAsia="fr-FR"/>
    </w:rPr>
  </w:style>
  <w:style w:type="character" w:customStyle="1" w:styleId="GHSPartHeadingChar">
    <w:name w:val="GHS Part Heading Char"/>
    <w:link w:val="GHSPartHeading"/>
    <w:rsid w:val="00670F83"/>
    <w:rPr>
      <w:rFonts w:eastAsia="Times New Roman"/>
      <w:b/>
      <w:bCs/>
      <w:color w:val="000000"/>
      <w:sz w:val="52"/>
      <w:szCs w:val="52"/>
      <w:lang w:eastAsia="fr-FR"/>
    </w:rPr>
  </w:style>
  <w:style w:type="table" w:styleId="TableTheme">
    <w:name w:val="Table Theme"/>
    <w:basedOn w:val="TableNormal"/>
    <w:semiHidden/>
    <w:rsid w:val="00670F8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670F83"/>
    <w:pPr>
      <w:suppressAutoHyphens w:val="0"/>
      <w:spacing w:line="240" w:lineRule="auto"/>
      <w:jc w:val="both"/>
    </w:pPr>
    <w:rPr>
      <w:sz w:val="22"/>
      <w:szCs w:val="24"/>
    </w:rPr>
  </w:style>
  <w:style w:type="character" w:customStyle="1" w:styleId="DateChar">
    <w:name w:val="Date Char"/>
    <w:basedOn w:val="DefaultParagraphFont"/>
    <w:link w:val="Date"/>
    <w:rsid w:val="00670F83"/>
    <w:rPr>
      <w:rFonts w:eastAsia="Times New Roman"/>
      <w:sz w:val="22"/>
      <w:szCs w:val="24"/>
      <w:lang w:eastAsia="en-US"/>
    </w:rPr>
  </w:style>
  <w:style w:type="paragraph" w:styleId="List">
    <w:name w:val="List"/>
    <w:basedOn w:val="Normal"/>
    <w:semiHidden/>
    <w:unhideWhenUsed/>
    <w:rsid w:val="00670F83"/>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670F83"/>
    <w:rPr>
      <w:rFonts w:eastAsia="Times New Roman"/>
      <w:b/>
      <w:lang w:eastAsia="en-US"/>
    </w:rPr>
  </w:style>
  <w:style w:type="table" w:customStyle="1" w:styleId="Tabellrutnt1">
    <w:name w:val="Tabellrutnät1"/>
    <w:basedOn w:val="TableNormal"/>
    <w:uiPriority w:val="39"/>
    <w:rsid w:val="00670F83"/>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670F83"/>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rsid w:val="00670F83"/>
    <w:pPr>
      <w:spacing w:before="240"/>
    </w:pPr>
  </w:style>
  <w:style w:type="paragraph" w:customStyle="1" w:styleId="StyleSingleTxtGBefore0cmAfter-0cm">
    <w:name w:val="Style _ Single Txt_G + Before:  0 cm After:  -0 cm"/>
    <w:basedOn w:val="SingleTxtG"/>
    <w:rsid w:val="00670F83"/>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670F83"/>
  </w:style>
  <w:style w:type="paragraph" w:customStyle="1" w:styleId="StyleGHSBodyTextBefore025cmFirstline0cm">
    <w:name w:val="Style GHSBody Text + Before:  0.25 cm First line:  0 cm"/>
    <w:basedOn w:val="GHSBodyText"/>
    <w:rsid w:val="00670F83"/>
    <w:pPr>
      <w:ind w:left="142"/>
    </w:pPr>
    <w:rPr>
      <w:sz w:val="20"/>
    </w:rPr>
  </w:style>
  <w:style w:type="character" w:customStyle="1" w:styleId="GHSindent1Char">
    <w:name w:val="GHSindent_1 Char"/>
    <w:basedOn w:val="GHSBodyTextChar"/>
    <w:link w:val="GHSindent1"/>
    <w:rsid w:val="00670F83"/>
    <w:rPr>
      <w:rFonts w:eastAsia="Times New Roman"/>
      <w:sz w:val="22"/>
      <w:lang w:eastAsia="en-US"/>
    </w:rPr>
  </w:style>
  <w:style w:type="paragraph" w:customStyle="1" w:styleId="GHSsubparas1">
    <w:name w:val="GHSsubparas1"/>
    <w:basedOn w:val="Normal"/>
    <w:rsid w:val="00670F83"/>
    <w:pPr>
      <w:suppressAutoHyphens w:val="0"/>
      <w:spacing w:after="240" w:line="240" w:lineRule="auto"/>
      <w:ind w:left="1973" w:hanging="561"/>
      <w:jc w:val="both"/>
    </w:pPr>
    <w:rPr>
      <w:bCs/>
      <w:color w:val="000000"/>
      <w:szCs w:val="24"/>
    </w:rPr>
  </w:style>
  <w:style w:type="paragraph" w:customStyle="1" w:styleId="GHSSubparas10">
    <w:name w:val="GHS Subparas1"/>
    <w:basedOn w:val="Normal"/>
    <w:qFormat/>
    <w:rsid w:val="00670F83"/>
    <w:pPr>
      <w:suppressAutoHyphens w:val="0"/>
      <w:spacing w:after="240" w:line="240" w:lineRule="auto"/>
      <w:ind w:left="1973" w:hanging="561"/>
      <w:jc w:val="both"/>
    </w:pPr>
    <w:rPr>
      <w:bCs/>
      <w:color w:val="000000"/>
      <w:szCs w:val="24"/>
    </w:rPr>
  </w:style>
  <w:style w:type="paragraph" w:customStyle="1" w:styleId="GHSSub2">
    <w:name w:val="GHS Sub2"/>
    <w:basedOn w:val="Normal"/>
    <w:qFormat/>
    <w:rsid w:val="00670F83"/>
    <w:pPr>
      <w:suppressAutoHyphens w:val="0"/>
      <w:spacing w:after="240" w:line="240" w:lineRule="auto"/>
      <w:ind w:left="2552" w:hanging="567"/>
      <w:jc w:val="both"/>
    </w:pPr>
    <w:rPr>
      <w:szCs w:val="22"/>
    </w:rPr>
  </w:style>
  <w:style w:type="paragraph" w:customStyle="1" w:styleId="GHS1stline">
    <w:name w:val="GHS_1st line"/>
    <w:basedOn w:val="GHSBodyText"/>
    <w:qFormat/>
    <w:rsid w:val="00670F83"/>
    <w:pPr>
      <w:ind w:firstLine="1418"/>
    </w:pPr>
    <w:rPr>
      <w:sz w:val="20"/>
    </w:rPr>
  </w:style>
  <w:style w:type="character" w:styleId="PlaceholderText">
    <w:name w:val="Placeholder Text"/>
    <w:basedOn w:val="DefaultParagraphFont"/>
    <w:uiPriority w:val="99"/>
    <w:semiHidden/>
    <w:rsid w:val="00670F83"/>
    <w:rPr>
      <w:color w:val="808080"/>
    </w:rPr>
  </w:style>
  <w:style w:type="character" w:styleId="UnresolvedMention">
    <w:name w:val="Unresolved Mention"/>
    <w:basedOn w:val="DefaultParagraphFont"/>
    <w:uiPriority w:val="99"/>
    <w:semiHidden/>
    <w:unhideWhenUsed/>
    <w:rsid w:val="00670F83"/>
    <w:rPr>
      <w:color w:val="605E5C"/>
      <w:shd w:val="clear" w:color="auto" w:fill="E1DFDD"/>
    </w:rPr>
  </w:style>
  <w:style w:type="paragraph" w:styleId="NoSpacing">
    <w:name w:val="No Spacing"/>
    <w:uiPriority w:val="1"/>
    <w:qFormat/>
    <w:rsid w:val="00670F83"/>
    <w:pPr>
      <w:suppressAutoHyphens/>
    </w:pPr>
    <w:rPr>
      <w:rFonts w:eastAsia="Times New Roman"/>
      <w:lang w:eastAsia="en-US"/>
    </w:rPr>
  </w:style>
  <w:style w:type="numbering" w:customStyle="1" w:styleId="CurrentList1">
    <w:name w:val="Current List1"/>
    <w:uiPriority w:val="99"/>
    <w:rsid w:val="00FA1192"/>
    <w:pPr>
      <w:numPr>
        <w:numId w:val="13"/>
      </w:numPr>
    </w:pPr>
  </w:style>
  <w:style w:type="numbering" w:customStyle="1" w:styleId="CurrentList2">
    <w:name w:val="Current List2"/>
    <w:uiPriority w:val="99"/>
    <w:rsid w:val="00FA1192"/>
    <w:pPr>
      <w:numPr>
        <w:numId w:val="14"/>
      </w:numPr>
    </w:pPr>
  </w:style>
  <w:style w:type="numbering" w:customStyle="1" w:styleId="CurrentList3">
    <w:name w:val="Current List3"/>
    <w:uiPriority w:val="99"/>
    <w:rsid w:val="00FA1192"/>
    <w:pPr>
      <w:numPr>
        <w:numId w:val="16"/>
      </w:numPr>
    </w:pPr>
  </w:style>
  <w:style w:type="numbering" w:customStyle="1" w:styleId="CurrentList4">
    <w:name w:val="Current List4"/>
    <w:uiPriority w:val="99"/>
    <w:rsid w:val="00FA11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8801">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452094594">
      <w:bodyDiv w:val="1"/>
      <w:marLeft w:val="0"/>
      <w:marRight w:val="0"/>
      <w:marTop w:val="0"/>
      <w:marBottom w:val="0"/>
      <w:divBdr>
        <w:top w:val="none" w:sz="0" w:space="0" w:color="auto"/>
        <w:left w:val="none" w:sz="0" w:space="0" w:color="auto"/>
        <w:bottom w:val="none" w:sz="0" w:space="0" w:color="auto"/>
        <w:right w:val="none" w:sz="0" w:space="0" w:color="auto"/>
      </w:divBdr>
    </w:div>
    <w:div w:id="531697593">
      <w:bodyDiv w:val="1"/>
      <w:marLeft w:val="0"/>
      <w:marRight w:val="0"/>
      <w:marTop w:val="0"/>
      <w:marBottom w:val="0"/>
      <w:divBdr>
        <w:top w:val="none" w:sz="0" w:space="0" w:color="auto"/>
        <w:left w:val="none" w:sz="0" w:space="0" w:color="auto"/>
        <w:bottom w:val="none" w:sz="0" w:space="0" w:color="auto"/>
        <w:right w:val="none" w:sz="0" w:space="0" w:color="auto"/>
      </w:divBdr>
    </w:div>
    <w:div w:id="665934736">
      <w:bodyDiv w:val="1"/>
      <w:marLeft w:val="0"/>
      <w:marRight w:val="0"/>
      <w:marTop w:val="0"/>
      <w:marBottom w:val="0"/>
      <w:divBdr>
        <w:top w:val="none" w:sz="0" w:space="0" w:color="auto"/>
        <w:left w:val="none" w:sz="0" w:space="0" w:color="auto"/>
        <w:bottom w:val="none" w:sz="0" w:space="0" w:color="auto"/>
        <w:right w:val="none" w:sz="0" w:space="0" w:color="auto"/>
      </w:divBdr>
    </w:div>
    <w:div w:id="787696330">
      <w:bodyDiv w:val="1"/>
      <w:marLeft w:val="0"/>
      <w:marRight w:val="0"/>
      <w:marTop w:val="0"/>
      <w:marBottom w:val="0"/>
      <w:divBdr>
        <w:top w:val="none" w:sz="0" w:space="0" w:color="auto"/>
        <w:left w:val="none" w:sz="0" w:space="0" w:color="auto"/>
        <w:bottom w:val="none" w:sz="0" w:space="0" w:color="auto"/>
        <w:right w:val="none" w:sz="0" w:space="0" w:color="auto"/>
      </w:divBdr>
    </w:div>
    <w:div w:id="826632119">
      <w:bodyDiv w:val="1"/>
      <w:marLeft w:val="0"/>
      <w:marRight w:val="0"/>
      <w:marTop w:val="0"/>
      <w:marBottom w:val="0"/>
      <w:divBdr>
        <w:top w:val="none" w:sz="0" w:space="0" w:color="auto"/>
        <w:left w:val="none" w:sz="0" w:space="0" w:color="auto"/>
        <w:bottom w:val="none" w:sz="0" w:space="0" w:color="auto"/>
        <w:right w:val="none" w:sz="0" w:space="0" w:color="auto"/>
      </w:divBdr>
    </w:div>
    <w:div w:id="864365244">
      <w:bodyDiv w:val="1"/>
      <w:marLeft w:val="0"/>
      <w:marRight w:val="0"/>
      <w:marTop w:val="0"/>
      <w:marBottom w:val="0"/>
      <w:divBdr>
        <w:top w:val="none" w:sz="0" w:space="0" w:color="auto"/>
        <w:left w:val="none" w:sz="0" w:space="0" w:color="auto"/>
        <w:bottom w:val="none" w:sz="0" w:space="0" w:color="auto"/>
        <w:right w:val="none" w:sz="0" w:space="0" w:color="auto"/>
      </w:divBdr>
    </w:div>
    <w:div w:id="866134965">
      <w:bodyDiv w:val="1"/>
      <w:marLeft w:val="0"/>
      <w:marRight w:val="0"/>
      <w:marTop w:val="0"/>
      <w:marBottom w:val="0"/>
      <w:divBdr>
        <w:top w:val="none" w:sz="0" w:space="0" w:color="auto"/>
        <w:left w:val="none" w:sz="0" w:space="0" w:color="auto"/>
        <w:bottom w:val="none" w:sz="0" w:space="0" w:color="auto"/>
        <w:right w:val="none" w:sz="0" w:space="0" w:color="auto"/>
      </w:divBdr>
    </w:div>
    <w:div w:id="1075200771">
      <w:bodyDiv w:val="1"/>
      <w:marLeft w:val="0"/>
      <w:marRight w:val="0"/>
      <w:marTop w:val="0"/>
      <w:marBottom w:val="0"/>
      <w:divBdr>
        <w:top w:val="none" w:sz="0" w:space="0" w:color="auto"/>
        <w:left w:val="none" w:sz="0" w:space="0" w:color="auto"/>
        <w:bottom w:val="none" w:sz="0" w:space="0" w:color="auto"/>
        <w:right w:val="none" w:sz="0" w:space="0" w:color="auto"/>
      </w:divBdr>
      <w:divsChild>
        <w:div w:id="434712594">
          <w:marLeft w:val="0"/>
          <w:marRight w:val="0"/>
          <w:marTop w:val="0"/>
          <w:marBottom w:val="0"/>
          <w:divBdr>
            <w:top w:val="none" w:sz="0" w:space="0" w:color="auto"/>
            <w:left w:val="none" w:sz="0" w:space="0" w:color="auto"/>
            <w:bottom w:val="none" w:sz="0" w:space="0" w:color="auto"/>
            <w:right w:val="none" w:sz="0" w:space="0" w:color="auto"/>
          </w:divBdr>
          <w:divsChild>
            <w:div w:id="915478870">
              <w:marLeft w:val="0"/>
              <w:marRight w:val="0"/>
              <w:marTop w:val="0"/>
              <w:marBottom w:val="0"/>
              <w:divBdr>
                <w:top w:val="none" w:sz="0" w:space="0" w:color="auto"/>
                <w:left w:val="none" w:sz="0" w:space="0" w:color="auto"/>
                <w:bottom w:val="none" w:sz="0" w:space="0" w:color="auto"/>
                <w:right w:val="none" w:sz="0" w:space="0" w:color="auto"/>
              </w:divBdr>
              <w:divsChild>
                <w:div w:id="20496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1209">
      <w:bodyDiv w:val="1"/>
      <w:marLeft w:val="0"/>
      <w:marRight w:val="0"/>
      <w:marTop w:val="0"/>
      <w:marBottom w:val="0"/>
      <w:divBdr>
        <w:top w:val="none" w:sz="0" w:space="0" w:color="auto"/>
        <w:left w:val="none" w:sz="0" w:space="0" w:color="auto"/>
        <w:bottom w:val="none" w:sz="0" w:space="0" w:color="auto"/>
        <w:right w:val="none" w:sz="0" w:space="0" w:color="auto"/>
      </w:divBdr>
    </w:div>
    <w:div w:id="1270504072">
      <w:bodyDiv w:val="1"/>
      <w:marLeft w:val="0"/>
      <w:marRight w:val="0"/>
      <w:marTop w:val="0"/>
      <w:marBottom w:val="0"/>
      <w:divBdr>
        <w:top w:val="none" w:sz="0" w:space="0" w:color="auto"/>
        <w:left w:val="none" w:sz="0" w:space="0" w:color="auto"/>
        <w:bottom w:val="none" w:sz="0" w:space="0" w:color="auto"/>
        <w:right w:val="none" w:sz="0" w:space="0" w:color="auto"/>
      </w:divBdr>
    </w:div>
    <w:div w:id="1285961053">
      <w:bodyDiv w:val="1"/>
      <w:marLeft w:val="0"/>
      <w:marRight w:val="0"/>
      <w:marTop w:val="0"/>
      <w:marBottom w:val="0"/>
      <w:divBdr>
        <w:top w:val="none" w:sz="0" w:space="0" w:color="auto"/>
        <w:left w:val="none" w:sz="0" w:space="0" w:color="auto"/>
        <w:bottom w:val="none" w:sz="0" w:space="0" w:color="auto"/>
        <w:right w:val="none" w:sz="0" w:space="0" w:color="auto"/>
      </w:divBdr>
    </w:div>
    <w:div w:id="1288270579">
      <w:bodyDiv w:val="1"/>
      <w:marLeft w:val="0"/>
      <w:marRight w:val="0"/>
      <w:marTop w:val="0"/>
      <w:marBottom w:val="0"/>
      <w:divBdr>
        <w:top w:val="none" w:sz="0" w:space="0" w:color="auto"/>
        <w:left w:val="none" w:sz="0" w:space="0" w:color="auto"/>
        <w:bottom w:val="none" w:sz="0" w:space="0" w:color="auto"/>
        <w:right w:val="none" w:sz="0" w:space="0" w:color="auto"/>
      </w:divBdr>
    </w:div>
    <w:div w:id="1586301902">
      <w:bodyDiv w:val="1"/>
      <w:marLeft w:val="0"/>
      <w:marRight w:val="0"/>
      <w:marTop w:val="0"/>
      <w:marBottom w:val="0"/>
      <w:divBdr>
        <w:top w:val="none" w:sz="0" w:space="0" w:color="auto"/>
        <w:left w:val="none" w:sz="0" w:space="0" w:color="auto"/>
        <w:bottom w:val="none" w:sz="0" w:space="0" w:color="auto"/>
        <w:right w:val="none" w:sz="0" w:space="0" w:color="auto"/>
      </w:divBdr>
    </w:div>
    <w:div w:id="1670674642">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 w:id="2098279895">
      <w:bodyDiv w:val="1"/>
      <w:marLeft w:val="0"/>
      <w:marRight w:val="0"/>
      <w:marTop w:val="0"/>
      <w:marBottom w:val="0"/>
      <w:divBdr>
        <w:top w:val="none" w:sz="0" w:space="0" w:color="auto"/>
        <w:left w:val="none" w:sz="0" w:space="0" w:color="auto"/>
        <w:bottom w:val="none" w:sz="0" w:space="0" w:color="auto"/>
        <w:right w:val="none" w:sz="0" w:space="0" w:color="auto"/>
      </w:divBdr>
    </w:div>
    <w:div w:id="21440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6340C57C-EADC-4D61-AA9B-CFCAED1C711A}">
  <ds:schemaRefs>
    <ds:schemaRef ds:uri="http://schemas.openxmlformats.org/officeDocument/2006/bibliography"/>
  </ds:schemaRefs>
</ds:datastoreItem>
</file>

<file path=customXml/itemProps4.xml><?xml version="1.0" encoding="utf-8"?>
<ds:datastoreItem xmlns:ds="http://schemas.openxmlformats.org/officeDocument/2006/customXml" ds:itemID="{932AB277-DDF7-4692-A014-E31E6EE0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8662</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Laurence Berthet</cp:lastModifiedBy>
  <cp:revision>15</cp:revision>
  <cp:lastPrinted>2022-09-27T08:52:00Z</cp:lastPrinted>
  <dcterms:created xsi:type="dcterms:W3CDTF">2022-09-26T14:08:00Z</dcterms:created>
  <dcterms:modified xsi:type="dcterms:W3CDTF">2022-09-27T08:55:00Z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