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0F06856" w14:textId="77777777" w:rsidTr="006476E1">
        <w:trPr>
          <w:trHeight w:val="851"/>
        </w:trPr>
        <w:tc>
          <w:tcPr>
            <w:tcW w:w="1259" w:type="dxa"/>
            <w:tcBorders>
              <w:top w:val="nil"/>
              <w:left w:val="nil"/>
              <w:bottom w:val="single" w:sz="4" w:space="0" w:color="auto"/>
              <w:right w:val="nil"/>
            </w:tcBorders>
          </w:tcPr>
          <w:p w14:paraId="49DA0538" w14:textId="77777777" w:rsidR="00E52109" w:rsidRPr="002A32CB" w:rsidRDefault="00E52109" w:rsidP="004858F5"/>
        </w:tc>
        <w:tc>
          <w:tcPr>
            <w:tcW w:w="2236" w:type="dxa"/>
            <w:tcBorders>
              <w:top w:val="nil"/>
              <w:left w:val="nil"/>
              <w:bottom w:val="single" w:sz="4" w:space="0" w:color="auto"/>
              <w:right w:val="nil"/>
            </w:tcBorders>
            <w:vAlign w:val="bottom"/>
          </w:tcPr>
          <w:p w14:paraId="4C070119"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3C1E80F" w14:textId="4813C864" w:rsidR="00E52109" w:rsidRDefault="00E5730F" w:rsidP="00E5730F">
            <w:pPr>
              <w:suppressAutoHyphens w:val="0"/>
              <w:jc w:val="right"/>
            </w:pPr>
            <w:r w:rsidRPr="00E5730F">
              <w:rPr>
                <w:sz w:val="40"/>
              </w:rPr>
              <w:t>ST</w:t>
            </w:r>
            <w:r>
              <w:t>/SG/AC.10/C.4/2022/15</w:t>
            </w:r>
          </w:p>
        </w:tc>
      </w:tr>
      <w:tr w:rsidR="00E52109" w14:paraId="4AC0D2F2" w14:textId="77777777" w:rsidTr="006476E1">
        <w:trPr>
          <w:trHeight w:val="2835"/>
        </w:trPr>
        <w:tc>
          <w:tcPr>
            <w:tcW w:w="1259" w:type="dxa"/>
            <w:tcBorders>
              <w:top w:val="single" w:sz="4" w:space="0" w:color="auto"/>
              <w:left w:val="nil"/>
              <w:bottom w:val="single" w:sz="12" w:space="0" w:color="auto"/>
              <w:right w:val="nil"/>
            </w:tcBorders>
          </w:tcPr>
          <w:p w14:paraId="21DF5966" w14:textId="77777777" w:rsidR="00E52109" w:rsidRDefault="00E52109" w:rsidP="006476E1">
            <w:pPr>
              <w:spacing w:before="120"/>
              <w:jc w:val="center"/>
            </w:pPr>
            <w:r>
              <w:rPr>
                <w:noProof/>
                <w:lang w:val="fr-CH" w:eastAsia="fr-CH"/>
              </w:rPr>
              <w:drawing>
                <wp:inline distT="0" distB="0" distL="0" distR="0" wp14:anchorId="01AB4E15" wp14:editId="23DF307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07573B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C7CF63E" w14:textId="77777777" w:rsidR="00D94B05" w:rsidRDefault="00E5730F" w:rsidP="00E5730F">
            <w:pPr>
              <w:suppressAutoHyphens w:val="0"/>
              <w:spacing w:before="240" w:line="240" w:lineRule="exact"/>
            </w:pPr>
            <w:r>
              <w:t>Distr.: General</w:t>
            </w:r>
          </w:p>
          <w:p w14:paraId="0665870F" w14:textId="02CD5E39" w:rsidR="00E5730F" w:rsidRDefault="00577B81" w:rsidP="00E5730F">
            <w:pPr>
              <w:suppressAutoHyphens w:val="0"/>
              <w:spacing w:line="240" w:lineRule="exact"/>
            </w:pPr>
            <w:r w:rsidRPr="00577B81">
              <w:t>15</w:t>
            </w:r>
            <w:r w:rsidR="00E5730F" w:rsidRPr="00577B81">
              <w:t xml:space="preserve"> September 2022</w:t>
            </w:r>
          </w:p>
          <w:p w14:paraId="58CFEE13" w14:textId="77777777" w:rsidR="00E5730F" w:rsidRDefault="00E5730F" w:rsidP="00E5730F">
            <w:pPr>
              <w:suppressAutoHyphens w:val="0"/>
              <w:spacing w:line="240" w:lineRule="exact"/>
            </w:pPr>
          </w:p>
          <w:p w14:paraId="04E4709C" w14:textId="3BED3DDF" w:rsidR="00E5730F" w:rsidRDefault="00E5730F" w:rsidP="00E5730F">
            <w:pPr>
              <w:suppressAutoHyphens w:val="0"/>
              <w:spacing w:line="240" w:lineRule="exact"/>
            </w:pPr>
            <w:r>
              <w:t>Original: English</w:t>
            </w:r>
          </w:p>
        </w:tc>
      </w:tr>
    </w:tbl>
    <w:p w14:paraId="1DB38231" w14:textId="77777777" w:rsidR="00D0776B" w:rsidRPr="009F0F06" w:rsidRDefault="00D0776B"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0A9663DA" w14:textId="77777777" w:rsidR="00D0776B" w:rsidRPr="009F0F06" w:rsidRDefault="00D0776B"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7A43A5A6" w14:textId="77777777" w:rsidR="00E95133" w:rsidRPr="00DA7696" w:rsidRDefault="00E95133" w:rsidP="00E95133">
      <w:pPr>
        <w:spacing w:before="120"/>
        <w:rPr>
          <w:b/>
        </w:rPr>
      </w:pPr>
      <w:r w:rsidRPr="00DA7696">
        <w:rPr>
          <w:b/>
        </w:rPr>
        <w:t>Forty-third session</w:t>
      </w:r>
    </w:p>
    <w:p w14:paraId="1036BAA8" w14:textId="77777777" w:rsidR="00E95133" w:rsidRPr="00DA7696" w:rsidRDefault="00E95133" w:rsidP="00E95133">
      <w:r w:rsidRPr="00DA7696">
        <w:t>Geneva, 7-9 December 2022</w:t>
      </w:r>
    </w:p>
    <w:p w14:paraId="25F97527" w14:textId="0E3B46C8" w:rsidR="0084254C" w:rsidRPr="00C70281" w:rsidRDefault="0084254C" w:rsidP="0084254C">
      <w:r w:rsidRPr="00C70281">
        <w:t>Item 3 (c) of the provisional agenda</w:t>
      </w:r>
    </w:p>
    <w:p w14:paraId="2060E0B8" w14:textId="6E103301" w:rsidR="00D0776B" w:rsidRDefault="0084254C" w:rsidP="0084254C">
      <w:r w:rsidRPr="00C70281">
        <w:rPr>
          <w:b/>
          <w:bCs/>
        </w:rPr>
        <w:t xml:space="preserve">Work on the Globally Harmonized System of Classification and </w:t>
      </w:r>
      <w:r w:rsidRPr="00C70281">
        <w:rPr>
          <w:b/>
          <w:bCs/>
        </w:rPr>
        <w:br/>
        <w:t xml:space="preserve">Labelling of Chemicals: use of non-animal testing methods </w:t>
      </w:r>
      <w:r w:rsidRPr="00C70281">
        <w:rPr>
          <w:b/>
          <w:bCs/>
        </w:rPr>
        <w:br/>
        <w:t>for classification of health hazards</w:t>
      </w:r>
    </w:p>
    <w:p w14:paraId="1F5B5ECF" w14:textId="597C4880" w:rsidR="00397058" w:rsidRPr="008D21C4" w:rsidRDefault="00397058" w:rsidP="00397058">
      <w:pPr>
        <w:pStyle w:val="HChG"/>
      </w:pPr>
      <w:bookmarkStart w:id="0" w:name="_Hlk37755597"/>
      <w:r>
        <w:tab/>
      </w:r>
      <w:r>
        <w:tab/>
      </w:r>
      <w:r w:rsidRPr="008D21C4">
        <w:t xml:space="preserve">Consequential amendments to </w:t>
      </w:r>
      <w:r>
        <w:t>c</w:t>
      </w:r>
      <w:r w:rsidRPr="008D21C4">
        <w:t>hapters 1.2</w:t>
      </w:r>
      <w:r>
        <w:t>,</w:t>
      </w:r>
      <w:r w:rsidRPr="008D21C4">
        <w:t xml:space="preserve"> 3.2 and </w:t>
      </w:r>
      <w:r>
        <w:t xml:space="preserve">3.3 </w:t>
      </w:r>
      <w:r w:rsidRPr="008D21C4">
        <w:t>due to the revision of Chapter 3.</w:t>
      </w:r>
      <w:r>
        <w:t>4</w:t>
      </w:r>
      <w:r w:rsidRPr="008D21C4">
        <w:t xml:space="preserve"> to fully</w:t>
      </w:r>
      <w:r w:rsidRPr="008D21C4" w:rsidDel="00DA6B99">
        <w:t xml:space="preserve"> </w:t>
      </w:r>
      <w:r w:rsidRPr="008D21C4">
        <w:t>incorporate non-animal test methods</w:t>
      </w:r>
      <w:r>
        <w:t xml:space="preserve"> for skin sensitization</w:t>
      </w:r>
    </w:p>
    <w:p w14:paraId="0F50E62C" w14:textId="437F0588" w:rsidR="00397058" w:rsidRPr="00441D90" w:rsidRDefault="00397058" w:rsidP="00397058">
      <w:pPr>
        <w:pStyle w:val="H1G"/>
      </w:pPr>
      <w:r>
        <w:tab/>
      </w:r>
      <w:r>
        <w:tab/>
      </w:r>
      <w:r w:rsidRPr="00397058">
        <w:t>Transmitted by the experts from the United Kingdom and the Netherlands on behalf of the informal working group on the use of non-animal test methods for classification of health environmental hazards hazards</w:t>
      </w:r>
      <w:r w:rsidRPr="00441D90">
        <w:rPr>
          <w:rStyle w:val="FootnoteReference"/>
          <w:sz w:val="20"/>
          <w:vertAlign w:val="baseline"/>
        </w:rPr>
        <w:footnoteReference w:customMarkFollows="1" w:id="2"/>
        <w:t>*</w:t>
      </w:r>
    </w:p>
    <w:bookmarkEnd w:id="0"/>
    <w:p w14:paraId="2D9AD797" w14:textId="77777777" w:rsidR="00397058" w:rsidRPr="00397058" w:rsidRDefault="00397058" w:rsidP="00397058">
      <w:pPr>
        <w:pStyle w:val="HChG"/>
      </w:pPr>
      <w:r w:rsidRPr="00397058">
        <w:tab/>
      </w:r>
      <w:r w:rsidRPr="00397058">
        <w:tab/>
        <w:t xml:space="preserve">Introduction </w:t>
      </w:r>
    </w:p>
    <w:p w14:paraId="284D78C6" w14:textId="2AD267E9" w:rsidR="00397058" w:rsidRPr="00902B41" w:rsidRDefault="00397058" w:rsidP="00D4121B">
      <w:pPr>
        <w:pStyle w:val="SingleTxtG"/>
      </w:pPr>
      <w:r w:rsidRPr="00902B41">
        <w:t>1.</w:t>
      </w:r>
      <w:r w:rsidRPr="00902B41">
        <w:tab/>
        <w:t>In documents ST/SG/AC.10/C.4/202</w:t>
      </w:r>
      <w:r>
        <w:t>2</w:t>
      </w:r>
      <w:r w:rsidRPr="00902B41">
        <w:t>/</w:t>
      </w:r>
      <w:r w:rsidR="00002DCA">
        <w:t>14</w:t>
      </w:r>
      <w:r w:rsidRPr="00902B41">
        <w:t xml:space="preserve"> and informal document INF.</w:t>
      </w:r>
      <w:r w:rsidR="00002DCA">
        <w:t>3</w:t>
      </w:r>
      <w:r w:rsidRPr="00902B41">
        <w:t>, a revised Chapter 3.</w:t>
      </w:r>
      <w:r>
        <w:t>4</w:t>
      </w:r>
      <w:r w:rsidRPr="00902B41">
        <w:t xml:space="preserve"> for the GHS to fully</w:t>
      </w:r>
      <w:r w:rsidRPr="00902B41" w:rsidDel="00DA6B99">
        <w:t xml:space="preserve"> </w:t>
      </w:r>
      <w:r w:rsidRPr="00902B41">
        <w:t xml:space="preserve">incorporate non-animal test methods </w:t>
      </w:r>
      <w:r>
        <w:t xml:space="preserve">for skin sensitization </w:t>
      </w:r>
      <w:r w:rsidRPr="00902B41">
        <w:t>is proposed. The proposed changes to Chapter 3.</w:t>
      </w:r>
      <w:r>
        <w:t>4</w:t>
      </w:r>
      <w:r w:rsidRPr="00902B41">
        <w:t xml:space="preserve"> also necessitates </w:t>
      </w:r>
      <w:proofErr w:type="gramStart"/>
      <w:r w:rsidRPr="00902B41">
        <w:t>a number of</w:t>
      </w:r>
      <w:proofErr w:type="gramEnd"/>
      <w:r w:rsidRPr="00902B41">
        <w:t xml:space="preserve"> conforming changes to be made to Chapter 1.2</w:t>
      </w:r>
      <w:r>
        <w:t>,</w:t>
      </w:r>
      <w:r w:rsidRPr="00902B41">
        <w:t xml:space="preserve"> Chapter 3.2</w:t>
      </w:r>
      <w:r w:rsidRPr="006942E1">
        <w:t xml:space="preserve"> </w:t>
      </w:r>
      <w:r w:rsidRPr="00902B41">
        <w:t>and</w:t>
      </w:r>
      <w:r>
        <w:t xml:space="preserve"> Chapter 3.3</w:t>
      </w:r>
      <w:r w:rsidRPr="00902B41">
        <w:t xml:space="preserve">, as outlined below in paragraphs 2 to </w:t>
      </w:r>
      <w:r>
        <w:t>6</w:t>
      </w:r>
      <w:r w:rsidRPr="00902B41">
        <w:t>.</w:t>
      </w:r>
      <w:r>
        <w:t xml:space="preserve"> </w:t>
      </w:r>
    </w:p>
    <w:p w14:paraId="3F1F1142" w14:textId="2FB3ABA4" w:rsidR="00397058" w:rsidRPr="00D23599" w:rsidRDefault="00D4121B" w:rsidP="00D4121B">
      <w:pPr>
        <w:pStyle w:val="HChG"/>
        <w:rPr>
          <w:noProof/>
        </w:rPr>
      </w:pPr>
      <w:r>
        <w:tab/>
      </w:r>
      <w:r>
        <w:tab/>
      </w:r>
      <w:r w:rsidR="00397058">
        <w:t xml:space="preserve">Proposed </w:t>
      </w:r>
      <w:r w:rsidR="00397058">
        <w:rPr>
          <w:noProof/>
        </w:rPr>
        <w:t>c</w:t>
      </w:r>
      <w:r w:rsidR="00397058" w:rsidRPr="00D23599">
        <w:rPr>
          <w:noProof/>
        </w:rPr>
        <w:t>onforming changes to Chapter</w:t>
      </w:r>
      <w:r w:rsidR="00397058">
        <w:rPr>
          <w:noProof/>
        </w:rPr>
        <w:t xml:space="preserve"> 1.2</w:t>
      </w:r>
    </w:p>
    <w:p w14:paraId="25E5D5D6" w14:textId="77777777" w:rsidR="00397058" w:rsidRPr="00CD743B" w:rsidRDefault="00397058" w:rsidP="00CD743B">
      <w:pPr>
        <w:pStyle w:val="SingleTxtG"/>
      </w:pPr>
      <w:r w:rsidRPr="00D4121B">
        <w:t>2.</w:t>
      </w:r>
      <w:r w:rsidRPr="00D4121B">
        <w:tab/>
      </w:r>
      <w:r w:rsidRPr="00CD743B">
        <w:t>Amend Chapter 1.2 “Definitions and abbreviations” as follows:</w:t>
      </w:r>
    </w:p>
    <w:p w14:paraId="7D4949CE" w14:textId="77777777" w:rsidR="00397058" w:rsidRPr="00CD743B" w:rsidRDefault="00397058" w:rsidP="00CD743B">
      <w:pPr>
        <w:pStyle w:val="SingleTxtG"/>
        <w:ind w:firstLine="567"/>
      </w:pPr>
      <w:r w:rsidRPr="00CD743B">
        <w:t>Insert a new definition after the entry for “Critical temperature”, to read as follows:</w:t>
      </w:r>
    </w:p>
    <w:p w14:paraId="7FA16695" w14:textId="0050421B" w:rsidR="00397058" w:rsidRPr="00CD743B" w:rsidRDefault="00397058" w:rsidP="00CD743B">
      <w:pPr>
        <w:pStyle w:val="SingleTxtG"/>
        <w:ind w:left="1701"/>
      </w:pPr>
      <w:r w:rsidRPr="00CD743B">
        <w:t>“</w:t>
      </w:r>
      <w:r w:rsidRPr="00CD743B">
        <w:rPr>
          <w:b/>
          <w:bCs/>
          <w:i/>
          <w:iCs/>
        </w:rPr>
        <w:t xml:space="preserve">Defined </w:t>
      </w:r>
      <w:r w:rsidR="001013FB" w:rsidRPr="00CD743B">
        <w:rPr>
          <w:b/>
          <w:bCs/>
          <w:i/>
          <w:iCs/>
        </w:rPr>
        <w:t>a</w:t>
      </w:r>
      <w:r w:rsidRPr="00CD743B">
        <w:rPr>
          <w:b/>
          <w:bCs/>
          <w:i/>
          <w:iCs/>
        </w:rPr>
        <w:t>pproach</w:t>
      </w:r>
      <w:r w:rsidRPr="00CD743B">
        <w:t xml:space="preserve"> means an approach to testing and assessment that consists of a fixed Data Interpretation Procedure used to interpret data generated with a defined set of information sources, that can either be used on its own, or together with other information sources within an overall weight of evidence, to satisfy a specific regulatory need;”</w:t>
      </w:r>
    </w:p>
    <w:p w14:paraId="6DE960FB" w14:textId="77777777" w:rsidR="00397058" w:rsidRDefault="00397058" w:rsidP="00397058">
      <w:pPr>
        <w:pStyle w:val="SingleTxtG"/>
        <w:keepNext/>
        <w:keepLines/>
        <w:spacing w:after="240"/>
        <w:rPr>
          <w:b/>
          <w:bCs/>
          <w:noProof/>
          <w:sz w:val="28"/>
          <w:szCs w:val="28"/>
        </w:rPr>
      </w:pPr>
      <w:r w:rsidRPr="009F6915">
        <w:rPr>
          <w:b/>
          <w:bCs/>
          <w:noProof/>
          <w:sz w:val="28"/>
          <w:szCs w:val="28"/>
        </w:rPr>
        <w:lastRenderedPageBreak/>
        <w:t>Proposed conforming changes to Chapter 3.2</w:t>
      </w:r>
    </w:p>
    <w:p w14:paraId="15E1347E" w14:textId="0C30309C" w:rsidR="00CC0369" w:rsidRPr="00CC0369" w:rsidRDefault="00CC0369" w:rsidP="00CC0369">
      <w:pPr>
        <w:pStyle w:val="SingleTxtG"/>
        <w:rPr>
          <w:noProof/>
          <w:sz w:val="28"/>
          <w:szCs w:val="28"/>
        </w:rPr>
      </w:pPr>
      <w:r w:rsidRPr="00CC0369">
        <w:rPr>
          <w:b/>
          <w:bCs/>
          <w:i/>
          <w:iCs/>
          <w:noProof/>
        </w:rPr>
        <w:t>Note:</w:t>
      </w:r>
      <w:r>
        <w:rPr>
          <w:noProof/>
          <w:sz w:val="28"/>
          <w:szCs w:val="28"/>
        </w:rPr>
        <w:t xml:space="preserve"> </w:t>
      </w:r>
      <w:r w:rsidRPr="00C803C8">
        <w:rPr>
          <w:i/>
          <w:iCs/>
        </w:rPr>
        <w:t xml:space="preserve">The amendment below </w:t>
      </w:r>
      <w:r>
        <w:rPr>
          <w:i/>
          <w:iCs/>
        </w:rPr>
        <w:t xml:space="preserve">supplements the amendments to Chapter 3.2 </w:t>
      </w:r>
      <w:r w:rsidRPr="00C803C8">
        <w:rPr>
          <w:i/>
          <w:iCs/>
        </w:rPr>
        <w:t>adopted by the Sub-Committee at its fortieth session</w:t>
      </w:r>
      <w:r>
        <w:rPr>
          <w:i/>
          <w:iCs/>
        </w:rPr>
        <w:t xml:space="preserve"> (see </w:t>
      </w:r>
      <w:r w:rsidRPr="0051135D">
        <w:rPr>
          <w:rStyle w:val="SingleTxtGChar"/>
          <w:i/>
          <w:iCs/>
        </w:rPr>
        <w:t>ST/SG/AC.10/C.4/80, Annex I</w:t>
      </w:r>
      <w:r>
        <w:rPr>
          <w:rStyle w:val="SingleTxtGChar"/>
        </w:rPr>
        <w:t>)</w:t>
      </w:r>
      <w:r w:rsidRPr="00C803C8">
        <w:rPr>
          <w:i/>
          <w:iCs/>
        </w:rPr>
        <w:t>.</w:t>
      </w:r>
    </w:p>
    <w:p w14:paraId="2D3A6AF4" w14:textId="6A0D2B70" w:rsidR="00397058" w:rsidRPr="00CD743B" w:rsidRDefault="00397058" w:rsidP="00E03A3A">
      <w:pPr>
        <w:pStyle w:val="SingleTxtG"/>
      </w:pPr>
      <w:r w:rsidRPr="00CD743B">
        <w:t>3.</w:t>
      </w:r>
      <w:r w:rsidRPr="00CD743B">
        <w:tab/>
        <w:t xml:space="preserve">In 3.2.2.6 </w:t>
      </w:r>
      <w:r w:rsidR="001013FB" w:rsidRPr="00CD743B">
        <w:t>“</w:t>
      </w:r>
      <w:r w:rsidRPr="00CD743B">
        <w:rPr>
          <w:i/>
          <w:iCs/>
        </w:rPr>
        <w:t>Classification based on non-test methods (Tier 5 in Figure 3.2.1)</w:t>
      </w:r>
      <w:r w:rsidR="001013FB" w:rsidRPr="00CD743B">
        <w:rPr>
          <w:i/>
          <w:iCs/>
        </w:rPr>
        <w:t>”</w:t>
      </w:r>
      <w:r w:rsidRPr="00CD743B">
        <w:rPr>
          <w:i/>
          <w:iCs/>
        </w:rPr>
        <w:t>,</w:t>
      </w:r>
      <w:r w:rsidRPr="00CD743B">
        <w:t xml:space="preserve"> insert the following new paragraph after 3.2.2.6.3: </w:t>
      </w:r>
    </w:p>
    <w:p w14:paraId="3525F087" w14:textId="77777777" w:rsidR="00397058" w:rsidRPr="009F6915" w:rsidRDefault="00397058" w:rsidP="00CD743B">
      <w:pPr>
        <w:pStyle w:val="SingleTxtG"/>
        <w:rPr>
          <w:sz w:val="24"/>
          <w:szCs w:val="24"/>
          <w:lang w:eastAsia="en-GB"/>
        </w:rPr>
      </w:pPr>
      <w:r w:rsidRPr="009F6915">
        <w:t>“3.2.2.6.4</w:t>
      </w:r>
      <w:r w:rsidRPr="009F6915">
        <w:tab/>
      </w:r>
      <w:r w:rsidRPr="009F6915">
        <w:tab/>
        <w:t xml:space="preserve">For conclusions on no classification from read-across and (Q)SARs the adequacy and robustness of the scientific reasoning and of the supporting evidence should be well substantiated and normally requires multiple negative substances with good structural and physical (related to </w:t>
      </w:r>
      <w:proofErr w:type="spellStart"/>
      <w:r w:rsidRPr="009F6915">
        <w:t>toxicokinetics</w:t>
      </w:r>
      <w:proofErr w:type="spellEnd"/>
      <w:r w:rsidRPr="009F6915">
        <w:t>) similarity to the substance being classified, as well as a clear absence of positive substances with good structural and physical similarity to the substance being classified</w:t>
      </w:r>
      <w:r w:rsidRPr="009F6915">
        <w:rPr>
          <w:sz w:val="24"/>
          <w:szCs w:val="24"/>
          <w:lang w:eastAsia="en-GB"/>
        </w:rPr>
        <w:t>.”</w:t>
      </w:r>
    </w:p>
    <w:p w14:paraId="35CBD2BE" w14:textId="67A7E6E4" w:rsidR="00082CFE" w:rsidRDefault="00397058" w:rsidP="005A7085">
      <w:pPr>
        <w:pStyle w:val="SingleTxtG"/>
        <w:spacing w:before="360" w:after="240" w:line="270" w:lineRule="atLeast"/>
        <w:ind w:right="567"/>
        <w:rPr>
          <w:b/>
          <w:bCs/>
          <w:noProof/>
          <w:sz w:val="28"/>
          <w:szCs w:val="28"/>
        </w:rPr>
      </w:pPr>
      <w:r w:rsidRPr="009F6915">
        <w:rPr>
          <w:b/>
          <w:bCs/>
          <w:noProof/>
          <w:sz w:val="28"/>
          <w:szCs w:val="28"/>
        </w:rPr>
        <w:t>Proposed conforming changes to Chapter 3.3</w:t>
      </w:r>
    </w:p>
    <w:p w14:paraId="0B893560" w14:textId="553F0606" w:rsidR="00397058" w:rsidRPr="00C803C8" w:rsidRDefault="00082CFE" w:rsidP="00C803C8">
      <w:pPr>
        <w:pStyle w:val="SingleTxtG"/>
        <w:rPr>
          <w:i/>
          <w:iCs/>
        </w:rPr>
      </w:pPr>
      <w:r w:rsidRPr="00C803C8">
        <w:rPr>
          <w:b/>
          <w:bCs/>
          <w:i/>
          <w:iCs/>
        </w:rPr>
        <w:t>Note:</w:t>
      </w:r>
      <w:r w:rsidRPr="00C803C8">
        <w:t xml:space="preserve"> </w:t>
      </w:r>
      <w:r w:rsidR="009D4F1E" w:rsidRPr="00C803C8">
        <w:rPr>
          <w:i/>
          <w:iCs/>
        </w:rPr>
        <w:t>T</w:t>
      </w:r>
      <w:r w:rsidRPr="00C803C8">
        <w:rPr>
          <w:i/>
          <w:iCs/>
        </w:rPr>
        <w:t xml:space="preserve">he amendments </w:t>
      </w:r>
      <w:r w:rsidR="009D4F1E" w:rsidRPr="00C803C8">
        <w:rPr>
          <w:i/>
          <w:iCs/>
        </w:rPr>
        <w:t xml:space="preserve">below </w:t>
      </w:r>
      <w:r w:rsidRPr="00C803C8">
        <w:rPr>
          <w:i/>
          <w:iCs/>
        </w:rPr>
        <w:t xml:space="preserve">refer to the text of Chapter 3.3 adopted by the </w:t>
      </w:r>
      <w:r w:rsidR="009D4F1E" w:rsidRPr="00C803C8">
        <w:rPr>
          <w:i/>
          <w:iCs/>
        </w:rPr>
        <w:t>Sub-Committee at its fortieth session</w:t>
      </w:r>
      <w:r w:rsidR="0051135D">
        <w:rPr>
          <w:i/>
          <w:iCs/>
        </w:rPr>
        <w:t xml:space="preserve"> (see </w:t>
      </w:r>
      <w:r w:rsidR="0051135D" w:rsidRPr="0051135D">
        <w:rPr>
          <w:rStyle w:val="SingleTxtGChar"/>
          <w:i/>
          <w:iCs/>
        </w:rPr>
        <w:t>ST/SG/AC.10/C.4/80, Annex I</w:t>
      </w:r>
      <w:r w:rsidR="0051135D">
        <w:rPr>
          <w:rStyle w:val="SingleTxtGChar"/>
        </w:rPr>
        <w:t>)</w:t>
      </w:r>
      <w:r w:rsidR="00F2288A" w:rsidRPr="00C803C8">
        <w:rPr>
          <w:i/>
          <w:iCs/>
        </w:rPr>
        <w:t>.</w:t>
      </w:r>
    </w:p>
    <w:p w14:paraId="29D15E8C" w14:textId="721DB97C" w:rsidR="00397058" w:rsidRPr="009F6915" w:rsidRDefault="00397058" w:rsidP="001013FB">
      <w:pPr>
        <w:pStyle w:val="SingleTxtG"/>
        <w:ind w:right="141"/>
      </w:pPr>
      <w:r w:rsidRPr="009F6915">
        <w:t>4.</w:t>
      </w:r>
      <w:r w:rsidRPr="009F6915">
        <w:tab/>
        <w:t>In 3.3.2.3</w:t>
      </w:r>
      <w:r w:rsidR="001013FB">
        <w:t xml:space="preserve"> </w:t>
      </w:r>
      <w:r w:rsidR="00BC0583">
        <w:t>“</w:t>
      </w:r>
      <w:r w:rsidRPr="009F6915">
        <w:rPr>
          <w:bCs/>
          <w:i/>
        </w:rPr>
        <w:t>Classification based on defined approaches (Tier 2 in Figure 3.3.1)</w:t>
      </w:r>
      <w:r w:rsidR="00BC0583">
        <w:rPr>
          <w:bCs/>
          <w:i/>
        </w:rPr>
        <w:t>”</w:t>
      </w:r>
      <w:r w:rsidRPr="009F6915">
        <w:rPr>
          <w:bCs/>
        </w:rPr>
        <w:t>:</w:t>
      </w:r>
      <w:r w:rsidRPr="009F6915">
        <w:t xml:space="preserve"> </w:t>
      </w:r>
    </w:p>
    <w:p w14:paraId="6024DCF3" w14:textId="01A4A868" w:rsidR="00397058" w:rsidRPr="00135C59" w:rsidRDefault="00397058" w:rsidP="003F1D5E">
      <w:pPr>
        <w:pStyle w:val="Bullet1G"/>
      </w:pPr>
      <w:r w:rsidRPr="00135C59">
        <w:t xml:space="preserve">insert a new paragraph number ‘3.3.2.3.1’ </w:t>
      </w:r>
      <w:r w:rsidR="00C70281" w:rsidRPr="00135C59">
        <w:t xml:space="preserve">at </w:t>
      </w:r>
      <w:r w:rsidRPr="00135C59">
        <w:rPr>
          <w:rFonts w:eastAsia="Times New Roman"/>
        </w:rPr>
        <w:t xml:space="preserve">the beginning of the text for </w:t>
      </w:r>
      <w:r w:rsidRPr="00135C59">
        <w:t>3.3.2.3 to read as follows:</w:t>
      </w:r>
    </w:p>
    <w:p w14:paraId="013D4A0C" w14:textId="373C41E0" w:rsidR="00397058" w:rsidRPr="00135C59" w:rsidRDefault="00397058" w:rsidP="00BD4652">
      <w:pPr>
        <w:pStyle w:val="SingleTxtG"/>
        <w:ind w:left="1701"/>
      </w:pPr>
      <w:r w:rsidRPr="00135C59">
        <w:t>“3.3.2.3.1</w:t>
      </w:r>
      <w:r w:rsidRPr="00135C59">
        <w:tab/>
      </w:r>
      <w:r w:rsidRPr="00135C59">
        <w:tab/>
        <w:t>Defined approaches consist of…”</w:t>
      </w:r>
    </w:p>
    <w:p w14:paraId="274E53D3" w14:textId="77777777" w:rsidR="00397058" w:rsidRPr="00135C59" w:rsidRDefault="00397058" w:rsidP="003F1D5E">
      <w:pPr>
        <w:pStyle w:val="Bullet1G"/>
      </w:pPr>
      <w:r w:rsidRPr="00135C59">
        <w:t>insert two new paragraphs after 3.3.2.3.1, as follows:</w:t>
      </w:r>
    </w:p>
    <w:p w14:paraId="02F2989A" w14:textId="77777777" w:rsidR="00397058" w:rsidRPr="00135C59" w:rsidRDefault="00397058" w:rsidP="00BD4652">
      <w:pPr>
        <w:pStyle w:val="SingleTxtG"/>
        <w:ind w:left="1701"/>
      </w:pPr>
      <w:r w:rsidRPr="00135C59">
        <w:t>“3.3.2.3.2</w:t>
      </w:r>
      <w:r w:rsidRPr="00135C59">
        <w:tab/>
      </w:r>
      <w:r w:rsidRPr="00135C59">
        <w:tab/>
        <w:t>Where the results from defined approaches are assigned a level of confidence, a low confidence outcome of a defined approach cannot be used on its own to classify but may be considered in combination with other data.</w:t>
      </w:r>
    </w:p>
    <w:p w14:paraId="2FD50DD9" w14:textId="77777777" w:rsidR="00397058" w:rsidRPr="009F6915" w:rsidRDefault="00397058" w:rsidP="00BD4652">
      <w:pPr>
        <w:pStyle w:val="SingleTxtG"/>
        <w:ind w:left="1701"/>
      </w:pPr>
      <w:r w:rsidRPr="00135C59">
        <w:t>3.3.2.3.3</w:t>
      </w:r>
      <w:r w:rsidRPr="00135C59">
        <w:tab/>
      </w:r>
      <w:r w:rsidRPr="00135C59">
        <w:tab/>
        <w:t>Some evidence can be used individually and in defined approaches. Evidence used within defined approaches should then not also be used individually within a weight of evidence assessment.”</w:t>
      </w:r>
    </w:p>
    <w:p w14:paraId="1B80FB04" w14:textId="77777777" w:rsidR="00397058" w:rsidRPr="009F6915" w:rsidRDefault="00397058" w:rsidP="00397058">
      <w:pPr>
        <w:pStyle w:val="SingleTxtG"/>
        <w:ind w:right="0"/>
        <w:rPr>
          <w:noProof/>
        </w:rPr>
      </w:pPr>
      <w:r w:rsidRPr="009F6915">
        <w:t>5.</w:t>
      </w:r>
      <w:r w:rsidRPr="009F6915">
        <w:tab/>
        <w:t xml:space="preserve">In </w:t>
      </w:r>
      <w:r w:rsidRPr="009F6915">
        <w:rPr>
          <w:noProof/>
        </w:rPr>
        <w:t>3.3.2.4 ‘</w:t>
      </w:r>
      <w:r w:rsidRPr="009F6915">
        <w:rPr>
          <w:bCs/>
          <w:i/>
        </w:rPr>
        <w:t>Classification based on in vitro/ex vivo data (Tier 2 in Figure 3.3.1)</w:t>
      </w:r>
      <w:r w:rsidRPr="009F6915">
        <w:rPr>
          <w:bCs/>
          <w:noProof/>
        </w:rPr>
        <w:t>’,</w:t>
      </w:r>
      <w:r w:rsidRPr="009F6915">
        <w:rPr>
          <w:noProof/>
        </w:rPr>
        <w:t xml:space="preserve"> </w:t>
      </w:r>
    </w:p>
    <w:p w14:paraId="3E2A8BA0" w14:textId="77777777" w:rsidR="00397058" w:rsidRPr="009F6915" w:rsidRDefault="00397058" w:rsidP="003F1D5E">
      <w:pPr>
        <w:pStyle w:val="Bullet1G"/>
        <w:rPr>
          <w:noProof/>
        </w:rPr>
      </w:pPr>
      <w:r w:rsidRPr="009F6915">
        <w:rPr>
          <w:noProof/>
        </w:rPr>
        <w:t>insert a new paragraph 3.3.2.4.2 after 3.3.2.4.1, to read as follows:</w:t>
      </w:r>
    </w:p>
    <w:p w14:paraId="013B600B" w14:textId="63EC7E38" w:rsidR="00397058" w:rsidRPr="009F6915" w:rsidRDefault="00397058" w:rsidP="003F1D5E">
      <w:pPr>
        <w:pStyle w:val="SingleTxtG"/>
        <w:ind w:left="1701"/>
        <w:rPr>
          <w:lang w:val="en-CA"/>
        </w:rPr>
      </w:pPr>
      <w:bookmarkStart w:id="1" w:name="_Hlk113622132"/>
      <w:r w:rsidRPr="009F6915">
        <w:t>“3.3.2.4.2</w:t>
      </w:r>
      <w:r w:rsidRPr="009F6915">
        <w:tab/>
      </w:r>
      <w:r w:rsidRPr="009F6915">
        <w:rPr>
          <w:i/>
          <w:iCs/>
        </w:rPr>
        <w:t>In vitro/ex vivo</w:t>
      </w:r>
      <w:r w:rsidRPr="009F6915">
        <w:t xml:space="preserve"> methods in 3.3.2.4.1 with the result “no stand-alone prediction can be made” should within Tier 2 only be used in combination with other types of data in defined approaches. When already considered within a defined approach, </w:t>
      </w:r>
      <w:r w:rsidRPr="009F6915">
        <w:rPr>
          <w:i/>
          <w:iCs/>
        </w:rPr>
        <w:t>in vitro/ex vivo</w:t>
      </w:r>
      <w:r w:rsidRPr="009F6915">
        <w:t xml:space="preserve"> methods should not be considered as an additional line of evidence.</w:t>
      </w:r>
      <w:bookmarkEnd w:id="1"/>
      <w:r w:rsidRPr="009F6915">
        <w:t>”</w:t>
      </w:r>
    </w:p>
    <w:p w14:paraId="5DE038CC" w14:textId="472993A1" w:rsidR="00397058" w:rsidRPr="009F6915" w:rsidRDefault="00397058" w:rsidP="003F1D5E">
      <w:pPr>
        <w:pStyle w:val="Bullet1G"/>
      </w:pPr>
      <w:r w:rsidRPr="009F6915">
        <w:t xml:space="preserve">amend current paragraph </w:t>
      </w:r>
      <w:bookmarkStart w:id="2" w:name="_Hlk113545054"/>
      <w:r w:rsidRPr="009F6915">
        <w:t xml:space="preserve">numbers for </w:t>
      </w:r>
      <w:bookmarkEnd w:id="2"/>
      <w:r w:rsidR="00BC0583">
        <w:t>“</w:t>
      </w:r>
      <w:r w:rsidRPr="009F6915">
        <w:t>3.3.2.4.2</w:t>
      </w:r>
      <w:r w:rsidR="00BC0583">
        <w:t>”</w:t>
      </w:r>
      <w:r w:rsidRPr="009F6915">
        <w:t xml:space="preserve"> to read: “3.3.2.4.3” and </w:t>
      </w:r>
      <w:r w:rsidR="00BC0583">
        <w:t>“</w:t>
      </w:r>
      <w:r w:rsidRPr="009F6915">
        <w:t>3.3.2.4.3</w:t>
      </w:r>
      <w:r w:rsidR="00BC0583">
        <w:t>”</w:t>
      </w:r>
      <w:r w:rsidRPr="009F6915">
        <w:t xml:space="preserve"> to read: “3.3.2.4.4”</w:t>
      </w:r>
    </w:p>
    <w:p w14:paraId="7DEFC9CA" w14:textId="77777777" w:rsidR="00397058" w:rsidRPr="00CD743B" w:rsidRDefault="00397058" w:rsidP="00CD743B">
      <w:pPr>
        <w:pStyle w:val="SingleTxtG"/>
      </w:pPr>
      <w:r w:rsidRPr="00CD743B">
        <w:t>6.</w:t>
      </w:r>
      <w:r w:rsidRPr="00CD743B">
        <w:tab/>
        <w:t>In 3.3.2.8 ‘</w:t>
      </w:r>
      <w:r w:rsidRPr="00CD743B">
        <w:rPr>
          <w:i/>
          <w:iCs/>
        </w:rPr>
        <w:t>Classification based on non-test methods for serious eye damage/eye irritation or for skin corrosion (Tier 6 in Figure 3.3.1)</w:t>
      </w:r>
      <w:r w:rsidRPr="00CD743B">
        <w:t xml:space="preserve">’: </w:t>
      </w:r>
    </w:p>
    <w:p w14:paraId="731D5453" w14:textId="77777777" w:rsidR="00397058" w:rsidRPr="009F6915" w:rsidRDefault="00397058" w:rsidP="003F1D5E">
      <w:pPr>
        <w:pStyle w:val="Bullet1G"/>
      </w:pPr>
      <w:r w:rsidRPr="009F6915">
        <w:rPr>
          <w:noProof/>
        </w:rPr>
        <w:t>replace 3.3.2.8.1 with the following:</w:t>
      </w:r>
    </w:p>
    <w:p w14:paraId="4738DD6D" w14:textId="77777777" w:rsidR="00397058" w:rsidRPr="009F6915" w:rsidRDefault="00397058" w:rsidP="003F1D5E">
      <w:pPr>
        <w:pStyle w:val="SingleTxtG"/>
        <w:ind w:left="1701"/>
      </w:pPr>
      <w:r w:rsidRPr="009F6915">
        <w:t>“3.3.2.8.1</w:t>
      </w:r>
      <w:r w:rsidRPr="009F6915">
        <w:tab/>
      </w:r>
      <w:r w:rsidRPr="009F6915">
        <w:tab/>
        <w:t>Classification, including the conclusion not classified, can be based on non-test methods, with due consideration of reliability and applicability, on a case-by-case basis. Specific non-test methods may also be used in a defined approach. When already considered within a defined approach, these specific non-test methods should not be considered as an additional line of evidence. Non-test methods include computer models predicting qualitative structure-activity relationships (structural alerts, SAR) or quantitative structure-activity relationships (QSARs), computer expert systems, and read-across using analogue and category approaches.”</w:t>
      </w:r>
    </w:p>
    <w:p w14:paraId="6B938060" w14:textId="303FF957" w:rsidR="00397058" w:rsidRPr="009F6915" w:rsidRDefault="00397058" w:rsidP="00261995">
      <w:pPr>
        <w:pStyle w:val="Bullet1G"/>
        <w:keepNext/>
        <w:keepLines/>
      </w:pPr>
      <w:r w:rsidRPr="009F6915">
        <w:rPr>
          <w:noProof/>
        </w:rPr>
        <w:lastRenderedPageBreak/>
        <w:t xml:space="preserve">Insert </w:t>
      </w:r>
      <w:r w:rsidR="008B7609">
        <w:rPr>
          <w:noProof/>
        </w:rPr>
        <w:t xml:space="preserve">the following </w:t>
      </w:r>
      <w:r w:rsidRPr="009F6915">
        <w:rPr>
          <w:noProof/>
        </w:rPr>
        <w:t xml:space="preserve">new </w:t>
      </w:r>
      <w:r w:rsidR="008B7609">
        <w:rPr>
          <w:noProof/>
        </w:rPr>
        <w:t xml:space="preserve">paragraph </w:t>
      </w:r>
      <w:r w:rsidRPr="009F6915">
        <w:rPr>
          <w:noProof/>
        </w:rPr>
        <w:t>3.3.2.8.5:</w:t>
      </w:r>
    </w:p>
    <w:p w14:paraId="14B0E4A7" w14:textId="7A9AA11C" w:rsidR="00397058" w:rsidRPr="009F6915" w:rsidRDefault="00397058" w:rsidP="003F1D5E">
      <w:pPr>
        <w:pStyle w:val="SingleTxtG"/>
        <w:ind w:left="1701"/>
        <w:rPr>
          <w:sz w:val="24"/>
          <w:szCs w:val="24"/>
          <w:lang w:eastAsia="en-GB"/>
        </w:rPr>
      </w:pPr>
      <w:r w:rsidRPr="009F6915">
        <w:t>“3.3.2.8.5</w:t>
      </w:r>
      <w:r w:rsidRPr="009F6915">
        <w:tab/>
        <w:t xml:space="preserve">For conclusions on no classification from read-across and (Q)SARs the adequacy and robustness of the scientific reasoning and of the supporting evidence should be well substantiated and normally requires multiple negative substances with good structural and physical (related to </w:t>
      </w:r>
      <w:proofErr w:type="spellStart"/>
      <w:r w:rsidRPr="009F6915">
        <w:t>toxicokinetics</w:t>
      </w:r>
      <w:proofErr w:type="spellEnd"/>
      <w:r w:rsidRPr="009F6915">
        <w:t>) similarity to the substance being classified, as well as a clear absence of positive substances with good structural and physical similarity to the substance being classified.</w:t>
      </w:r>
      <w:r w:rsidRPr="009F6915">
        <w:rPr>
          <w:sz w:val="24"/>
          <w:szCs w:val="24"/>
          <w:lang w:eastAsia="en-GB"/>
        </w:rPr>
        <w:t>”</w:t>
      </w:r>
    </w:p>
    <w:p w14:paraId="6140A538" w14:textId="77777777" w:rsidR="00397058" w:rsidRPr="000F67AB" w:rsidRDefault="00397058" w:rsidP="00397058">
      <w:pPr>
        <w:pStyle w:val="H1G"/>
        <w:ind w:right="567"/>
        <w:rPr>
          <w:sz w:val="28"/>
          <w:szCs w:val="28"/>
        </w:rPr>
      </w:pPr>
      <w:r w:rsidRPr="00540059">
        <w:tab/>
      </w:r>
      <w:r w:rsidRPr="00C00FC2">
        <w:tab/>
      </w:r>
      <w:r w:rsidRPr="000F67AB">
        <w:rPr>
          <w:sz w:val="28"/>
          <w:szCs w:val="28"/>
        </w:rPr>
        <w:t xml:space="preserve">Action </w:t>
      </w:r>
      <w:r w:rsidRPr="009E4F9B">
        <w:rPr>
          <w:sz w:val="28"/>
          <w:szCs w:val="28"/>
        </w:rPr>
        <w:t>and next steps</w:t>
      </w:r>
    </w:p>
    <w:p w14:paraId="4E18B2CC" w14:textId="080F4B49" w:rsidR="00AF5DE1" w:rsidRDefault="00397058" w:rsidP="003F1D5E">
      <w:pPr>
        <w:pStyle w:val="SingleTxtG"/>
      </w:pPr>
      <w:r w:rsidRPr="003F1D5E">
        <w:t>7.</w:t>
      </w:r>
      <w:r w:rsidRPr="003F1D5E">
        <w:tab/>
        <w:t>The Sub-Committee is invited to agree the proposed conforming changes to Chapter 1.2, Chapter 3.2 and Chapter 3.3 due to proposed changes to Chapter 3.4 for skin sensitization, as set out in paragraphs 2 to 6 of this document.</w:t>
      </w:r>
    </w:p>
    <w:p w14:paraId="72EA720B" w14:textId="2725F3E1" w:rsidR="003F1D5E" w:rsidRPr="003F1D5E" w:rsidRDefault="003F1D5E" w:rsidP="003F1D5E">
      <w:pPr>
        <w:spacing w:before="240"/>
        <w:jc w:val="center"/>
        <w:rPr>
          <w:u w:val="single"/>
        </w:rPr>
      </w:pPr>
      <w:r>
        <w:rPr>
          <w:u w:val="single"/>
        </w:rPr>
        <w:tab/>
      </w:r>
      <w:r>
        <w:rPr>
          <w:u w:val="single"/>
        </w:rPr>
        <w:tab/>
      </w:r>
      <w:r>
        <w:rPr>
          <w:u w:val="single"/>
        </w:rPr>
        <w:tab/>
      </w:r>
    </w:p>
    <w:sectPr w:rsidR="003F1D5E" w:rsidRPr="003F1D5E" w:rsidSect="00E5730F">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5A13" w14:textId="77777777" w:rsidR="003001FC" w:rsidRPr="00C47B2E" w:rsidRDefault="003001FC" w:rsidP="00C47B2E">
      <w:pPr>
        <w:pStyle w:val="Footer"/>
      </w:pPr>
    </w:p>
  </w:endnote>
  <w:endnote w:type="continuationSeparator" w:id="0">
    <w:p w14:paraId="71C46B0A" w14:textId="77777777" w:rsidR="003001FC" w:rsidRPr="00C47B2E" w:rsidRDefault="003001FC" w:rsidP="00C47B2E">
      <w:pPr>
        <w:pStyle w:val="Footer"/>
      </w:pPr>
    </w:p>
  </w:endnote>
  <w:endnote w:type="continuationNotice" w:id="1">
    <w:p w14:paraId="3CEA5E75" w14:textId="77777777" w:rsidR="003001FC" w:rsidRPr="00C47B2E" w:rsidRDefault="003001F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7F01" w14:textId="7AF9628D" w:rsidR="00D94B05" w:rsidRPr="00E5730F" w:rsidRDefault="00E5730F" w:rsidP="00E5730F">
    <w:pPr>
      <w:pStyle w:val="Footer"/>
      <w:tabs>
        <w:tab w:val="right" w:pos="9598"/>
        <w:tab w:val="right" w:pos="9638"/>
      </w:tabs>
      <w:rPr>
        <w:sz w:val="18"/>
      </w:rPr>
    </w:pPr>
    <w:r w:rsidRPr="00E5730F">
      <w:rPr>
        <w:b/>
        <w:sz w:val="18"/>
      </w:rPr>
      <w:fldChar w:fldCharType="begin"/>
    </w:r>
    <w:r w:rsidRPr="00E5730F">
      <w:rPr>
        <w:b/>
        <w:sz w:val="18"/>
      </w:rPr>
      <w:instrText xml:space="preserve"> PAGE  \* MERGEFORMAT </w:instrText>
    </w:r>
    <w:r w:rsidRPr="00E5730F">
      <w:rPr>
        <w:b/>
        <w:sz w:val="18"/>
      </w:rPr>
      <w:fldChar w:fldCharType="separate"/>
    </w:r>
    <w:r w:rsidRPr="00E5730F">
      <w:rPr>
        <w:b/>
        <w:noProof/>
        <w:sz w:val="18"/>
      </w:rPr>
      <w:t>2</w:t>
    </w:r>
    <w:r w:rsidRPr="00E5730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DD46" w14:textId="4388620E" w:rsidR="00D94B05" w:rsidRPr="003F1D5E" w:rsidRDefault="00E5730F" w:rsidP="003F1D5E">
    <w:pPr>
      <w:pStyle w:val="Footer"/>
      <w:tabs>
        <w:tab w:val="left" w:pos="5775"/>
        <w:tab w:val="right" w:pos="9598"/>
        <w:tab w:val="right" w:pos="9638"/>
      </w:tabs>
      <w:jc w:val="right"/>
      <w:rPr>
        <w:b/>
        <w:bCs/>
        <w:sz w:val="18"/>
      </w:rPr>
    </w:pPr>
    <w:r>
      <w:rPr>
        <w:b/>
        <w:sz w:val="18"/>
      </w:rPr>
      <w:tab/>
    </w:r>
    <w:r w:rsidRPr="003F1D5E">
      <w:rPr>
        <w:b/>
        <w:bCs/>
        <w:sz w:val="18"/>
      </w:rPr>
      <w:fldChar w:fldCharType="begin"/>
    </w:r>
    <w:r w:rsidRPr="003F1D5E">
      <w:rPr>
        <w:b/>
        <w:bCs/>
        <w:sz w:val="18"/>
      </w:rPr>
      <w:instrText xml:space="preserve"> PAGE  \* MERGEFORMAT </w:instrText>
    </w:r>
    <w:r w:rsidRPr="003F1D5E">
      <w:rPr>
        <w:b/>
        <w:bCs/>
        <w:sz w:val="18"/>
      </w:rPr>
      <w:fldChar w:fldCharType="separate"/>
    </w:r>
    <w:r w:rsidRPr="003F1D5E">
      <w:rPr>
        <w:b/>
        <w:bCs/>
        <w:noProof/>
        <w:sz w:val="18"/>
      </w:rPr>
      <w:t>3</w:t>
    </w:r>
    <w:r w:rsidRPr="003F1D5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F81E" w14:textId="77777777" w:rsidR="00D94B05" w:rsidRPr="00E5730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957307C" wp14:editId="30EBEDDF">
          <wp:simplePos x="0" y="0"/>
          <wp:positionH relativeFrom="margin">
            <wp:posOffset>5003800</wp:posOffset>
          </wp:positionH>
          <wp:positionV relativeFrom="margin">
            <wp:posOffset>9323705</wp:posOffset>
          </wp:positionV>
          <wp:extent cx="923925" cy="228600"/>
          <wp:effectExtent l="0" t="0" r="9525" b="0"/>
          <wp:wrapNone/>
          <wp:docPr id="10" name="Picture 1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0060" w14:textId="77777777" w:rsidR="003001FC" w:rsidRPr="00C47B2E" w:rsidRDefault="003001FC" w:rsidP="00C47B2E">
      <w:pPr>
        <w:tabs>
          <w:tab w:val="right" w:pos="2155"/>
        </w:tabs>
        <w:spacing w:after="80" w:line="240" w:lineRule="auto"/>
        <w:ind w:left="680"/>
      </w:pPr>
      <w:r>
        <w:rPr>
          <w:u w:val="single"/>
        </w:rPr>
        <w:tab/>
      </w:r>
    </w:p>
  </w:footnote>
  <w:footnote w:type="continuationSeparator" w:id="0">
    <w:p w14:paraId="3A5CD7A4" w14:textId="77777777" w:rsidR="003001FC" w:rsidRPr="00C47B2E" w:rsidRDefault="003001FC" w:rsidP="005E716E">
      <w:pPr>
        <w:tabs>
          <w:tab w:val="right" w:pos="2155"/>
        </w:tabs>
        <w:spacing w:after="80" w:line="240" w:lineRule="auto"/>
        <w:ind w:left="680"/>
      </w:pPr>
      <w:r>
        <w:rPr>
          <w:u w:val="single"/>
        </w:rPr>
        <w:tab/>
      </w:r>
    </w:p>
  </w:footnote>
  <w:footnote w:type="continuationNotice" w:id="1">
    <w:p w14:paraId="4E15B070" w14:textId="77777777" w:rsidR="003001FC" w:rsidRPr="00C47B2E" w:rsidRDefault="003001FC" w:rsidP="00C47B2E">
      <w:pPr>
        <w:pStyle w:val="Footer"/>
      </w:pPr>
    </w:p>
  </w:footnote>
  <w:footnote w:id="2">
    <w:p w14:paraId="4DC7DF40" w14:textId="77777777" w:rsidR="00397058" w:rsidRPr="00441D90" w:rsidRDefault="00397058" w:rsidP="00397058">
      <w:pPr>
        <w:pStyle w:val="FootnoteText"/>
        <w:rPr>
          <w:lang w:val="fr-CH"/>
        </w:rPr>
      </w:pPr>
      <w:r>
        <w:rPr>
          <w:rStyle w:val="FootnoteReference"/>
        </w:rPr>
        <w:tab/>
      </w:r>
      <w:r w:rsidRPr="00441D90">
        <w:rPr>
          <w:rStyle w:val="FootnoteReference"/>
          <w:sz w:val="20"/>
          <w:vertAlign w:val="baseline"/>
        </w:rPr>
        <w:t>*</w:t>
      </w:r>
      <w:r>
        <w:rPr>
          <w:rStyle w:val="FootnoteReference"/>
          <w:sz w:val="20"/>
          <w:vertAlign w:val="baseline"/>
        </w:rP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6557" w14:textId="4C68FA48" w:rsidR="00E5730F" w:rsidRPr="00E5730F" w:rsidRDefault="0056185D">
    <w:pPr>
      <w:pStyle w:val="Header"/>
    </w:pPr>
    <w:r>
      <w:fldChar w:fldCharType="begin"/>
    </w:r>
    <w:r>
      <w:instrText xml:space="preserve"> TITLE  \* MERGEFORMAT </w:instrText>
    </w:r>
    <w:r>
      <w:fldChar w:fldCharType="separate"/>
    </w:r>
    <w:r>
      <w:t>ST/SG/AC.10/C.4/2022/15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8AED" w14:textId="78AEF82E" w:rsidR="00D94B05" w:rsidRPr="00E5730F" w:rsidRDefault="0056185D" w:rsidP="00E5730F">
    <w:pPr>
      <w:pStyle w:val="Header"/>
      <w:jc w:val="right"/>
    </w:pPr>
    <w:r>
      <w:fldChar w:fldCharType="begin"/>
    </w:r>
    <w:r>
      <w:instrText xml:space="preserve"> TITLE  \* MERGEFORMAT </w:instrText>
    </w:r>
    <w:r>
      <w:fldChar w:fldCharType="separate"/>
    </w:r>
    <w:r>
      <w:t>ST/SG/AC.10/C.4/2022/15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126C7"/>
    <w:multiLevelType w:val="hybridMultilevel"/>
    <w:tmpl w:val="C482638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B45445"/>
    <w:multiLevelType w:val="hybridMultilevel"/>
    <w:tmpl w:val="30AA72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0F"/>
    <w:rsid w:val="00002DCA"/>
    <w:rsid w:val="00046E92"/>
    <w:rsid w:val="00063C90"/>
    <w:rsid w:val="00064FC4"/>
    <w:rsid w:val="000738D0"/>
    <w:rsid w:val="00082CFE"/>
    <w:rsid w:val="001013FB"/>
    <w:rsid w:val="00101B98"/>
    <w:rsid w:val="00127373"/>
    <w:rsid w:val="00130432"/>
    <w:rsid w:val="00135C59"/>
    <w:rsid w:val="001514D1"/>
    <w:rsid w:val="001A085E"/>
    <w:rsid w:val="00205F45"/>
    <w:rsid w:val="00233774"/>
    <w:rsid w:val="00247E2C"/>
    <w:rsid w:val="00261995"/>
    <w:rsid w:val="002A32CB"/>
    <w:rsid w:val="002A7C22"/>
    <w:rsid w:val="002D5B2C"/>
    <w:rsid w:val="002D6C53"/>
    <w:rsid w:val="002E50B9"/>
    <w:rsid w:val="002E782D"/>
    <w:rsid w:val="002F5595"/>
    <w:rsid w:val="003001FC"/>
    <w:rsid w:val="00334F6A"/>
    <w:rsid w:val="00342AC8"/>
    <w:rsid w:val="00343302"/>
    <w:rsid w:val="00377E8B"/>
    <w:rsid w:val="00397058"/>
    <w:rsid w:val="003979DE"/>
    <w:rsid w:val="003B4550"/>
    <w:rsid w:val="003D2A18"/>
    <w:rsid w:val="003F1D5E"/>
    <w:rsid w:val="00413386"/>
    <w:rsid w:val="00461253"/>
    <w:rsid w:val="004858F5"/>
    <w:rsid w:val="004A2814"/>
    <w:rsid w:val="004C0622"/>
    <w:rsid w:val="005042C2"/>
    <w:rsid w:val="0051135D"/>
    <w:rsid w:val="0052171B"/>
    <w:rsid w:val="0054558A"/>
    <w:rsid w:val="005545D7"/>
    <w:rsid w:val="0056185D"/>
    <w:rsid w:val="00577B81"/>
    <w:rsid w:val="005A7085"/>
    <w:rsid w:val="005E716E"/>
    <w:rsid w:val="006476E1"/>
    <w:rsid w:val="006604DF"/>
    <w:rsid w:val="00671529"/>
    <w:rsid w:val="006B2541"/>
    <w:rsid w:val="0070489D"/>
    <w:rsid w:val="007268F9"/>
    <w:rsid w:val="00750282"/>
    <w:rsid w:val="00764440"/>
    <w:rsid w:val="0077101B"/>
    <w:rsid w:val="007B0CF5"/>
    <w:rsid w:val="007C52B0"/>
    <w:rsid w:val="007C6033"/>
    <w:rsid w:val="008147C8"/>
    <w:rsid w:val="0081753A"/>
    <w:rsid w:val="00832F5D"/>
    <w:rsid w:val="0084254C"/>
    <w:rsid w:val="00847193"/>
    <w:rsid w:val="00857D23"/>
    <w:rsid w:val="00866C76"/>
    <w:rsid w:val="008B7609"/>
    <w:rsid w:val="009411B4"/>
    <w:rsid w:val="00946F1D"/>
    <w:rsid w:val="009572EE"/>
    <w:rsid w:val="009D0139"/>
    <w:rsid w:val="009D4F1E"/>
    <w:rsid w:val="009D4FC0"/>
    <w:rsid w:val="009D717D"/>
    <w:rsid w:val="009F5CDC"/>
    <w:rsid w:val="00A0207A"/>
    <w:rsid w:val="00A072D7"/>
    <w:rsid w:val="00A775CF"/>
    <w:rsid w:val="00AD1A9C"/>
    <w:rsid w:val="00AF5DE1"/>
    <w:rsid w:val="00B06045"/>
    <w:rsid w:val="00B206DD"/>
    <w:rsid w:val="00B4749C"/>
    <w:rsid w:val="00B52EF4"/>
    <w:rsid w:val="00B777AD"/>
    <w:rsid w:val="00B77A62"/>
    <w:rsid w:val="00BC0583"/>
    <w:rsid w:val="00BD4652"/>
    <w:rsid w:val="00BF29E5"/>
    <w:rsid w:val="00BF3033"/>
    <w:rsid w:val="00C03015"/>
    <w:rsid w:val="00C0358D"/>
    <w:rsid w:val="00C145BF"/>
    <w:rsid w:val="00C35A27"/>
    <w:rsid w:val="00C47B2E"/>
    <w:rsid w:val="00C70281"/>
    <w:rsid w:val="00C803C8"/>
    <w:rsid w:val="00C87FCE"/>
    <w:rsid w:val="00CC0369"/>
    <w:rsid w:val="00CD743B"/>
    <w:rsid w:val="00D0776B"/>
    <w:rsid w:val="00D4121B"/>
    <w:rsid w:val="00D63CD2"/>
    <w:rsid w:val="00D87DC2"/>
    <w:rsid w:val="00D94B05"/>
    <w:rsid w:val="00DF1980"/>
    <w:rsid w:val="00DF5DFF"/>
    <w:rsid w:val="00E02C2B"/>
    <w:rsid w:val="00E02EB0"/>
    <w:rsid w:val="00E03A3A"/>
    <w:rsid w:val="00E05CA9"/>
    <w:rsid w:val="00E21C27"/>
    <w:rsid w:val="00E26BCF"/>
    <w:rsid w:val="00E3513E"/>
    <w:rsid w:val="00E51D20"/>
    <w:rsid w:val="00E52109"/>
    <w:rsid w:val="00E5730F"/>
    <w:rsid w:val="00E75317"/>
    <w:rsid w:val="00E86E80"/>
    <w:rsid w:val="00E9082F"/>
    <w:rsid w:val="00E95133"/>
    <w:rsid w:val="00EC0CE6"/>
    <w:rsid w:val="00EC7C1D"/>
    <w:rsid w:val="00ED6C48"/>
    <w:rsid w:val="00EE3045"/>
    <w:rsid w:val="00F2288A"/>
    <w:rsid w:val="00F65F5D"/>
    <w:rsid w:val="00F80069"/>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3DE3D"/>
  <w15:docId w15:val="{0938FC72-65CF-4491-89A8-16271549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397058"/>
    <w:rPr>
      <w:b/>
      <w:sz w:val="28"/>
    </w:rPr>
  </w:style>
  <w:style w:type="character" w:customStyle="1" w:styleId="H1GChar">
    <w:name w:val="_ H_1_G Char"/>
    <w:link w:val="H1G"/>
    <w:rsid w:val="00397058"/>
    <w:rPr>
      <w:b/>
      <w:sz w:val="24"/>
    </w:rPr>
  </w:style>
  <w:style w:type="character" w:customStyle="1" w:styleId="SingleTxtGChar">
    <w:name w:val="_ Single Txt_G Char"/>
    <w:link w:val="SingleTxtG"/>
    <w:uiPriority w:val="99"/>
    <w:qFormat/>
    <w:locked/>
    <w:rsid w:val="00397058"/>
  </w:style>
  <w:style w:type="paragraph" w:customStyle="1" w:styleId="Default">
    <w:name w:val="Default"/>
    <w:uiPriority w:val="99"/>
    <w:rsid w:val="00397058"/>
    <w:pPr>
      <w:autoSpaceDE w:val="0"/>
      <w:autoSpaceDN w:val="0"/>
      <w:adjustRightInd w:val="0"/>
      <w:spacing w:after="0"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1BDF-8218-45DC-91B7-FF3A955B810C}">
  <ds:schemaRefs>
    <ds:schemaRef ds:uri="4b4a1c0d-4a69-4996-a84a-fc699b9f49d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85ec44e-1bab-4c0b-9df0-6ba128686fc9"/>
    <ds:schemaRef ds:uri="acccb6d4-dbe5-46d2-b4d3-5733603d8cc6"/>
    <ds:schemaRef ds:uri="http://www.w3.org/XML/1998/namespace"/>
  </ds:schemaRefs>
</ds:datastoreItem>
</file>

<file path=customXml/itemProps2.xml><?xml version="1.0" encoding="utf-8"?>
<ds:datastoreItem xmlns:ds="http://schemas.openxmlformats.org/officeDocument/2006/customXml" ds:itemID="{40261641-FDAF-4A8C-BF6D-6E1B7E0AF539}">
  <ds:schemaRefs>
    <ds:schemaRef ds:uri="http://schemas.microsoft.com/sharepoint/v3/contenttype/forms"/>
  </ds:schemaRefs>
</ds:datastoreItem>
</file>

<file path=customXml/itemProps3.xml><?xml version="1.0" encoding="utf-8"?>
<ds:datastoreItem xmlns:ds="http://schemas.openxmlformats.org/officeDocument/2006/customXml" ds:itemID="{0949EB3D-FDFA-4A21-877F-A783E8F32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60</TotalTime>
  <Pages>3</Pages>
  <Words>873</Words>
  <Characters>4977</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ST/SG/AC.10/C.4/2022/15</dc:title>
  <dc:subject/>
  <dc:creator>Rosa Garcia-Couto</dc:creator>
  <cp:lastModifiedBy>Laurence Berthet</cp:lastModifiedBy>
  <cp:revision>60</cp:revision>
  <cp:lastPrinted>2022-09-15T14:35:00Z</cp:lastPrinted>
  <dcterms:created xsi:type="dcterms:W3CDTF">2022-09-12T13:29:00Z</dcterms:created>
  <dcterms:modified xsi:type="dcterms:W3CDTF">2022-09-15T14:35:00Z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