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D486145" w14:textId="77777777" w:rsidTr="005316B0">
        <w:trPr>
          <w:trHeight w:hRule="exact" w:val="851"/>
        </w:trPr>
        <w:tc>
          <w:tcPr>
            <w:tcW w:w="1276" w:type="dxa"/>
            <w:tcBorders>
              <w:bottom w:val="single" w:sz="4" w:space="0" w:color="auto"/>
            </w:tcBorders>
          </w:tcPr>
          <w:p w14:paraId="1CBFDC6F" w14:textId="77777777" w:rsidR="001433FD" w:rsidRPr="00DB58B5" w:rsidRDefault="001433FD" w:rsidP="0001207F"/>
        </w:tc>
        <w:tc>
          <w:tcPr>
            <w:tcW w:w="2268" w:type="dxa"/>
            <w:tcBorders>
              <w:bottom w:val="single" w:sz="4" w:space="0" w:color="auto"/>
            </w:tcBorders>
            <w:vAlign w:val="bottom"/>
          </w:tcPr>
          <w:p w14:paraId="0778464D"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C2D9F63" w14:textId="746091AD" w:rsidR="001433FD" w:rsidRPr="00541DF6" w:rsidRDefault="00541DF6" w:rsidP="00541DF6">
            <w:pPr>
              <w:jc w:val="right"/>
            </w:pPr>
            <w:r w:rsidRPr="00541DF6">
              <w:rPr>
                <w:sz w:val="40"/>
              </w:rPr>
              <w:t>ECE</w:t>
            </w:r>
            <w:r>
              <w:t>/TRANS/WP.11/2022/6/Rev.1</w:t>
            </w:r>
          </w:p>
        </w:tc>
      </w:tr>
      <w:tr w:rsidR="001433FD" w:rsidRPr="00DB58B5" w14:paraId="336C251E" w14:textId="77777777" w:rsidTr="007D3236">
        <w:trPr>
          <w:trHeight w:hRule="exact" w:val="2835"/>
        </w:trPr>
        <w:tc>
          <w:tcPr>
            <w:tcW w:w="1276" w:type="dxa"/>
            <w:tcBorders>
              <w:top w:val="single" w:sz="4" w:space="0" w:color="auto"/>
              <w:bottom w:val="single" w:sz="12" w:space="0" w:color="auto"/>
            </w:tcBorders>
          </w:tcPr>
          <w:p w14:paraId="0CC878C6" w14:textId="77777777" w:rsidR="001433FD" w:rsidRPr="00DB58B5" w:rsidRDefault="001433FD" w:rsidP="007D3236">
            <w:pPr>
              <w:spacing w:before="120"/>
              <w:jc w:val="center"/>
            </w:pPr>
            <w:r>
              <w:rPr>
                <w:noProof/>
                <w:lang w:eastAsia="fr-CH"/>
              </w:rPr>
              <w:drawing>
                <wp:inline distT="0" distB="0" distL="0" distR="0" wp14:anchorId="56CB7D4E" wp14:editId="5792F319">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CDFC34"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6511A2D" w14:textId="77777777" w:rsidR="0001207F" w:rsidRDefault="00FF432B" w:rsidP="00FF432B">
            <w:pPr>
              <w:spacing w:before="240" w:line="240" w:lineRule="exact"/>
            </w:pPr>
            <w:proofErr w:type="spellStart"/>
            <w:r>
              <w:t>Distr</w:t>
            </w:r>
            <w:proofErr w:type="spellEnd"/>
            <w:r>
              <w:t>. générale</w:t>
            </w:r>
          </w:p>
          <w:p w14:paraId="00660E8A" w14:textId="4128E3EB" w:rsidR="00FF432B" w:rsidRDefault="000B7557" w:rsidP="00FF432B">
            <w:pPr>
              <w:spacing w:line="240" w:lineRule="exact"/>
            </w:pPr>
            <w:r>
              <w:t>5</w:t>
            </w:r>
            <w:r w:rsidR="00FF432B">
              <w:t xml:space="preserve"> août 2022</w:t>
            </w:r>
          </w:p>
          <w:p w14:paraId="6648749C" w14:textId="77777777" w:rsidR="00FF432B" w:rsidRDefault="00FF432B" w:rsidP="00FF432B">
            <w:pPr>
              <w:spacing w:line="240" w:lineRule="exact"/>
            </w:pPr>
          </w:p>
          <w:p w14:paraId="04AE7286" w14:textId="77777777" w:rsidR="00FF432B" w:rsidRPr="00DB58B5" w:rsidRDefault="00FF432B" w:rsidP="00FF432B">
            <w:pPr>
              <w:spacing w:line="240" w:lineRule="exact"/>
            </w:pPr>
            <w:r>
              <w:t>Original : français</w:t>
            </w:r>
          </w:p>
        </w:tc>
      </w:tr>
    </w:tbl>
    <w:p w14:paraId="56D8D0B4" w14:textId="3D8AB96F" w:rsidR="00564657" w:rsidRDefault="00564657" w:rsidP="00FF432B">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497527A7" w14:textId="77777777" w:rsidR="00642827" w:rsidRPr="009E01B8" w:rsidRDefault="00642827" w:rsidP="00642827">
      <w:pPr>
        <w:spacing w:before="120"/>
        <w:rPr>
          <w:sz w:val="28"/>
          <w:szCs w:val="28"/>
        </w:rPr>
      </w:pPr>
      <w:r w:rsidRPr="009E01B8">
        <w:rPr>
          <w:sz w:val="28"/>
          <w:szCs w:val="28"/>
        </w:rPr>
        <w:t>Comité des transports intérieurs</w:t>
      </w:r>
    </w:p>
    <w:p w14:paraId="2E7F0D9B" w14:textId="77777777" w:rsidR="00642827" w:rsidRPr="009E01B8" w:rsidRDefault="00642827" w:rsidP="00642827">
      <w:pPr>
        <w:spacing w:before="120" w:line="240" w:lineRule="auto"/>
        <w:rPr>
          <w:b/>
          <w:sz w:val="24"/>
          <w:szCs w:val="24"/>
        </w:rPr>
      </w:pPr>
      <w:r w:rsidRPr="009E01B8">
        <w:rPr>
          <w:b/>
          <w:sz w:val="24"/>
          <w:szCs w:val="24"/>
        </w:rPr>
        <w:t>Groupe de travail d</w:t>
      </w:r>
      <w:r>
        <w:rPr>
          <w:b/>
          <w:sz w:val="24"/>
          <w:szCs w:val="24"/>
        </w:rPr>
        <w:t>u transport</w:t>
      </w:r>
      <w:r>
        <w:rPr>
          <w:b/>
          <w:sz w:val="24"/>
          <w:szCs w:val="24"/>
        </w:rPr>
        <w:br/>
      </w:r>
      <w:r w:rsidRPr="009E01B8">
        <w:rPr>
          <w:b/>
          <w:sz w:val="24"/>
          <w:szCs w:val="24"/>
        </w:rPr>
        <w:t>de</w:t>
      </w:r>
      <w:r>
        <w:rPr>
          <w:b/>
          <w:sz w:val="24"/>
          <w:szCs w:val="24"/>
        </w:rPr>
        <w:t>s denrées périssables</w:t>
      </w:r>
    </w:p>
    <w:p w14:paraId="5B39C847" w14:textId="77777777" w:rsidR="00642827" w:rsidRPr="00304C0A" w:rsidRDefault="00642827" w:rsidP="00642827">
      <w:pPr>
        <w:spacing w:before="120"/>
        <w:rPr>
          <w:b/>
          <w:bCs/>
        </w:rPr>
      </w:pPr>
      <w:r w:rsidRPr="00304C0A">
        <w:rPr>
          <w:rFonts w:ascii="inherit" w:hAnsi="inherit" w:cs="Courier New"/>
          <w:b/>
          <w:bCs/>
          <w:color w:val="212121"/>
          <w:lang w:val="fr-FR"/>
        </w:rPr>
        <w:t>Soixante-</w:t>
      </w:r>
      <w:r>
        <w:rPr>
          <w:rFonts w:ascii="inherit" w:hAnsi="inherit" w:cs="Courier New"/>
          <w:b/>
          <w:bCs/>
          <w:color w:val="212121"/>
          <w:lang w:val="fr-FR"/>
        </w:rPr>
        <w:t>dix-neuvi</w:t>
      </w:r>
      <w:r>
        <w:rPr>
          <w:rFonts w:ascii="inherit" w:hAnsi="inherit" w:cs="Courier New" w:hint="eastAsia"/>
          <w:b/>
          <w:bCs/>
          <w:color w:val="212121"/>
          <w:lang w:val="fr-FR"/>
        </w:rPr>
        <w:t>è</w:t>
      </w:r>
      <w:r>
        <w:rPr>
          <w:rFonts w:ascii="inherit" w:hAnsi="inherit" w:cs="Courier New"/>
          <w:b/>
          <w:bCs/>
          <w:color w:val="212121"/>
          <w:lang w:val="fr-FR"/>
        </w:rPr>
        <w:t>me</w:t>
      </w:r>
      <w:r w:rsidRPr="00304C0A">
        <w:rPr>
          <w:rFonts w:ascii="inherit" w:hAnsi="inherit" w:cs="Courier New"/>
          <w:b/>
          <w:bCs/>
          <w:color w:val="212121"/>
          <w:lang w:val="fr-FR"/>
        </w:rPr>
        <w:t xml:space="preserve"> session</w:t>
      </w:r>
    </w:p>
    <w:p w14:paraId="52C524E2" w14:textId="77777777" w:rsidR="00642827" w:rsidRPr="00265E07" w:rsidRDefault="00642827" w:rsidP="00642827">
      <w:pPr>
        <w:rPr>
          <w:bCs/>
          <w:lang w:val="fr-FR"/>
        </w:rPr>
      </w:pPr>
      <w:r w:rsidRPr="00265E07">
        <w:t xml:space="preserve">Genève, </w:t>
      </w:r>
      <w:r>
        <w:t>25</w:t>
      </w:r>
      <w:r w:rsidRPr="00265E07">
        <w:t>-</w:t>
      </w:r>
      <w:r>
        <w:t>28</w:t>
      </w:r>
      <w:r w:rsidRPr="00265E07">
        <w:t xml:space="preserve"> </w:t>
      </w:r>
      <w:r>
        <w:t>octobre</w:t>
      </w:r>
      <w:r w:rsidRPr="00265E07">
        <w:rPr>
          <w:bCs/>
          <w:lang w:val="fr-FR"/>
        </w:rPr>
        <w:t xml:space="preserve"> 20</w:t>
      </w:r>
      <w:r>
        <w:rPr>
          <w:bCs/>
          <w:lang w:val="fr-FR"/>
        </w:rPr>
        <w:t>22</w:t>
      </w:r>
    </w:p>
    <w:p w14:paraId="7024CAD0" w14:textId="35A3886D" w:rsidR="00642827" w:rsidRDefault="00642827" w:rsidP="00642827">
      <w:r w:rsidRPr="005957A4">
        <w:t xml:space="preserve">Point </w:t>
      </w:r>
      <w:r w:rsidR="00DE62AA" w:rsidRPr="005957A4">
        <w:t>5 a)</w:t>
      </w:r>
      <w:r w:rsidRPr="005957A4">
        <w:t xml:space="preserve"> de</w:t>
      </w:r>
      <w:r>
        <w:t xml:space="preserve"> l'ordre du jour provisoire</w:t>
      </w:r>
    </w:p>
    <w:p w14:paraId="3C09FF1D" w14:textId="77777777" w:rsidR="00F567E6" w:rsidRDefault="00F567E6" w:rsidP="00F567E6">
      <w:pPr>
        <w:pStyle w:val="Standard"/>
        <w:rPr>
          <w:b/>
          <w:lang w:val="fr-FR"/>
        </w:rPr>
      </w:pPr>
      <w:r>
        <w:rPr>
          <w:b/>
          <w:lang w:val="fr-FR"/>
        </w:rPr>
        <w:t>Propositions d’amendements à l’ATP :</w:t>
      </w:r>
    </w:p>
    <w:p w14:paraId="668CDB84" w14:textId="5C7CC4C3" w:rsidR="00F567E6" w:rsidRPr="005A3C35" w:rsidRDefault="005A3C35" w:rsidP="00F567E6">
      <w:pPr>
        <w:rPr>
          <w:b/>
          <w:bCs/>
          <w:lang w:val="fr-FR"/>
        </w:rPr>
      </w:pPr>
      <w:r>
        <w:rPr>
          <w:b/>
          <w:bCs/>
          <w:lang w:val="fr-FR"/>
        </w:rPr>
        <w:t>p</w:t>
      </w:r>
      <w:r w:rsidRPr="005A3C35">
        <w:rPr>
          <w:b/>
          <w:bCs/>
          <w:lang w:val="fr-FR"/>
        </w:rPr>
        <w:t>ropositions en suspens</w:t>
      </w:r>
    </w:p>
    <w:p w14:paraId="73294634" w14:textId="71C68DCB" w:rsidR="0026664D" w:rsidRDefault="0026664D" w:rsidP="0026664D">
      <w:pPr>
        <w:pStyle w:val="HChG"/>
        <w:rPr>
          <w:lang w:val="fr-FR"/>
        </w:rPr>
      </w:pPr>
      <w:r>
        <w:rPr>
          <w:rStyle w:val="Policepardfaut1"/>
          <w:lang w:val="fr-FR"/>
        </w:rPr>
        <w:tab/>
      </w:r>
      <w:r>
        <w:rPr>
          <w:rStyle w:val="Policepardfaut1"/>
          <w:lang w:val="fr-FR"/>
        </w:rPr>
        <w:tab/>
      </w:r>
      <w:r w:rsidRPr="00A321AD">
        <w:rPr>
          <w:lang w:val="fr-FR"/>
        </w:rPr>
        <w:t xml:space="preserve">Mesure de l’épaisseur des parois des caisses rapportées </w:t>
      </w:r>
      <w:r w:rsidR="00806A02">
        <w:rPr>
          <w:lang w:val="fr-FR"/>
        </w:rPr>
        <w:br/>
      </w:r>
      <w:r w:rsidRPr="00A321AD">
        <w:rPr>
          <w:lang w:val="fr-FR"/>
        </w:rPr>
        <w:t>des engins de transport de denrées périssables</w:t>
      </w:r>
    </w:p>
    <w:p w14:paraId="1177410A" w14:textId="35E1809F" w:rsidR="0026664D" w:rsidRDefault="0026664D" w:rsidP="0026664D">
      <w:pPr>
        <w:pStyle w:val="H1G"/>
        <w:rPr>
          <w:rStyle w:val="Policepardfaut1"/>
          <w:lang w:val="fr-FR"/>
        </w:rPr>
      </w:pPr>
      <w:r>
        <w:rPr>
          <w:rStyle w:val="Policepardfaut1"/>
          <w:lang w:val="fr-FR"/>
        </w:rPr>
        <w:tab/>
      </w:r>
      <w:r>
        <w:rPr>
          <w:rStyle w:val="Policepardfaut1"/>
          <w:lang w:val="fr-FR"/>
        </w:rPr>
        <w:tab/>
      </w:r>
      <w:r>
        <w:rPr>
          <w:rStyle w:val="Policepardfaut1"/>
          <w:lang w:val="fr-FR"/>
        </w:rPr>
        <w:tab/>
        <w:t xml:space="preserve">Communication du </w:t>
      </w:r>
      <w:r>
        <w:t>Gouvernement</w:t>
      </w:r>
      <w:r>
        <w:rPr>
          <w:rStyle w:val="Policepardfaut1"/>
          <w:lang w:val="fr-FR"/>
        </w:rPr>
        <w:t xml:space="preserve"> de la </w:t>
      </w:r>
      <w:r w:rsidR="00B05DB5">
        <w:rPr>
          <w:rStyle w:val="Policepardfaut1"/>
          <w:lang w:val="fr-FR"/>
        </w:rPr>
        <w:t>France</w:t>
      </w:r>
    </w:p>
    <w:p w14:paraId="378DF5CF" w14:textId="01C09FAE" w:rsidR="00B05DB5" w:rsidRPr="00B05DB5" w:rsidRDefault="00B05DB5" w:rsidP="00B05DB5">
      <w:pPr>
        <w:pStyle w:val="H23G"/>
        <w:rPr>
          <w:lang w:val="fr-FR"/>
        </w:rPr>
      </w:pPr>
      <w:r>
        <w:rPr>
          <w:lang w:val="fr-FR"/>
        </w:rPr>
        <w:tab/>
      </w:r>
      <w:r>
        <w:rPr>
          <w:lang w:val="fr-FR"/>
        </w:rPr>
        <w:tab/>
        <w:t>Révision</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26664D" w14:paraId="4BA9D100" w14:textId="77777777" w:rsidTr="00415263">
        <w:trPr>
          <w:jc w:val="center"/>
        </w:trPr>
        <w:tc>
          <w:tcPr>
            <w:tcW w:w="9628" w:type="dxa"/>
            <w:tcBorders>
              <w:bottom w:val="nil"/>
            </w:tcBorders>
            <w:shd w:val="clear" w:color="auto" w:fill="auto"/>
          </w:tcPr>
          <w:p w14:paraId="2706D1C2" w14:textId="77777777" w:rsidR="0026664D" w:rsidRPr="00C6263E" w:rsidRDefault="0026664D" w:rsidP="00415263">
            <w:pPr>
              <w:spacing w:before="240" w:after="120"/>
              <w:ind w:left="255"/>
              <w:rPr>
                <w:i/>
                <w:sz w:val="24"/>
              </w:rPr>
            </w:pPr>
            <w:r w:rsidRPr="00C6263E">
              <w:rPr>
                <w:i/>
                <w:sz w:val="24"/>
              </w:rPr>
              <w:t xml:space="preserve">Résumé </w:t>
            </w:r>
          </w:p>
        </w:tc>
      </w:tr>
      <w:tr w:rsidR="0026664D" w14:paraId="1F1A24CF" w14:textId="77777777" w:rsidTr="00415263">
        <w:trPr>
          <w:jc w:val="center"/>
        </w:trPr>
        <w:tc>
          <w:tcPr>
            <w:tcW w:w="9628" w:type="dxa"/>
            <w:tcBorders>
              <w:top w:val="nil"/>
              <w:bottom w:val="single" w:sz="4" w:space="0" w:color="auto"/>
            </w:tcBorders>
            <w:shd w:val="clear" w:color="auto" w:fill="auto"/>
          </w:tcPr>
          <w:tbl>
            <w:tblPr>
              <w:tblW w:w="9630" w:type="dxa"/>
              <w:jc w:val="center"/>
              <w:tblBorders>
                <w:right w:val="single" w:sz="4" w:space="0" w:color="00000A"/>
              </w:tblBorders>
              <w:tblCellMar>
                <w:left w:w="10" w:type="dxa"/>
                <w:right w:w="10" w:type="dxa"/>
              </w:tblCellMar>
              <w:tblLook w:val="04A0" w:firstRow="1" w:lastRow="0" w:firstColumn="1" w:lastColumn="0" w:noHBand="0" w:noVBand="1"/>
            </w:tblPr>
            <w:tblGrid>
              <w:gridCol w:w="9630"/>
            </w:tblGrid>
            <w:tr w:rsidR="0026664D" w14:paraId="0B88109D" w14:textId="77777777" w:rsidTr="00415263">
              <w:trPr>
                <w:jc w:val="center"/>
              </w:trPr>
              <w:tc>
                <w:tcPr>
                  <w:tcW w:w="9637" w:type="dxa"/>
                  <w:shd w:val="clear" w:color="auto" w:fill="FFFFFF"/>
                  <w:tcMar>
                    <w:top w:w="0" w:type="dxa"/>
                    <w:left w:w="113" w:type="dxa"/>
                    <w:bottom w:w="0" w:type="dxa"/>
                    <w:right w:w="108" w:type="dxa"/>
                  </w:tcMar>
                  <w:hideMark/>
                </w:tcPr>
                <w:p w14:paraId="4CC3B874" w14:textId="77777777" w:rsidR="0026664D" w:rsidRDefault="0026664D" w:rsidP="00BA4DC1">
                  <w:pPr>
                    <w:pStyle w:val="SingleTxtG"/>
                    <w:ind w:left="2835" w:hanging="2268"/>
                    <w:jc w:val="left"/>
                  </w:pPr>
                  <w:r>
                    <w:rPr>
                      <w:b/>
                    </w:rPr>
                    <w:t>Résumé analytique </w:t>
                  </w:r>
                  <w:r>
                    <w:t>:</w:t>
                  </w:r>
                  <w:r>
                    <w:rPr>
                      <w:b/>
                    </w:rPr>
                    <w:tab/>
                  </w:r>
                  <w:r>
                    <w:rPr>
                      <w:lang w:val="fr-FR"/>
                    </w:rPr>
                    <w:t>La France soumet une proposition visant à mieux maîtriser les dimensions des parois isolantes des caisses des engins de transport de denrées périssables lors de l’essai de type.</w:t>
                  </w:r>
                </w:p>
              </w:tc>
            </w:tr>
            <w:tr w:rsidR="0026664D" w14:paraId="4750EEDE" w14:textId="77777777" w:rsidTr="00415263">
              <w:trPr>
                <w:jc w:val="center"/>
              </w:trPr>
              <w:tc>
                <w:tcPr>
                  <w:tcW w:w="9637" w:type="dxa"/>
                  <w:shd w:val="clear" w:color="auto" w:fill="FFFFFF"/>
                  <w:tcMar>
                    <w:top w:w="0" w:type="dxa"/>
                    <w:left w:w="113" w:type="dxa"/>
                    <w:bottom w:w="0" w:type="dxa"/>
                    <w:right w:w="108" w:type="dxa"/>
                  </w:tcMar>
                  <w:hideMark/>
                </w:tcPr>
                <w:p w14:paraId="7DF1FBAC" w14:textId="2099637A" w:rsidR="0026664D" w:rsidRDefault="0026664D" w:rsidP="00BA4DC1">
                  <w:pPr>
                    <w:pStyle w:val="SingleTxtG"/>
                    <w:tabs>
                      <w:tab w:val="clear" w:pos="2268"/>
                    </w:tabs>
                    <w:ind w:left="2835" w:hanging="2268"/>
                    <w:jc w:val="left"/>
                  </w:pPr>
                  <w:r>
                    <w:rPr>
                      <w:b/>
                    </w:rPr>
                    <w:t>Mesure à prendre </w:t>
                  </w:r>
                  <w:r>
                    <w:t>:</w:t>
                  </w:r>
                  <w:r w:rsidR="00BA4DC1">
                    <w:tab/>
                  </w:r>
                  <w:r>
                    <w:t>Mesurer l’épaisseur des parois des caisses rapportées, à l’exception des citernes</w:t>
                  </w:r>
                </w:p>
              </w:tc>
            </w:tr>
            <w:tr w:rsidR="0026664D" w14:paraId="2510C003" w14:textId="77777777" w:rsidTr="00415263">
              <w:trPr>
                <w:jc w:val="center"/>
              </w:trPr>
              <w:tc>
                <w:tcPr>
                  <w:tcW w:w="9637" w:type="dxa"/>
                  <w:shd w:val="clear" w:color="auto" w:fill="FFFFFF"/>
                  <w:tcMar>
                    <w:top w:w="0" w:type="dxa"/>
                    <w:left w:w="113" w:type="dxa"/>
                    <w:bottom w:w="0" w:type="dxa"/>
                    <w:right w:w="108" w:type="dxa"/>
                  </w:tcMar>
                  <w:hideMark/>
                </w:tcPr>
                <w:p w14:paraId="06E89E62" w14:textId="77777777" w:rsidR="0026664D" w:rsidRDefault="0026664D" w:rsidP="00BA4DC1">
                  <w:pPr>
                    <w:pStyle w:val="SingleTxtG"/>
                    <w:ind w:left="2835" w:hanging="2268"/>
                    <w:jc w:val="left"/>
                  </w:pPr>
                  <w:r>
                    <w:rPr>
                      <w:b/>
                    </w:rPr>
                    <w:t>Documents connexes </w:t>
                  </w:r>
                  <w:r>
                    <w:t>:</w:t>
                  </w:r>
                  <w:r>
                    <w:rPr>
                      <w:b/>
                    </w:rPr>
                    <w:tab/>
                  </w:r>
                  <w:r>
                    <w:t>Aucun.</w:t>
                  </w:r>
                </w:p>
              </w:tc>
            </w:tr>
          </w:tbl>
          <w:p w14:paraId="0EA30597" w14:textId="77777777" w:rsidR="0026664D" w:rsidRDefault="0026664D" w:rsidP="00415263"/>
        </w:tc>
      </w:tr>
    </w:tbl>
    <w:p w14:paraId="4902E075" w14:textId="77777777" w:rsidR="0026664D" w:rsidRDefault="0026664D" w:rsidP="0026664D">
      <w:pPr>
        <w:pStyle w:val="HChG"/>
      </w:pPr>
      <w:r>
        <w:tab/>
      </w:r>
      <w:r>
        <w:tab/>
      </w:r>
      <w:r>
        <w:tab/>
      </w:r>
      <w:r w:rsidRPr="00537110">
        <w:t>Introduction</w:t>
      </w:r>
      <w:bookmarkStart w:id="0" w:name="OLE_LINK2"/>
      <w:bookmarkStart w:id="1" w:name="OLE_LINK1"/>
      <w:bookmarkEnd w:id="0"/>
      <w:bookmarkEnd w:id="1"/>
    </w:p>
    <w:p w14:paraId="0E69B861" w14:textId="77777777" w:rsidR="0026664D" w:rsidRDefault="0026664D" w:rsidP="0026664D">
      <w:pPr>
        <w:pStyle w:val="SingleTxtG"/>
      </w:pPr>
      <w:r>
        <w:t>1.</w:t>
      </w:r>
      <w:r>
        <w:tab/>
        <w:t>Une faible variation des dimensions de la caisse d’un engin peut avoir un impact significatif sur l’épaisseur des parois de la caisse, et donc sur le coefficient d’isothermie de la caisse.</w:t>
      </w:r>
    </w:p>
    <w:p w14:paraId="08D32CD8" w14:textId="616447EA" w:rsidR="0026664D" w:rsidRDefault="0026664D" w:rsidP="0026664D">
      <w:pPr>
        <w:pStyle w:val="SingleTxtG"/>
      </w:pPr>
      <w:r>
        <w:t>2.</w:t>
      </w:r>
      <w:r>
        <w:tab/>
        <w:t xml:space="preserve">Les stations d’essais acceptent des variations maximales de </w:t>
      </w:r>
      <w:r w:rsidRPr="005B0209">
        <w:rPr>
          <w:u w:val="single"/>
        </w:rPr>
        <w:t>+</w:t>
      </w:r>
      <w:r>
        <w:t xml:space="preserve">1 % des dimensions de la caisse entre les grandeurs données par le constructeur et celles mesurées par le laboratoire. Si ces variations ont peu d’impact sur la surface de la cellule, une variation dans la limite de 1 % des dimensions de la caisse (longueur intérieure et extérieure, largeur intérieure et extérieure, hauteur intérieure et extérieure) peut arithmétiquement engendrer une variation de 10 % de l’épaisseur des parois de la caisse et indirectement une variation de 10 % du </w:t>
      </w:r>
      <w:r>
        <w:lastRenderedPageBreak/>
        <w:t>coefficient K d’isothermie de la caisse. Ce qui est supérieur à l’incertitude de mesure du coefficient K fixée à 5 % par l’ATP</w:t>
      </w:r>
      <w:r w:rsidR="00E97998">
        <w:t>.</w:t>
      </w:r>
    </w:p>
    <w:p w14:paraId="286C1883" w14:textId="77777777" w:rsidR="0026664D" w:rsidRDefault="0026664D" w:rsidP="0026664D">
      <w:pPr>
        <w:pStyle w:val="SingleTxtG"/>
      </w:pPr>
      <w:r>
        <w:t>3.</w:t>
      </w:r>
      <w:r>
        <w:tab/>
        <w:t>Une telle situation pourrait discréditer la valeur du coefficient K mesurée par les stations d’essais ATP sur les prototypes qui est utilisée pour la délivrance des attestations ATP des engins. Ces écarts pourraient être source de distorsion de concurrence entre constructeurs.</w:t>
      </w:r>
    </w:p>
    <w:p w14:paraId="55F51C5A" w14:textId="77777777" w:rsidR="0026664D" w:rsidRDefault="0026664D" w:rsidP="0026664D">
      <w:pPr>
        <w:pStyle w:val="SingleTxtG"/>
      </w:pPr>
      <w:r>
        <w:t>4.</w:t>
      </w:r>
      <w:r>
        <w:tab/>
        <w:t>Afin de remédier à cette situation, il est proposé d’ajouter au rapport d’essai le mesurage de l’épaisseur des parois de tous les types de prototypes à caisse rapportée présentés dans les stations d’essais officielles, à l’exception des citernes.</w:t>
      </w:r>
    </w:p>
    <w:p w14:paraId="374D7C77" w14:textId="77777777" w:rsidR="0026664D" w:rsidRDefault="0026664D" w:rsidP="0026664D">
      <w:pPr>
        <w:pStyle w:val="HChG"/>
      </w:pPr>
      <w:r>
        <w:tab/>
        <w:t>I.</w:t>
      </w:r>
      <w:r>
        <w:tab/>
      </w:r>
      <w:r w:rsidRPr="005E5CCF">
        <w:t>Proposition</w:t>
      </w:r>
    </w:p>
    <w:p w14:paraId="32ACBDEB" w14:textId="77777777" w:rsidR="0026664D" w:rsidRDefault="0026664D" w:rsidP="0026664D">
      <w:pPr>
        <w:pStyle w:val="SingleTxtG"/>
        <w:rPr>
          <w:lang w:val="fr-FR"/>
        </w:rPr>
      </w:pPr>
      <w:r>
        <w:rPr>
          <w:lang w:val="fr-FR"/>
        </w:rPr>
        <w:t>5.</w:t>
      </w:r>
      <w:r>
        <w:rPr>
          <w:lang w:val="fr-FR"/>
        </w:rPr>
        <w:tab/>
        <w:t xml:space="preserve">Il est </w:t>
      </w:r>
      <w:r w:rsidRPr="00AA071A">
        <w:t>proposé</w:t>
      </w:r>
      <w:r>
        <w:rPr>
          <w:lang w:val="fr-FR"/>
        </w:rPr>
        <w:t xml:space="preserve"> d’ajouter au Modèle N° 1A :</w:t>
      </w:r>
    </w:p>
    <w:p w14:paraId="27FEAE4C" w14:textId="77777777" w:rsidR="0026664D" w:rsidRDefault="0026664D" w:rsidP="0026664D">
      <w:pPr>
        <w:pStyle w:val="SingleTxtG"/>
        <w:numPr>
          <w:ilvl w:val="0"/>
          <w:numId w:val="14"/>
        </w:numPr>
        <w:rPr>
          <w:lang w:val="fr-FR"/>
        </w:rPr>
      </w:pPr>
      <w:r>
        <w:rPr>
          <w:lang w:val="fr-FR"/>
        </w:rPr>
        <w:t>Au paragraphe Spécifications des parois des caisses, le texte :</w:t>
      </w:r>
    </w:p>
    <w:p w14:paraId="70716FD9" w14:textId="77777777" w:rsidR="0026664D" w:rsidRDefault="0026664D" w:rsidP="0026664D">
      <w:pPr>
        <w:pStyle w:val="SingleTxtG"/>
        <w:numPr>
          <w:ilvl w:val="1"/>
          <w:numId w:val="14"/>
        </w:numPr>
        <w:rPr>
          <w:lang w:val="fr-FR"/>
        </w:rPr>
      </w:pPr>
      <w:r>
        <w:rPr>
          <w:lang w:val="fr-FR"/>
        </w:rPr>
        <w:t xml:space="preserve">« Epaisseur des parois latérales de la caisse : ………….. mm </w:t>
      </w:r>
      <w:r w:rsidRPr="00055756">
        <w:rPr>
          <w:vertAlign w:val="superscript"/>
          <w:lang w:val="fr-FR"/>
        </w:rPr>
        <w:t>(7)</w:t>
      </w:r>
      <w:r>
        <w:rPr>
          <w:lang w:val="fr-FR"/>
        </w:rPr>
        <w:t xml:space="preserve"> » </w:t>
      </w:r>
    </w:p>
    <w:p w14:paraId="4ADCDAA8" w14:textId="77777777" w:rsidR="0026664D" w:rsidRDefault="0026664D" w:rsidP="0026664D">
      <w:pPr>
        <w:pStyle w:val="SingleTxtG"/>
        <w:numPr>
          <w:ilvl w:val="1"/>
          <w:numId w:val="14"/>
        </w:numPr>
        <w:rPr>
          <w:lang w:val="fr-FR"/>
        </w:rPr>
      </w:pPr>
      <w:r>
        <w:rPr>
          <w:lang w:val="fr-FR"/>
        </w:rPr>
        <w:t xml:space="preserve">« Epaisseur de la face avant de la caisse : ………….. mm </w:t>
      </w:r>
      <w:r w:rsidRPr="00055756">
        <w:rPr>
          <w:vertAlign w:val="superscript"/>
          <w:lang w:val="fr-FR"/>
        </w:rPr>
        <w:t>(7)</w:t>
      </w:r>
      <w:r>
        <w:rPr>
          <w:lang w:val="fr-FR"/>
        </w:rPr>
        <w:t> »</w:t>
      </w:r>
    </w:p>
    <w:p w14:paraId="15BD3E91" w14:textId="77777777" w:rsidR="0026664D" w:rsidRPr="00F968EC" w:rsidRDefault="0026664D" w:rsidP="0026664D">
      <w:pPr>
        <w:pStyle w:val="SingleTxtG"/>
        <w:numPr>
          <w:ilvl w:val="1"/>
          <w:numId w:val="14"/>
        </w:numPr>
        <w:ind w:right="-1"/>
      </w:pPr>
      <w:r w:rsidRPr="00F968EC">
        <w:t xml:space="preserve">« Epaisseur de la face arrière de la caisse (ou le cas échéant, d’au moins l’une des portes arrières): ………….. mm </w:t>
      </w:r>
      <w:r w:rsidRPr="00F968EC">
        <w:rPr>
          <w:vertAlign w:val="superscript"/>
        </w:rPr>
        <w:t>(7)</w:t>
      </w:r>
      <w:r w:rsidRPr="00F968EC">
        <w:t> »</w:t>
      </w:r>
    </w:p>
    <w:p w14:paraId="18160ADC" w14:textId="77777777" w:rsidR="0026664D" w:rsidRPr="00F968EC" w:rsidRDefault="0026664D" w:rsidP="0026664D">
      <w:pPr>
        <w:pStyle w:val="SingleTxtG"/>
        <w:numPr>
          <w:ilvl w:val="1"/>
          <w:numId w:val="14"/>
        </w:numPr>
      </w:pPr>
      <w:r w:rsidRPr="00F968EC">
        <w:t xml:space="preserve">« Epaisseur du pavillon de la caisse : ………….. mm </w:t>
      </w:r>
      <w:r w:rsidRPr="00F968EC">
        <w:rPr>
          <w:vertAlign w:val="superscript"/>
        </w:rPr>
        <w:t>(7)</w:t>
      </w:r>
      <w:r w:rsidRPr="00F968EC">
        <w:t> »</w:t>
      </w:r>
    </w:p>
    <w:p w14:paraId="20AB46A8" w14:textId="77777777" w:rsidR="0026664D" w:rsidRPr="00F968EC" w:rsidRDefault="0026664D" w:rsidP="0026664D">
      <w:pPr>
        <w:pStyle w:val="SingleTxtG"/>
        <w:numPr>
          <w:ilvl w:val="1"/>
          <w:numId w:val="14"/>
        </w:numPr>
      </w:pPr>
      <w:r w:rsidRPr="00F968EC">
        <w:t xml:space="preserve">« Epaisseur du plancher de la caisse : ………….. mm </w:t>
      </w:r>
      <w:r w:rsidRPr="00F968EC">
        <w:rPr>
          <w:vertAlign w:val="superscript"/>
        </w:rPr>
        <w:t>(7)</w:t>
      </w:r>
      <w:r w:rsidRPr="00F968EC">
        <w:t> »</w:t>
      </w:r>
    </w:p>
    <w:p w14:paraId="65C25F5D" w14:textId="77777777" w:rsidR="0026664D" w:rsidRDefault="0026664D" w:rsidP="0026664D">
      <w:pPr>
        <w:pStyle w:val="SingleTxtG"/>
        <w:numPr>
          <w:ilvl w:val="0"/>
          <w:numId w:val="14"/>
        </w:numPr>
        <w:rPr>
          <w:lang w:val="fr-FR"/>
        </w:rPr>
      </w:pPr>
      <w:r>
        <w:rPr>
          <w:lang w:val="fr-FR"/>
        </w:rPr>
        <w:t>En bas de page, l’annotation :</w:t>
      </w:r>
    </w:p>
    <w:p w14:paraId="6CD165CC" w14:textId="77777777" w:rsidR="0026664D" w:rsidRDefault="0026664D" w:rsidP="0026664D">
      <w:pPr>
        <w:pStyle w:val="SingleTxtG"/>
        <w:numPr>
          <w:ilvl w:val="1"/>
          <w:numId w:val="14"/>
        </w:numPr>
        <w:rPr>
          <w:lang w:val="fr-FR"/>
        </w:rPr>
      </w:pPr>
      <w:r w:rsidRPr="00055756">
        <w:rPr>
          <w:vertAlign w:val="superscript"/>
          <w:lang w:val="fr-FR"/>
        </w:rPr>
        <w:t>(7)</w:t>
      </w:r>
      <w:r>
        <w:rPr>
          <w:vertAlign w:val="superscript"/>
          <w:lang w:val="fr-FR"/>
        </w:rPr>
        <w:t xml:space="preserve"> </w:t>
      </w:r>
      <w:r>
        <w:rPr>
          <w:lang w:val="fr-FR"/>
        </w:rPr>
        <w:t>Mesure réalisée par la station d’essais officielle</w:t>
      </w:r>
    </w:p>
    <w:p w14:paraId="383B3C58" w14:textId="77777777" w:rsidR="0026664D" w:rsidRPr="00DC3AE9" w:rsidRDefault="0026664D" w:rsidP="0026664D">
      <w:pPr>
        <w:pStyle w:val="HChG"/>
      </w:pPr>
      <w:r>
        <w:tab/>
        <w:t>II.</w:t>
      </w:r>
      <w:r>
        <w:tab/>
        <w:t>Justification</w:t>
      </w:r>
    </w:p>
    <w:p w14:paraId="5386D1E9" w14:textId="77777777" w:rsidR="0026664D" w:rsidRDefault="0026664D" w:rsidP="0026664D">
      <w:pPr>
        <w:pStyle w:val="SingleTxtG"/>
      </w:pPr>
      <w:r>
        <w:t>6.</w:t>
      </w:r>
      <w:r>
        <w:tab/>
        <w:t>Le présent ajout vise à caractériser l’épaisseur des matériaux constituant les parois des caisses rapportées des engins de transport ATP soumis à l’essai de type.</w:t>
      </w:r>
    </w:p>
    <w:p w14:paraId="762FBE98" w14:textId="77777777" w:rsidR="0026664D" w:rsidRDefault="0026664D" w:rsidP="0026664D">
      <w:pPr>
        <w:pStyle w:val="HChG"/>
      </w:pPr>
      <w:r>
        <w:tab/>
        <w:t>III.</w:t>
      </w:r>
      <w:r>
        <w:tab/>
      </w:r>
      <w:r w:rsidRPr="00DC3AE9">
        <w:t>Impact</w:t>
      </w:r>
    </w:p>
    <w:p w14:paraId="20AFBD17" w14:textId="77777777" w:rsidR="0026664D" w:rsidRPr="00DC3AE9" w:rsidRDefault="0026664D" w:rsidP="0026664D">
      <w:pPr>
        <w:pStyle w:val="SingleTxtG"/>
      </w:pPr>
      <w:r>
        <w:t>7.</w:t>
      </w:r>
      <w:r>
        <w:tab/>
        <w:t>La mesure de l’épaisseur des parois de la caisse de l’engin lors de l’essai de type permet de réduire les risques de non-conformité aux exigences de l’ATP ainsi que les risques de distorsion de concurrence entre constructeurs</w:t>
      </w:r>
      <w:r w:rsidRPr="00DC3AE9">
        <w:t>.</w:t>
      </w:r>
    </w:p>
    <w:p w14:paraId="10F5D62D" w14:textId="77777777" w:rsidR="0026664D" w:rsidRDefault="0026664D" w:rsidP="0026664D">
      <w:pPr>
        <w:pStyle w:val="SingleTxtG"/>
      </w:pPr>
      <w:r>
        <w:t>8</w:t>
      </w:r>
      <w:r w:rsidRPr="00DC3AE9">
        <w:t>.</w:t>
      </w:r>
      <w:r w:rsidRPr="00DC3AE9">
        <w:tab/>
        <w:t>L’impact fina</w:t>
      </w:r>
      <w:r>
        <w:t>ncier est minime. Le coût d’un contrôle d’épaisseur des parois est négligeable par rapport au coût global de l’essai de type.</w:t>
      </w:r>
    </w:p>
    <w:p w14:paraId="42264661" w14:textId="77777777" w:rsidR="0026664D" w:rsidRDefault="0026664D" w:rsidP="0026664D">
      <w:pPr>
        <w:pStyle w:val="HChG"/>
      </w:pPr>
      <w:r>
        <w:tab/>
        <w:t>IV.</w:t>
      </w:r>
      <w:r>
        <w:tab/>
        <w:t>Faisabilité</w:t>
      </w:r>
    </w:p>
    <w:p w14:paraId="5166BC65" w14:textId="77777777" w:rsidR="0026664D" w:rsidRPr="008319D2" w:rsidRDefault="0026664D" w:rsidP="0026664D">
      <w:pPr>
        <w:pStyle w:val="SingleTxtG"/>
        <w:rPr>
          <w:lang w:val="fr-FR"/>
        </w:rPr>
      </w:pPr>
      <w:r>
        <w:t>9.</w:t>
      </w:r>
      <w:r>
        <w:tab/>
        <w:t>La mesure de l’épaisseur d’une paroi ne pose pas de souci particulier. Une méthode idoine pourra être décrite dans le Manuel ATP.</w:t>
      </w:r>
    </w:p>
    <w:p w14:paraId="1A40F7F5" w14:textId="190AD0EC" w:rsidR="00642827" w:rsidRPr="0026664D" w:rsidRDefault="0026664D" w:rsidP="0026664D">
      <w:pPr>
        <w:spacing w:before="240"/>
        <w:jc w:val="center"/>
        <w:rPr>
          <w:u w:val="single"/>
        </w:rPr>
      </w:pPr>
      <w:r>
        <w:rPr>
          <w:u w:val="single"/>
        </w:rPr>
        <w:tab/>
      </w:r>
      <w:r>
        <w:rPr>
          <w:u w:val="single"/>
        </w:rPr>
        <w:tab/>
      </w:r>
      <w:r>
        <w:rPr>
          <w:u w:val="single"/>
        </w:rPr>
        <w:tab/>
      </w:r>
    </w:p>
    <w:sectPr w:rsidR="00642827" w:rsidRPr="0026664D" w:rsidSect="00FF432B">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25F1" w14:textId="77777777" w:rsidR="00E73CE3" w:rsidRDefault="00E73CE3" w:rsidP="00F95C08">
      <w:pPr>
        <w:spacing w:line="240" w:lineRule="auto"/>
      </w:pPr>
    </w:p>
  </w:endnote>
  <w:endnote w:type="continuationSeparator" w:id="0">
    <w:p w14:paraId="1EAD6362" w14:textId="77777777" w:rsidR="00E73CE3" w:rsidRPr="00AC3823" w:rsidRDefault="00E73CE3" w:rsidP="00AC3823">
      <w:pPr>
        <w:pStyle w:val="Pieddepage"/>
      </w:pPr>
    </w:p>
  </w:endnote>
  <w:endnote w:type="continuationNotice" w:id="1">
    <w:p w14:paraId="7A479EED" w14:textId="77777777" w:rsidR="00E73CE3" w:rsidRDefault="00E73C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B951" w14:textId="77777777" w:rsidR="00FF432B" w:rsidRPr="00FF432B" w:rsidRDefault="00FF432B" w:rsidP="00FF432B">
    <w:pPr>
      <w:pStyle w:val="Pieddepage"/>
      <w:tabs>
        <w:tab w:val="right" w:pos="9638"/>
      </w:tabs>
      <w:rPr>
        <w:sz w:val="18"/>
      </w:rPr>
    </w:pPr>
    <w:r w:rsidRPr="00FF432B">
      <w:rPr>
        <w:b/>
        <w:sz w:val="18"/>
      </w:rPr>
      <w:fldChar w:fldCharType="begin"/>
    </w:r>
    <w:r w:rsidRPr="00FF432B">
      <w:rPr>
        <w:b/>
        <w:sz w:val="18"/>
      </w:rPr>
      <w:instrText xml:space="preserve"> PAGE  \* MERGEFORMAT </w:instrText>
    </w:r>
    <w:r w:rsidRPr="00FF432B">
      <w:rPr>
        <w:b/>
        <w:sz w:val="18"/>
      </w:rPr>
      <w:fldChar w:fldCharType="separate"/>
    </w:r>
    <w:r w:rsidRPr="00FF432B">
      <w:rPr>
        <w:b/>
        <w:noProof/>
        <w:sz w:val="18"/>
      </w:rPr>
      <w:t>2</w:t>
    </w:r>
    <w:r w:rsidRPr="00FF43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8680" w14:textId="77777777" w:rsidR="00FF432B" w:rsidRPr="00FF432B" w:rsidRDefault="00FF432B" w:rsidP="00FF432B">
    <w:pPr>
      <w:pStyle w:val="Pieddepage"/>
      <w:tabs>
        <w:tab w:val="right" w:pos="9638"/>
      </w:tabs>
      <w:rPr>
        <w:b/>
        <w:sz w:val="18"/>
      </w:rPr>
    </w:pPr>
    <w:r>
      <w:tab/>
    </w:r>
    <w:r w:rsidRPr="00FF432B">
      <w:rPr>
        <w:b/>
        <w:sz w:val="18"/>
      </w:rPr>
      <w:fldChar w:fldCharType="begin"/>
    </w:r>
    <w:r w:rsidRPr="00FF432B">
      <w:rPr>
        <w:b/>
        <w:sz w:val="18"/>
      </w:rPr>
      <w:instrText xml:space="preserve"> PAGE  \* MERGEFORMAT </w:instrText>
    </w:r>
    <w:r w:rsidRPr="00FF432B">
      <w:rPr>
        <w:b/>
        <w:sz w:val="18"/>
      </w:rPr>
      <w:fldChar w:fldCharType="separate"/>
    </w:r>
    <w:r w:rsidRPr="00FF432B">
      <w:rPr>
        <w:b/>
        <w:noProof/>
        <w:sz w:val="18"/>
      </w:rPr>
      <w:t>3</w:t>
    </w:r>
    <w:r w:rsidRPr="00FF43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0DF8" w14:textId="2BDE57DD" w:rsidR="000D3EE9" w:rsidRPr="00541DF6" w:rsidRDefault="00541DF6" w:rsidP="00541DF6">
    <w:pPr>
      <w:pStyle w:val="Pieddepage"/>
      <w:tabs>
        <w:tab w:val="left" w:pos="6520"/>
        <w:tab w:val="right" w:pos="9638"/>
      </w:tabs>
      <w:spacing w:before="120"/>
      <w:rPr>
        <w:sz w:val="20"/>
      </w:rPr>
    </w:pPr>
    <w:r>
      <w:rPr>
        <w:sz w:val="20"/>
      </w:rPr>
      <w:t>GE.22-12219  (F)</w:t>
    </w:r>
    <w:bookmarkStart w:id="2" w:name="_GoBack"/>
    <w:bookmarkEnd w:id="2"/>
    <w:r>
      <w:rPr>
        <w:sz w:val="20"/>
      </w:rPr>
      <w:tab/>
    </w:r>
    <w:r w:rsidRPr="00541DF6">
      <w:rPr>
        <w:noProof/>
        <w:sz w:val="20"/>
        <w:lang w:eastAsia="fr-CH"/>
      </w:rPr>
      <w:drawing>
        <wp:inline distT="0" distB="0" distL="0" distR="0" wp14:anchorId="24ABDF86" wp14:editId="70AAD305">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482388B" wp14:editId="6110FFEC">
          <wp:extent cx="635635" cy="6356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6B55" w14:textId="77777777" w:rsidR="00E73CE3" w:rsidRPr="00AC3823" w:rsidRDefault="00E73CE3" w:rsidP="00AC3823">
      <w:pPr>
        <w:pStyle w:val="Pieddepage"/>
        <w:tabs>
          <w:tab w:val="right" w:pos="2155"/>
        </w:tabs>
        <w:spacing w:after="80" w:line="240" w:lineRule="atLeast"/>
        <w:ind w:left="680"/>
        <w:rPr>
          <w:u w:val="single"/>
        </w:rPr>
      </w:pPr>
      <w:r>
        <w:rPr>
          <w:u w:val="single"/>
        </w:rPr>
        <w:tab/>
      </w:r>
    </w:p>
  </w:footnote>
  <w:footnote w:type="continuationSeparator" w:id="0">
    <w:p w14:paraId="130E0DDE" w14:textId="77777777" w:rsidR="00E73CE3" w:rsidRPr="00AC3823" w:rsidRDefault="00E73CE3" w:rsidP="00AC3823">
      <w:pPr>
        <w:pStyle w:val="Pieddepage"/>
        <w:tabs>
          <w:tab w:val="right" w:pos="2155"/>
        </w:tabs>
        <w:spacing w:after="80" w:line="240" w:lineRule="atLeast"/>
        <w:ind w:left="680"/>
        <w:rPr>
          <w:u w:val="single"/>
        </w:rPr>
      </w:pPr>
      <w:r>
        <w:rPr>
          <w:u w:val="single"/>
        </w:rPr>
        <w:tab/>
      </w:r>
    </w:p>
  </w:footnote>
  <w:footnote w:type="continuationNotice" w:id="1">
    <w:p w14:paraId="592148AC" w14:textId="77777777" w:rsidR="00E73CE3" w:rsidRPr="00AC3823" w:rsidRDefault="00E73CE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CA0B" w14:textId="56EC4A0F" w:rsidR="00FF432B" w:rsidRPr="00FF432B" w:rsidRDefault="009C298E">
    <w:pPr>
      <w:pStyle w:val="En-tte"/>
    </w:pPr>
    <w:r>
      <w:fldChar w:fldCharType="begin"/>
    </w:r>
    <w:r>
      <w:instrText xml:space="preserve"> TITLE  \* MERGEFORMAT </w:instrText>
    </w:r>
    <w:r>
      <w:fldChar w:fldCharType="separate"/>
    </w:r>
    <w:r>
      <w:t>ECE/TRANS/WP.11/2022/6/Rev.1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34B4" w14:textId="182F7800" w:rsidR="00FF432B" w:rsidRPr="00FF432B" w:rsidRDefault="009C298E" w:rsidP="00FF432B">
    <w:pPr>
      <w:pStyle w:val="En-tte"/>
      <w:jc w:val="right"/>
    </w:pPr>
    <w:r>
      <w:fldChar w:fldCharType="begin"/>
    </w:r>
    <w:r>
      <w:instrText xml:space="preserve"> TITLE  \* MERGEFORMAT </w:instrText>
    </w:r>
    <w:r>
      <w:fldChar w:fldCharType="separate"/>
    </w:r>
    <w:r>
      <w:t>ECE/TRANS/WP.11/2022/6/Rev.1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069594E"/>
    <w:multiLevelType w:val="hybridMultilevel"/>
    <w:tmpl w:val="C12A0592"/>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2B"/>
    <w:rsid w:val="0001207F"/>
    <w:rsid w:val="00017F94"/>
    <w:rsid w:val="00023842"/>
    <w:rsid w:val="000334F9"/>
    <w:rsid w:val="0007796D"/>
    <w:rsid w:val="000822F7"/>
    <w:rsid w:val="000942EE"/>
    <w:rsid w:val="000A52BF"/>
    <w:rsid w:val="000B7557"/>
    <w:rsid w:val="000B7790"/>
    <w:rsid w:val="000D3EE9"/>
    <w:rsid w:val="000D62F3"/>
    <w:rsid w:val="00111F2F"/>
    <w:rsid w:val="001433FD"/>
    <w:rsid w:val="0014365E"/>
    <w:rsid w:val="001541D3"/>
    <w:rsid w:val="00176178"/>
    <w:rsid w:val="00187B1E"/>
    <w:rsid w:val="001A064B"/>
    <w:rsid w:val="001D400F"/>
    <w:rsid w:val="001F525A"/>
    <w:rsid w:val="00223272"/>
    <w:rsid w:val="00240333"/>
    <w:rsid w:val="0024779E"/>
    <w:rsid w:val="0026664D"/>
    <w:rsid w:val="002832AC"/>
    <w:rsid w:val="002834A0"/>
    <w:rsid w:val="002D7C93"/>
    <w:rsid w:val="00343829"/>
    <w:rsid w:val="0037241C"/>
    <w:rsid w:val="00441C3B"/>
    <w:rsid w:val="004468DE"/>
    <w:rsid w:val="00446B0A"/>
    <w:rsid w:val="00446FE5"/>
    <w:rsid w:val="00452396"/>
    <w:rsid w:val="004E468C"/>
    <w:rsid w:val="004F2920"/>
    <w:rsid w:val="005316B0"/>
    <w:rsid w:val="00541DF6"/>
    <w:rsid w:val="005505B7"/>
    <w:rsid w:val="00564657"/>
    <w:rsid w:val="00573BE5"/>
    <w:rsid w:val="00586ED3"/>
    <w:rsid w:val="005957A4"/>
    <w:rsid w:val="00596AA9"/>
    <w:rsid w:val="005A3C35"/>
    <w:rsid w:val="00642827"/>
    <w:rsid w:val="006E2F73"/>
    <w:rsid w:val="00703D0F"/>
    <w:rsid w:val="00706363"/>
    <w:rsid w:val="0071601D"/>
    <w:rsid w:val="00772E39"/>
    <w:rsid w:val="007A62E6"/>
    <w:rsid w:val="0080684C"/>
    <w:rsid w:val="00806A02"/>
    <w:rsid w:val="008204DA"/>
    <w:rsid w:val="0083123A"/>
    <w:rsid w:val="00871C75"/>
    <w:rsid w:val="008767E8"/>
    <w:rsid w:val="008776DC"/>
    <w:rsid w:val="008C40FD"/>
    <w:rsid w:val="00915979"/>
    <w:rsid w:val="009705C8"/>
    <w:rsid w:val="009C1CF4"/>
    <w:rsid w:val="009C298E"/>
    <w:rsid w:val="009F02C9"/>
    <w:rsid w:val="00A30353"/>
    <w:rsid w:val="00A62D91"/>
    <w:rsid w:val="00A82836"/>
    <w:rsid w:val="00A90D54"/>
    <w:rsid w:val="00AA113A"/>
    <w:rsid w:val="00AC3823"/>
    <w:rsid w:val="00AE323C"/>
    <w:rsid w:val="00B00181"/>
    <w:rsid w:val="00B00B0D"/>
    <w:rsid w:val="00B05DB5"/>
    <w:rsid w:val="00B07F65"/>
    <w:rsid w:val="00B30069"/>
    <w:rsid w:val="00B50E25"/>
    <w:rsid w:val="00B64918"/>
    <w:rsid w:val="00B765F7"/>
    <w:rsid w:val="00BA0CA9"/>
    <w:rsid w:val="00BA4DC1"/>
    <w:rsid w:val="00C02897"/>
    <w:rsid w:val="00C7616F"/>
    <w:rsid w:val="00CB16B5"/>
    <w:rsid w:val="00CE0608"/>
    <w:rsid w:val="00CE5C04"/>
    <w:rsid w:val="00D3439C"/>
    <w:rsid w:val="00D44CF3"/>
    <w:rsid w:val="00D70306"/>
    <w:rsid w:val="00DA6C5E"/>
    <w:rsid w:val="00DB1831"/>
    <w:rsid w:val="00DD3BFD"/>
    <w:rsid w:val="00DE1E2A"/>
    <w:rsid w:val="00DE62AA"/>
    <w:rsid w:val="00DF431C"/>
    <w:rsid w:val="00DF6678"/>
    <w:rsid w:val="00E32F67"/>
    <w:rsid w:val="00E73CE3"/>
    <w:rsid w:val="00E939CE"/>
    <w:rsid w:val="00E97998"/>
    <w:rsid w:val="00EC789E"/>
    <w:rsid w:val="00EF2E22"/>
    <w:rsid w:val="00F0592C"/>
    <w:rsid w:val="00F43289"/>
    <w:rsid w:val="00F567E6"/>
    <w:rsid w:val="00F660DF"/>
    <w:rsid w:val="00F95C08"/>
    <w:rsid w:val="00FF432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91D51"/>
  <w15:docId w15:val="{59E64BC5-E340-4C46-A664-A201CFFA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customStyle="1" w:styleId="Standard">
    <w:name w:val="Standard"/>
    <w:rsid w:val="00F567E6"/>
    <w:pPr>
      <w:suppressAutoHyphens/>
      <w:autoSpaceDN w:val="0"/>
      <w:snapToGrid w:val="0"/>
      <w:spacing w:after="0" w:line="240" w:lineRule="atLeast"/>
      <w:textAlignment w:val="baseline"/>
    </w:pPr>
    <w:rPr>
      <w:rFonts w:eastAsia="Calibri"/>
      <w:kern w:val="3"/>
      <w:lang w:eastAsia="en-US"/>
    </w:rPr>
  </w:style>
  <w:style w:type="character" w:customStyle="1" w:styleId="Policepardfaut1">
    <w:name w:val="Police par défaut1"/>
    <w:rsid w:val="0026664D"/>
  </w:style>
  <w:style w:type="character" w:styleId="Marquedecommentaire">
    <w:name w:val="annotation reference"/>
    <w:basedOn w:val="Policepardfaut"/>
    <w:uiPriority w:val="99"/>
    <w:semiHidden/>
    <w:unhideWhenUsed/>
    <w:rsid w:val="000822F7"/>
    <w:rPr>
      <w:sz w:val="16"/>
      <w:szCs w:val="16"/>
    </w:rPr>
  </w:style>
  <w:style w:type="paragraph" w:styleId="Commentaire">
    <w:name w:val="annotation text"/>
    <w:basedOn w:val="Normal"/>
    <w:link w:val="CommentaireCar"/>
    <w:uiPriority w:val="99"/>
    <w:semiHidden/>
    <w:unhideWhenUsed/>
    <w:rsid w:val="000822F7"/>
    <w:pPr>
      <w:spacing w:line="240" w:lineRule="auto"/>
    </w:pPr>
  </w:style>
  <w:style w:type="character" w:customStyle="1" w:styleId="CommentaireCar">
    <w:name w:val="Commentaire Car"/>
    <w:basedOn w:val="Policepardfaut"/>
    <w:link w:val="Commentaire"/>
    <w:uiPriority w:val="99"/>
    <w:semiHidden/>
    <w:rsid w:val="000822F7"/>
  </w:style>
  <w:style w:type="paragraph" w:styleId="Objetducommentaire">
    <w:name w:val="annotation subject"/>
    <w:basedOn w:val="Commentaire"/>
    <w:next w:val="Commentaire"/>
    <w:link w:val="ObjetducommentaireCar"/>
    <w:uiPriority w:val="99"/>
    <w:semiHidden/>
    <w:unhideWhenUsed/>
    <w:rsid w:val="000822F7"/>
    <w:rPr>
      <w:b/>
      <w:bCs/>
    </w:rPr>
  </w:style>
  <w:style w:type="character" w:customStyle="1" w:styleId="ObjetducommentaireCar">
    <w:name w:val="Objet du commentaire Car"/>
    <w:basedOn w:val="CommentaireCar"/>
    <w:link w:val="Objetducommentaire"/>
    <w:uiPriority w:val="99"/>
    <w:semiHidden/>
    <w:rsid w:val="00082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25592-7F07-40EB-AB6D-FF218137C30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A97EC289-810A-44A2-8908-E311C9F2F197}">
  <ds:schemaRefs>
    <ds:schemaRef ds:uri="http://schemas.microsoft.com/sharepoint/v3/contenttype/forms"/>
  </ds:schemaRefs>
</ds:datastoreItem>
</file>

<file path=customXml/itemProps3.xml><?xml version="1.0" encoding="utf-8"?>
<ds:datastoreItem xmlns:ds="http://schemas.openxmlformats.org/officeDocument/2006/customXml" ds:itemID="{B8F20F0B-036A-4C8F-969C-C77BCF4D3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3034</Characters>
  <Application>Microsoft Office Word</Application>
  <DocSecurity>0</DocSecurity>
  <Lines>74</Lines>
  <Paragraphs>50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ECE/TRANS/WP.11/2022/6/Rev.1</dc:title>
  <dc:subject>FINAL</dc:subject>
  <dc:creator>ND</dc:creator>
  <cp:keywords/>
  <dc:description/>
  <cp:lastModifiedBy>Nathalie Vittoz</cp:lastModifiedBy>
  <cp:revision>3</cp:revision>
  <cp:lastPrinted>2022-08-09T09:20:00Z</cp:lastPrinted>
  <dcterms:created xsi:type="dcterms:W3CDTF">2022-08-09T09:20:00Z</dcterms:created>
  <dcterms:modified xsi:type="dcterms:W3CDTF">2022-08-09T09:21:00Z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