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1A74F084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51AAD1A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B6FAA91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EF5AA4" w14:textId="6DE19488" w:rsidR="001433FD" w:rsidRPr="00721117" w:rsidRDefault="00721117" w:rsidP="00721117">
            <w:pPr>
              <w:jc w:val="right"/>
            </w:pPr>
            <w:r w:rsidRPr="00721117">
              <w:rPr>
                <w:sz w:val="40"/>
              </w:rPr>
              <w:t>ECE</w:t>
            </w:r>
            <w:r>
              <w:t>/TRANS/WP.11/2022/5/Rev.1</w:t>
            </w:r>
          </w:p>
        </w:tc>
      </w:tr>
      <w:tr w:rsidR="001433FD" w:rsidRPr="00DB58B5" w14:paraId="7D018CB9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33BAE81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21B834" wp14:editId="22A4790F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A24754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9751C2" w14:textId="77777777" w:rsidR="0001207F" w:rsidRDefault="00687317" w:rsidP="00687317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F285D36" w14:textId="1F2A9A78" w:rsidR="00687317" w:rsidRDefault="00B0068E" w:rsidP="00687317">
            <w:pPr>
              <w:spacing w:line="240" w:lineRule="exact"/>
            </w:pPr>
            <w:r>
              <w:t>5</w:t>
            </w:r>
            <w:r w:rsidR="00687317">
              <w:t xml:space="preserve"> août 2022</w:t>
            </w:r>
          </w:p>
          <w:p w14:paraId="5A8CC35F" w14:textId="77777777" w:rsidR="00687317" w:rsidRDefault="00687317" w:rsidP="00687317">
            <w:pPr>
              <w:spacing w:line="240" w:lineRule="exact"/>
            </w:pPr>
          </w:p>
          <w:p w14:paraId="652FFCC9" w14:textId="77777777" w:rsidR="00687317" w:rsidRPr="00DB58B5" w:rsidRDefault="00687317" w:rsidP="00687317">
            <w:pPr>
              <w:spacing w:line="240" w:lineRule="exact"/>
            </w:pPr>
            <w:r>
              <w:t>Original : français</w:t>
            </w:r>
          </w:p>
        </w:tc>
      </w:tr>
    </w:tbl>
    <w:p w14:paraId="3F809004" w14:textId="24227A62" w:rsidR="00564657" w:rsidRDefault="00564657" w:rsidP="00687317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28370B8" w14:textId="77777777" w:rsidR="00687317" w:rsidRDefault="00687317" w:rsidP="0068731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0787FE0A" w14:textId="77777777" w:rsidR="00687317" w:rsidRDefault="00687317" w:rsidP="0068731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07298C25" w14:textId="77777777" w:rsidR="00687317" w:rsidRDefault="00687317" w:rsidP="00687317">
      <w:pPr>
        <w:spacing w:before="120"/>
        <w:rPr>
          <w:b/>
          <w:bCs/>
        </w:rPr>
      </w:pPr>
      <w:r>
        <w:rPr>
          <w:b/>
          <w:bCs/>
          <w:lang w:val="fr-FR"/>
        </w:rPr>
        <w:t>Soixante-dix-neuvième</w:t>
      </w:r>
      <w:r>
        <w:rPr>
          <w:b/>
          <w:bCs/>
        </w:rPr>
        <w:t xml:space="preserve"> session</w:t>
      </w:r>
    </w:p>
    <w:p w14:paraId="5FF22EFD" w14:textId="77777777" w:rsidR="00687317" w:rsidRDefault="00687317" w:rsidP="00687317">
      <w:r>
        <w:t xml:space="preserve">Genève, </w:t>
      </w:r>
      <w:r>
        <w:rPr>
          <w:lang w:val="fr-FR"/>
        </w:rPr>
        <w:t>25–28 octobre 2022</w:t>
      </w:r>
    </w:p>
    <w:p w14:paraId="69017C66" w14:textId="37E84822" w:rsidR="00687317" w:rsidRPr="00B0068E" w:rsidRDefault="00687317" w:rsidP="00687317">
      <w:pPr>
        <w:pStyle w:val="Standard"/>
        <w:tabs>
          <w:tab w:val="center" w:pos="4819"/>
        </w:tabs>
        <w:overflowPunct w:val="0"/>
        <w:snapToGrid/>
      </w:pPr>
      <w:r w:rsidRPr="00B0068E">
        <w:rPr>
          <w:lang w:eastAsia="fr-FR"/>
        </w:rPr>
        <w:t xml:space="preserve">Point </w:t>
      </w:r>
      <w:r w:rsidR="00A26E0F" w:rsidRPr="00B0068E">
        <w:rPr>
          <w:lang w:eastAsia="fr-FR"/>
        </w:rPr>
        <w:t>5 a)</w:t>
      </w:r>
      <w:r w:rsidRPr="00B0068E">
        <w:rPr>
          <w:lang w:eastAsia="fr-FR"/>
        </w:rPr>
        <w:t xml:space="preserve"> de l’ordre du jour provisoire</w:t>
      </w:r>
    </w:p>
    <w:p w14:paraId="7085F2DD" w14:textId="77777777" w:rsidR="00687317" w:rsidRPr="00B0068E" w:rsidRDefault="00687317" w:rsidP="00687317">
      <w:pPr>
        <w:pStyle w:val="Standard"/>
        <w:rPr>
          <w:b/>
          <w:lang w:val="fr-FR"/>
        </w:rPr>
      </w:pPr>
      <w:r w:rsidRPr="00B0068E">
        <w:rPr>
          <w:b/>
          <w:lang w:val="fr-FR"/>
        </w:rPr>
        <w:t>Propositions d’amendements à l’ATP :</w:t>
      </w:r>
    </w:p>
    <w:p w14:paraId="59BDD093" w14:textId="3CC84B0A" w:rsidR="00687317" w:rsidRDefault="00A26E0F" w:rsidP="00A26E0F">
      <w:pPr>
        <w:rPr>
          <w:b/>
          <w:bCs/>
          <w:lang w:val="fr-FR"/>
        </w:rPr>
      </w:pPr>
      <w:r w:rsidRPr="00B0068E">
        <w:rPr>
          <w:b/>
          <w:bCs/>
          <w:lang w:val="fr-FR"/>
        </w:rPr>
        <w:t>propositions en suspens</w:t>
      </w:r>
    </w:p>
    <w:p w14:paraId="11C11925" w14:textId="17CEA8F2" w:rsidR="0071068B" w:rsidRPr="00F4604C" w:rsidRDefault="001E264E" w:rsidP="001E264E">
      <w:pPr>
        <w:pStyle w:val="HChG"/>
      </w:pPr>
      <w:r>
        <w:tab/>
      </w:r>
      <w:r>
        <w:tab/>
      </w:r>
      <w:r w:rsidR="0071068B" w:rsidRPr="001E264E">
        <w:t>Proposition</w:t>
      </w:r>
      <w:r w:rsidR="0071068B">
        <w:rPr>
          <w:lang w:val="fr-FR"/>
        </w:rPr>
        <w:t xml:space="preserve"> d’amendements au paragraphe 7.3.7</w:t>
      </w:r>
      <w:r w:rsidR="0071068B" w:rsidRPr="009D3460">
        <w:rPr>
          <w:lang w:val="fr-FR"/>
        </w:rPr>
        <w:t xml:space="preserve"> de l’appendice 2 de l’annexe 1</w:t>
      </w:r>
    </w:p>
    <w:p w14:paraId="37EE6B12" w14:textId="0A4C6B11" w:rsidR="0071068B" w:rsidRDefault="001E264E" w:rsidP="001E264E">
      <w:pPr>
        <w:pStyle w:val="H1G"/>
        <w:rPr>
          <w:rStyle w:val="Policepardfaut1"/>
          <w:lang w:val="fr-FR"/>
        </w:rPr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 w:rsidR="0071068B">
        <w:rPr>
          <w:rStyle w:val="Policepardfaut1"/>
          <w:lang w:val="fr-FR"/>
        </w:rPr>
        <w:t xml:space="preserve">Communication du </w:t>
      </w:r>
      <w:r w:rsidR="0071068B">
        <w:t>Gouvernement</w:t>
      </w:r>
      <w:r w:rsidR="0071068B">
        <w:rPr>
          <w:rStyle w:val="Policepardfaut1"/>
          <w:lang w:val="fr-FR"/>
        </w:rPr>
        <w:t xml:space="preserve"> de la </w:t>
      </w:r>
      <w:r>
        <w:rPr>
          <w:rStyle w:val="Policepardfaut1"/>
          <w:lang w:val="fr-FR"/>
        </w:rPr>
        <w:t>France</w:t>
      </w:r>
    </w:p>
    <w:p w14:paraId="5C6938E6" w14:textId="2B679CDC" w:rsidR="001E264E" w:rsidRPr="001E264E" w:rsidRDefault="001E264E" w:rsidP="001E264E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Révision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71068B" w14:paraId="023BBF9B" w14:textId="77777777" w:rsidTr="008E19B1">
        <w:trPr>
          <w:jc w:val="center"/>
        </w:trPr>
        <w:tc>
          <w:tcPr>
            <w:tcW w:w="9628" w:type="dxa"/>
            <w:tcBorders>
              <w:bottom w:val="nil"/>
            </w:tcBorders>
            <w:shd w:val="clear" w:color="auto" w:fill="auto"/>
          </w:tcPr>
          <w:p w14:paraId="508E6815" w14:textId="77777777" w:rsidR="0071068B" w:rsidRPr="00C6263E" w:rsidRDefault="0071068B" w:rsidP="008E19B1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71068B" w14:paraId="7B335244" w14:textId="77777777" w:rsidTr="008E19B1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9630" w:type="dxa"/>
              <w:jc w:val="center"/>
              <w:tblBorders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71068B" w14:paraId="28AE5394" w14:textId="77777777" w:rsidTr="008E19B1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493245D8" w14:textId="77777777" w:rsidR="0071068B" w:rsidRPr="00113F5D" w:rsidRDefault="0071068B" w:rsidP="0049253D">
                  <w:pPr>
                    <w:pStyle w:val="SingleTxtG"/>
                    <w:spacing w:before="120"/>
                    <w:ind w:left="2439" w:hanging="2268"/>
                  </w:pPr>
                  <w:r w:rsidRPr="00113F5D">
                    <w:rPr>
                      <w:b/>
                    </w:rPr>
                    <w:t>Résumé analytique </w:t>
                  </w:r>
                  <w:r w:rsidRPr="00113F5D">
                    <w:t>:</w:t>
                  </w:r>
                  <w:r w:rsidRPr="00113F5D">
                    <w:rPr>
                      <w:b/>
                    </w:rPr>
                    <w:tab/>
                  </w:r>
                  <w:r w:rsidRPr="0049253D">
                    <w:rPr>
                      <w:bCs/>
                    </w:rPr>
                    <w:t>Proposition visant à compléter le paragraphe 7.3.7 de l’appendice 2 de l’annexe 1 en y ajoutant une restriction d’utilisation de certains types de cloisons internes</w:t>
                  </w:r>
                </w:p>
              </w:tc>
            </w:tr>
            <w:tr w:rsidR="0071068B" w14:paraId="36DD9238" w14:textId="77777777" w:rsidTr="008E19B1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42C912A8" w14:textId="77777777" w:rsidR="0071068B" w:rsidRPr="00113F5D" w:rsidRDefault="0071068B" w:rsidP="0049253D">
                  <w:pPr>
                    <w:pStyle w:val="SingleTxtG"/>
                    <w:spacing w:before="120"/>
                    <w:ind w:left="2439" w:hanging="2258"/>
                  </w:pPr>
                  <w:r w:rsidRPr="00113F5D">
                    <w:rPr>
                      <w:b/>
                    </w:rPr>
                    <w:t>Mesure à prendre </w:t>
                  </w:r>
                  <w:r w:rsidRPr="00113F5D">
                    <w:t>:</w:t>
                  </w:r>
                  <w:r w:rsidRPr="00113F5D">
                    <w:rPr>
                      <w:b/>
                    </w:rPr>
                    <w:tab/>
                  </w:r>
                  <w:r w:rsidRPr="0049253D">
                    <w:rPr>
                      <w:bCs/>
                    </w:rPr>
                    <w:t>Compléter le paragraphe 7.3.7 de l’appendice 2 de l’annexe 1</w:t>
                  </w:r>
                </w:p>
              </w:tc>
            </w:tr>
            <w:tr w:rsidR="0071068B" w14:paraId="301460FF" w14:textId="77777777" w:rsidTr="008E19B1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6D3F4A5A" w14:textId="77777777" w:rsidR="0071068B" w:rsidRPr="00113F5D" w:rsidRDefault="0071068B" w:rsidP="0049253D">
                  <w:pPr>
                    <w:pStyle w:val="SingleTxtG"/>
                    <w:ind w:left="2407" w:hanging="2212"/>
                    <w:jc w:val="left"/>
                  </w:pPr>
                  <w:r w:rsidRPr="00113F5D">
                    <w:rPr>
                      <w:b/>
                    </w:rPr>
                    <w:t>Documents connexes </w:t>
                  </w:r>
                  <w:r w:rsidRPr="00113F5D">
                    <w:t>:</w:t>
                  </w:r>
                  <w:r w:rsidRPr="00113F5D">
                    <w:rPr>
                      <w:b/>
                    </w:rPr>
                    <w:tab/>
                  </w:r>
                  <w:r w:rsidRPr="00113F5D">
                    <w:t>Aucun.</w:t>
                  </w:r>
                </w:p>
              </w:tc>
            </w:tr>
          </w:tbl>
          <w:p w14:paraId="18D9EBAF" w14:textId="77777777" w:rsidR="0071068B" w:rsidRDefault="0071068B" w:rsidP="008E19B1"/>
        </w:tc>
      </w:tr>
    </w:tbl>
    <w:p w14:paraId="7AE7F5A8" w14:textId="77777777" w:rsidR="0071068B" w:rsidRDefault="0071068B" w:rsidP="0071068B">
      <w:pPr>
        <w:pStyle w:val="HChG"/>
        <w:ind w:left="709" w:firstLine="0"/>
      </w:pPr>
      <w:r>
        <w:t>Introduction</w:t>
      </w:r>
    </w:p>
    <w:p w14:paraId="2FC83115" w14:textId="40749E5F" w:rsidR="0071068B" w:rsidRDefault="0071068B" w:rsidP="0071068B">
      <w:pPr>
        <w:pStyle w:val="SingleTxtG"/>
        <w:tabs>
          <w:tab w:val="righ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  <w:t>L</w:t>
      </w:r>
      <w:r w:rsidRPr="00A91A78">
        <w:rPr>
          <w:rFonts w:eastAsia="Calibri"/>
          <w:lang w:eastAsia="en-US"/>
        </w:rPr>
        <w:t xml:space="preserve">e paragraphe 7.3.7 de l’appendice 2 de l’annexe 1 </w:t>
      </w:r>
      <w:r>
        <w:rPr>
          <w:rFonts w:eastAsia="Calibri"/>
          <w:lang w:eastAsia="en-US"/>
        </w:rPr>
        <w:t>évoque les déperditions thermiques des cloisons internes pour lesquelles seuls deux types sont représentés par les termes « Longitudinale » et « Transversale ».</w:t>
      </w:r>
    </w:p>
    <w:p w14:paraId="2E0FC0A1" w14:textId="54EC85DE" w:rsidR="0071068B" w:rsidRDefault="0071068B" w:rsidP="0071068B">
      <w:pPr>
        <w:pStyle w:val="SingleTxtG"/>
        <w:tabs>
          <w:tab w:val="righ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Les solutions technologiques proposées par les carrossiers constructeurs pour répondre aux besoins des transporteurs ne sont pas entièrement représentées au travers de ces termes, qui peuvent être sujet à interprétation.</w:t>
      </w:r>
    </w:p>
    <w:p w14:paraId="2D5DBDB3" w14:textId="178D3A7F" w:rsidR="0071068B" w:rsidRDefault="0071068B" w:rsidP="0071068B">
      <w:pPr>
        <w:pStyle w:val="SingleTxtG"/>
        <w:tabs>
          <w:tab w:val="righ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La présente proposition vise à introduire une caractérisation pour les cloisons mobiles utilisées dans le cadre du transport multi-température et de compléter l</w:t>
      </w:r>
      <w:r w:rsidRPr="00A91A78">
        <w:rPr>
          <w:rFonts w:eastAsia="Calibri"/>
          <w:lang w:eastAsia="en-US"/>
        </w:rPr>
        <w:t>e paragraphe 7.3.7 de l’appendice 2 de l’annexe 1</w:t>
      </w:r>
      <w:r>
        <w:rPr>
          <w:rFonts w:eastAsia="Calibri"/>
          <w:lang w:eastAsia="en-US"/>
        </w:rPr>
        <w:t xml:space="preserve"> en complément de la proposition </w:t>
      </w:r>
      <w:r w:rsidR="00FB5578">
        <w:rPr>
          <w:rFonts w:eastAsia="Calibri"/>
          <w:lang w:eastAsia="en-US"/>
        </w:rPr>
        <w:t>ECE/</w:t>
      </w:r>
      <w:r w:rsidR="001F5853">
        <w:rPr>
          <w:rFonts w:eastAsia="Calibri"/>
          <w:lang w:eastAsia="en-US"/>
        </w:rPr>
        <w:t>TRANS/</w:t>
      </w:r>
      <w:r w:rsidR="00FB5578">
        <w:rPr>
          <w:rFonts w:eastAsia="Calibri"/>
          <w:lang w:eastAsia="en-US"/>
        </w:rPr>
        <w:t>WP.11/</w:t>
      </w:r>
      <w:r>
        <w:rPr>
          <w:rFonts w:eastAsia="Calibri"/>
          <w:lang w:eastAsia="en-US"/>
        </w:rPr>
        <w:t>2022</w:t>
      </w:r>
      <w:r w:rsidR="001F5853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03.</w:t>
      </w:r>
    </w:p>
    <w:p w14:paraId="0043545F" w14:textId="77777777" w:rsidR="0071068B" w:rsidRDefault="0071068B" w:rsidP="0071068B">
      <w:pPr>
        <w:pStyle w:val="HChG"/>
      </w:pPr>
      <w:r>
        <w:rPr>
          <w:rFonts w:eastAsia="Calibri"/>
          <w:lang w:eastAsia="en-US"/>
        </w:rPr>
        <w:br w:type="page"/>
      </w:r>
      <w:r>
        <w:lastRenderedPageBreak/>
        <w:tab/>
        <w:t>I.</w:t>
      </w:r>
      <w:r>
        <w:tab/>
      </w:r>
      <w:r w:rsidRPr="005E5CCF">
        <w:t>Proposition</w:t>
      </w:r>
    </w:p>
    <w:p w14:paraId="320879E8" w14:textId="0ADB1F8C" w:rsidR="0071068B" w:rsidRDefault="0071068B" w:rsidP="0071068B">
      <w:pPr>
        <w:pStyle w:val="SingleTxtG"/>
        <w:tabs>
          <w:tab w:val="right" w:pos="851"/>
        </w:tabs>
        <w:rPr>
          <w:rFonts w:eastAsia="Calibri"/>
          <w:lang w:eastAsia="en-US"/>
        </w:rPr>
      </w:pPr>
      <w:r w:rsidRPr="000067B4">
        <w:rPr>
          <w:rFonts w:eastAsia="Calibri"/>
          <w:lang w:eastAsia="en-US"/>
        </w:rPr>
        <w:t>3.</w:t>
      </w:r>
      <w:r w:rsidRPr="000067B4">
        <w:rPr>
          <w:rFonts w:eastAsia="Calibri"/>
          <w:lang w:eastAsia="en-US"/>
        </w:rPr>
        <w:tab/>
      </w:r>
      <w:r w:rsidRPr="00AB4960">
        <w:rPr>
          <w:rFonts w:eastAsia="Calibri"/>
          <w:lang w:eastAsia="en-US"/>
        </w:rPr>
        <w:t>Introduire une notion de restriction au 7.3.7 de l’appendice 2 de l’annexe 1 :</w:t>
      </w:r>
    </w:p>
    <w:p w14:paraId="65827CC3" w14:textId="1985E20B" w:rsidR="007C5EE1" w:rsidRPr="00EB5FDA" w:rsidRDefault="00EB5FDA" w:rsidP="0071068B">
      <w:pPr>
        <w:pStyle w:val="SingleTxtG"/>
        <w:tabs>
          <w:tab w:val="right" w:pos="851"/>
        </w:tabs>
        <w:rPr>
          <w:rFonts w:eastAsia="Calibri"/>
          <w:b/>
          <w:bCs/>
          <w:lang w:eastAsia="en-US"/>
        </w:rPr>
      </w:pPr>
      <w:r w:rsidRPr="00EB5FDA">
        <w:rPr>
          <w:rFonts w:eastAsia="Calibri"/>
          <w:b/>
          <w:bCs/>
          <w:lang w:eastAsia="en-US"/>
        </w:rPr>
        <w:t>« </w:t>
      </w:r>
    </w:p>
    <w:p w14:paraId="0A39985F" w14:textId="5A5A57DF" w:rsidR="0071068B" w:rsidRPr="007C5EE1" w:rsidRDefault="000D1B00" w:rsidP="000F17BC">
      <w:pPr>
        <w:pStyle w:val="SingleTxtG"/>
        <w:tabs>
          <w:tab w:val="right" w:pos="851"/>
        </w:tabs>
        <w:rPr>
          <w:b/>
        </w:rPr>
      </w:pPr>
      <w:r w:rsidRPr="007C5EE1">
        <w:rPr>
          <w:b/>
          <w:w w:val="95"/>
        </w:rPr>
        <w:t>7.3.7</w:t>
      </w:r>
      <w:r w:rsidRPr="007C5EE1">
        <w:rPr>
          <w:b/>
          <w:w w:val="95"/>
        </w:rPr>
        <w:tab/>
      </w:r>
      <w:r w:rsidR="0071068B" w:rsidRPr="007C5EE1">
        <w:rPr>
          <w:rFonts w:eastAsia="Calibri"/>
          <w:b/>
          <w:lang w:eastAsia="en-US"/>
        </w:rPr>
        <w:t>Cloisons</w:t>
      </w:r>
      <w:r w:rsidR="0071068B" w:rsidRPr="007C5EE1">
        <w:rPr>
          <w:b/>
          <w:w w:val="95"/>
        </w:rPr>
        <w:t xml:space="preserve"> internes</w:t>
      </w:r>
    </w:p>
    <w:p w14:paraId="6730CEBA" w14:textId="77777777" w:rsidR="0071068B" w:rsidRPr="00113F5D" w:rsidRDefault="0071068B" w:rsidP="00B0123B">
      <w:pPr>
        <w:pStyle w:val="SingleTxtG"/>
        <w:tabs>
          <w:tab w:val="right" w:pos="851"/>
        </w:tabs>
        <w:ind w:left="1701"/>
        <w:rPr>
          <w:rFonts w:eastAsia="Calibri"/>
          <w:lang w:eastAsia="en-US"/>
        </w:rPr>
      </w:pPr>
      <w:r w:rsidRPr="00113F5D">
        <w:rPr>
          <w:rFonts w:eastAsia="Calibri"/>
          <w:lang w:eastAsia="en-US"/>
        </w:rPr>
        <w:t>Dans le cadre du transport multi-température, multi-compartiments, seules les cloisons fixes et isothermes et/ou cloisons mobiles et isothermes sont autorisées.</w:t>
      </w:r>
    </w:p>
    <w:p w14:paraId="5677AC68" w14:textId="77777777" w:rsidR="0071068B" w:rsidRPr="00113F5D" w:rsidRDefault="0071068B" w:rsidP="00B0123B">
      <w:pPr>
        <w:pStyle w:val="SingleTxtG"/>
        <w:tabs>
          <w:tab w:val="right" w:pos="851"/>
        </w:tabs>
        <w:ind w:left="1701"/>
        <w:rPr>
          <w:rFonts w:eastAsia="Calibri"/>
          <w:lang w:eastAsia="en-US"/>
        </w:rPr>
      </w:pPr>
      <w:r w:rsidRPr="00113F5D">
        <w:rPr>
          <w:rFonts w:eastAsia="Calibri"/>
          <w:lang w:eastAsia="en-US"/>
        </w:rPr>
        <w:t>De plus, ces cloisons doivent respecter les critères suivants.</w:t>
      </w:r>
    </w:p>
    <w:p w14:paraId="481DEEC4" w14:textId="77777777" w:rsidR="0071068B" w:rsidRPr="00827D2F" w:rsidRDefault="0071068B" w:rsidP="00B0123B">
      <w:pPr>
        <w:pStyle w:val="SingleTxtG"/>
        <w:tabs>
          <w:tab w:val="right" w:pos="851"/>
        </w:tabs>
        <w:ind w:left="1701"/>
        <w:rPr>
          <w:rFonts w:eastAsia="Calibri"/>
          <w:lang w:eastAsia="en-US"/>
        </w:rPr>
      </w:pPr>
      <w:r w:rsidRPr="00827D2F">
        <w:rPr>
          <w:rFonts w:eastAsia="Calibri"/>
          <w:lang w:eastAsia="en-US"/>
        </w:rPr>
        <w:t>Les déperditions thermiques par les cloisons internes doivent être calculées à l’aide des coefficients K du tableau ci-après.</w:t>
      </w:r>
    </w:p>
    <w:p w14:paraId="51693639" w14:textId="77777777" w:rsidR="0071068B" w:rsidRPr="007A1711" w:rsidRDefault="0071068B" w:rsidP="0071068B">
      <w:pPr>
        <w:pStyle w:val="Corpsdetexte"/>
        <w:spacing w:before="6"/>
        <w:rPr>
          <w:rFonts w:ascii="Times New Roman" w:hAnsi="Times New Roman" w:cs="Times New Roman"/>
          <w:i/>
          <w:sz w:val="10"/>
          <w:lang w:val="fr-CH"/>
        </w:rPr>
      </w:pPr>
    </w:p>
    <w:tbl>
      <w:tblPr>
        <w:tblStyle w:val="TableNormal1"/>
        <w:tblW w:w="7371" w:type="dxa"/>
        <w:tblInd w:w="1701" w:type="dxa"/>
        <w:tblLayout w:type="fixed"/>
        <w:tblLook w:val="01E0" w:firstRow="1" w:lastRow="1" w:firstColumn="1" w:lastColumn="1" w:noHBand="0" w:noVBand="0"/>
      </w:tblPr>
      <w:tblGrid>
        <w:gridCol w:w="3144"/>
        <w:gridCol w:w="1379"/>
        <w:gridCol w:w="1004"/>
        <w:gridCol w:w="112"/>
        <w:gridCol w:w="1732"/>
      </w:tblGrid>
      <w:tr w:rsidR="0048793F" w:rsidRPr="00A25638" w14:paraId="46D0A195" w14:textId="77777777" w:rsidTr="00C674D5">
        <w:trPr>
          <w:tblHeader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DB1EC9" w14:textId="77777777" w:rsidR="0048793F" w:rsidRPr="007A1711" w:rsidRDefault="0048793F" w:rsidP="00A25638">
            <w:pPr>
              <w:pStyle w:val="TableParagraph"/>
              <w:widowControl/>
              <w:spacing w:before="80" w:after="80" w:line="200" w:lineRule="exact"/>
              <w:jc w:val="left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E4D0F6" w14:textId="744675B6" w:rsidR="0048793F" w:rsidRPr="007A1711" w:rsidRDefault="0048793F" w:rsidP="00A25638">
            <w:pPr>
              <w:pStyle w:val="TableParagraph"/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  <w:r w:rsidRPr="007A1711">
              <w:rPr>
                <w:rFonts w:ascii="Times New Roman" w:hAnsi="Times New Roman" w:cs="Times New Roman"/>
                <w:i/>
                <w:sz w:val="16"/>
                <w:lang w:val="fr-CH"/>
              </w:rPr>
              <w:t>Coefficient K – [W/m².°C]</w:t>
            </w:r>
          </w:p>
        </w:tc>
        <w:tc>
          <w:tcPr>
            <w:tcW w:w="113" w:type="dxa"/>
            <w:tcBorders>
              <w:top w:val="single" w:sz="4" w:space="0" w:color="auto"/>
            </w:tcBorders>
          </w:tcPr>
          <w:p w14:paraId="458DB438" w14:textId="77777777" w:rsidR="0048793F" w:rsidRPr="00972F37" w:rsidRDefault="0048793F" w:rsidP="00A25638">
            <w:pPr>
              <w:pStyle w:val="TableParagraph"/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313BD1" w14:textId="0A1AE9F3" w:rsidR="0048793F" w:rsidRPr="00A25638" w:rsidRDefault="0048793F" w:rsidP="00A25638">
            <w:pPr>
              <w:pStyle w:val="TableParagraph"/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Epaisseur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minimale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  <w:t xml:space="preserve">de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l’isolant</w:t>
            </w:r>
            <w:proofErr w:type="spellEnd"/>
          </w:p>
        </w:tc>
      </w:tr>
      <w:tr w:rsidR="0048793F" w:rsidRPr="00A25638" w14:paraId="3231AECD" w14:textId="77777777" w:rsidTr="00C674D5">
        <w:trPr>
          <w:tblHeader/>
        </w:trPr>
        <w:tc>
          <w:tcPr>
            <w:tcW w:w="31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51FA01" w14:textId="77777777" w:rsidR="0048793F" w:rsidRPr="00A25638" w:rsidRDefault="0048793F" w:rsidP="00A25638">
            <w:pPr>
              <w:pStyle w:val="TableParagraph"/>
              <w:widowControl/>
              <w:spacing w:before="80" w:after="80" w:line="200" w:lineRule="exact"/>
              <w:jc w:val="left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FF0D545" w14:textId="77777777" w:rsidR="0048793F" w:rsidRPr="00A25638" w:rsidRDefault="0048793F" w:rsidP="00A25638">
            <w:pPr>
              <w:pStyle w:val="TableParagraph"/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A25638">
              <w:rPr>
                <w:rFonts w:ascii="Times New Roman" w:hAnsi="Times New Roman" w:cs="Times New Roman"/>
                <w:i/>
                <w:sz w:val="16"/>
              </w:rPr>
              <w:t>Fixe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532C142" w14:textId="77777777" w:rsidR="0048793F" w:rsidRPr="00A25638" w:rsidRDefault="0048793F" w:rsidP="00A25638">
            <w:pPr>
              <w:pStyle w:val="TableParagraph"/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A25638">
              <w:rPr>
                <w:rFonts w:ascii="Times New Roman" w:hAnsi="Times New Roman" w:cs="Times New Roman"/>
                <w:i/>
                <w:sz w:val="16"/>
              </w:rPr>
              <w:t>Mobile</w:t>
            </w:r>
          </w:p>
        </w:tc>
        <w:tc>
          <w:tcPr>
            <w:tcW w:w="113" w:type="dxa"/>
            <w:tcBorders>
              <w:bottom w:val="single" w:sz="12" w:space="0" w:color="auto"/>
            </w:tcBorders>
          </w:tcPr>
          <w:p w14:paraId="3D28BFAE" w14:textId="5D75B781" w:rsidR="0048793F" w:rsidRPr="00A25638" w:rsidRDefault="0048793F" w:rsidP="00A25638">
            <w:pPr>
              <w:pStyle w:val="TableParagraph"/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72CF14C" w14:textId="03570A09" w:rsidR="0048793F" w:rsidRPr="00A25638" w:rsidRDefault="0048793F" w:rsidP="00A25638">
            <w:pPr>
              <w:pStyle w:val="TableParagraph"/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A25638">
              <w:rPr>
                <w:rFonts w:ascii="Times New Roman" w:hAnsi="Times New Roman" w:cs="Times New Roman"/>
                <w:i/>
                <w:sz w:val="16"/>
              </w:rPr>
              <w:t>[mm]</w:t>
            </w:r>
          </w:p>
        </w:tc>
      </w:tr>
      <w:tr w:rsidR="0048793F" w:rsidRPr="00A25638" w14:paraId="35049B46" w14:textId="77777777" w:rsidTr="00C674D5">
        <w:tc>
          <w:tcPr>
            <w:tcW w:w="319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70BBF2C" w14:textId="77777777" w:rsidR="0048793F" w:rsidRPr="007A1711" w:rsidRDefault="0048793F" w:rsidP="00A25638">
            <w:pPr>
              <w:pStyle w:val="TableParagraph"/>
              <w:widowControl/>
              <w:spacing w:before="40" w:after="40" w:line="220" w:lineRule="exact"/>
              <w:jc w:val="left"/>
              <w:rPr>
                <w:rFonts w:ascii="Times New Roman" w:hAnsi="Times New Roman" w:cs="Times New Roman"/>
                <w:sz w:val="18"/>
                <w:lang w:val="fr-CH"/>
              </w:rPr>
            </w:pPr>
            <w:r w:rsidRPr="007A1711">
              <w:rPr>
                <w:rFonts w:ascii="Times New Roman" w:hAnsi="Times New Roman" w:cs="Times New Roman"/>
                <w:sz w:val="18"/>
                <w:lang w:val="fr-CH"/>
              </w:rPr>
              <w:t>Longitudinale – plancher alu</w:t>
            </w:r>
          </w:p>
          <w:p w14:paraId="58B1C683" w14:textId="77777777" w:rsidR="0048793F" w:rsidRPr="007A1711" w:rsidRDefault="0048793F" w:rsidP="00A25638">
            <w:pPr>
              <w:pStyle w:val="TableParagraph"/>
              <w:widowControl/>
              <w:spacing w:before="40" w:after="40" w:line="220" w:lineRule="exact"/>
              <w:jc w:val="left"/>
              <w:rPr>
                <w:rFonts w:ascii="Times New Roman" w:hAnsi="Times New Roman" w:cs="Times New Roman"/>
                <w:sz w:val="18"/>
                <w:lang w:val="fr-CH"/>
              </w:rPr>
            </w:pPr>
            <w:r w:rsidRPr="007A1711">
              <w:rPr>
                <w:rFonts w:ascii="Times New Roman" w:hAnsi="Times New Roman" w:cs="Times New Roman"/>
                <w:sz w:val="18"/>
                <w:lang w:val="fr-CH"/>
              </w:rPr>
              <w:t xml:space="preserve">Longitudinale – plancher </w:t>
            </w:r>
            <w:proofErr w:type="spellStart"/>
            <w:r w:rsidRPr="007A1711">
              <w:rPr>
                <w:rFonts w:ascii="Times New Roman" w:hAnsi="Times New Roman" w:cs="Times New Roman"/>
                <w:sz w:val="18"/>
                <w:lang w:val="fr-CH"/>
              </w:rPr>
              <w:t>comp</w:t>
            </w:r>
            <w:proofErr w:type="spellEnd"/>
            <w:r w:rsidRPr="007A1711">
              <w:rPr>
                <w:rFonts w:ascii="Times New Roman" w:hAnsi="Times New Roman" w:cs="Times New Roman"/>
                <w:sz w:val="18"/>
                <w:lang w:val="fr-CH"/>
              </w:rPr>
              <w:t>. verre-résine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7196D07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2.0</w:t>
            </w:r>
          </w:p>
          <w:p w14:paraId="65786C6C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1.5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7E464FE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3.0</w:t>
            </w:r>
          </w:p>
          <w:p w14:paraId="7003447B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2.0</w:t>
            </w:r>
          </w:p>
        </w:tc>
        <w:tc>
          <w:tcPr>
            <w:tcW w:w="113" w:type="dxa"/>
            <w:tcBorders>
              <w:top w:val="single" w:sz="12" w:space="0" w:color="auto"/>
            </w:tcBorders>
          </w:tcPr>
          <w:p w14:paraId="6637F306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8670537" w14:textId="3549AB28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25</w:t>
            </w:r>
          </w:p>
          <w:p w14:paraId="333FE36D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25</w:t>
            </w:r>
          </w:p>
        </w:tc>
      </w:tr>
      <w:tr w:rsidR="0048793F" w:rsidRPr="00A25638" w14:paraId="636466BA" w14:textId="77777777" w:rsidTr="00C674D5">
        <w:tc>
          <w:tcPr>
            <w:tcW w:w="319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CC59BA2" w14:textId="77777777" w:rsidR="0048793F" w:rsidRPr="007A1711" w:rsidRDefault="0048793F" w:rsidP="00A25638">
            <w:pPr>
              <w:pStyle w:val="TableParagraph"/>
              <w:widowControl/>
              <w:spacing w:before="40" w:after="40" w:line="220" w:lineRule="exact"/>
              <w:jc w:val="left"/>
              <w:rPr>
                <w:rFonts w:ascii="Times New Roman" w:hAnsi="Times New Roman" w:cs="Times New Roman"/>
                <w:sz w:val="18"/>
                <w:lang w:val="fr-CH"/>
              </w:rPr>
            </w:pPr>
            <w:r w:rsidRPr="007A1711">
              <w:rPr>
                <w:rFonts w:ascii="Times New Roman" w:hAnsi="Times New Roman" w:cs="Times New Roman"/>
                <w:sz w:val="18"/>
                <w:lang w:val="fr-CH"/>
              </w:rPr>
              <w:t>Transversal – plancher alu</w:t>
            </w:r>
          </w:p>
          <w:p w14:paraId="13F0491B" w14:textId="77777777" w:rsidR="0048793F" w:rsidRPr="007A1711" w:rsidRDefault="0048793F" w:rsidP="00A25638">
            <w:pPr>
              <w:pStyle w:val="TableParagraph"/>
              <w:widowControl/>
              <w:spacing w:before="40" w:after="40" w:line="220" w:lineRule="exact"/>
              <w:jc w:val="left"/>
              <w:rPr>
                <w:rFonts w:ascii="Times New Roman" w:hAnsi="Times New Roman" w:cs="Times New Roman"/>
                <w:sz w:val="18"/>
                <w:lang w:val="fr-CH"/>
              </w:rPr>
            </w:pPr>
            <w:r w:rsidRPr="007A1711">
              <w:rPr>
                <w:rFonts w:ascii="Times New Roman" w:hAnsi="Times New Roman" w:cs="Times New Roman"/>
                <w:sz w:val="18"/>
                <w:lang w:val="fr-CH"/>
              </w:rPr>
              <w:t xml:space="preserve">Transversale – plancher </w:t>
            </w:r>
            <w:proofErr w:type="spellStart"/>
            <w:r w:rsidRPr="007A1711">
              <w:rPr>
                <w:rFonts w:ascii="Times New Roman" w:hAnsi="Times New Roman" w:cs="Times New Roman"/>
                <w:sz w:val="18"/>
                <w:lang w:val="fr-CH"/>
              </w:rPr>
              <w:t>comp</w:t>
            </w:r>
            <w:proofErr w:type="spellEnd"/>
            <w:r w:rsidRPr="007A1711">
              <w:rPr>
                <w:rFonts w:ascii="Times New Roman" w:hAnsi="Times New Roman" w:cs="Times New Roman"/>
                <w:sz w:val="18"/>
                <w:lang w:val="fr-CH"/>
              </w:rPr>
              <w:t>. verre-résine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4314D94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2.0</w:t>
            </w:r>
          </w:p>
          <w:p w14:paraId="7279E627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1.5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97F59A2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3.2</w:t>
            </w:r>
          </w:p>
          <w:p w14:paraId="359E723F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2.6</w:t>
            </w:r>
          </w:p>
        </w:tc>
        <w:tc>
          <w:tcPr>
            <w:tcW w:w="113" w:type="dxa"/>
            <w:tcBorders>
              <w:bottom w:val="single" w:sz="12" w:space="0" w:color="auto"/>
            </w:tcBorders>
          </w:tcPr>
          <w:p w14:paraId="1B7BB0DB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A919EED" w14:textId="268A1CB2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40</w:t>
            </w:r>
          </w:p>
          <w:p w14:paraId="5F8A9AE0" w14:textId="77777777" w:rsidR="0048793F" w:rsidRPr="00A25638" w:rsidRDefault="0048793F" w:rsidP="00A25638">
            <w:pPr>
              <w:pStyle w:val="TableParagraph"/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A25638">
              <w:rPr>
                <w:rFonts w:ascii="Times New Roman" w:hAnsi="Times New Roman" w:cs="Times New Roman"/>
                <w:sz w:val="18"/>
              </w:rPr>
              <w:t>40</w:t>
            </w:r>
          </w:p>
        </w:tc>
      </w:tr>
    </w:tbl>
    <w:p w14:paraId="1DC5E83B" w14:textId="77777777" w:rsidR="0071068B" w:rsidRPr="00225E78" w:rsidRDefault="0071068B" w:rsidP="00B0123B">
      <w:pPr>
        <w:pStyle w:val="SingleTxtG"/>
        <w:tabs>
          <w:tab w:val="right" w:pos="851"/>
        </w:tabs>
        <w:spacing w:before="240"/>
        <w:ind w:left="1701"/>
        <w:rPr>
          <w:rFonts w:eastAsia="Calibri"/>
          <w:lang w:eastAsia="en-US"/>
        </w:rPr>
      </w:pPr>
      <w:r w:rsidRPr="00225E78">
        <w:rPr>
          <w:rFonts w:eastAsia="Calibri"/>
          <w:lang w:eastAsia="en-US"/>
        </w:rPr>
        <w:t>Pour le coefficient K des cloisons internes mobiles, il est tenu compte d’une marge de sécurité en raison du vieillissement et des inévitables déperditions thermiques.</w:t>
      </w:r>
    </w:p>
    <w:p w14:paraId="4C6AE02C" w14:textId="77777777" w:rsidR="0071068B" w:rsidRPr="00225E78" w:rsidRDefault="0071068B" w:rsidP="00B0123B">
      <w:pPr>
        <w:pStyle w:val="SingleTxtG"/>
        <w:tabs>
          <w:tab w:val="right" w:pos="851"/>
        </w:tabs>
        <w:ind w:left="1701"/>
        <w:rPr>
          <w:rFonts w:eastAsia="Calibri"/>
          <w:lang w:eastAsia="en-US"/>
        </w:rPr>
      </w:pPr>
      <w:r w:rsidRPr="00225E78">
        <w:rPr>
          <w:rFonts w:eastAsia="Calibri"/>
          <w:lang w:eastAsia="en-US"/>
        </w:rPr>
        <w:t>S’agissant des conceptions particulières pour lesquelles il existe une transmission thermique supérieure due à un plus grand nombre de ponts thermiques par rapport à une conception standard, il convient d’augmenter le coefficient K de la cloison.</w:t>
      </w:r>
    </w:p>
    <w:p w14:paraId="3B26CF6D" w14:textId="77777777" w:rsidR="0071068B" w:rsidRPr="007A1711" w:rsidRDefault="0071068B" w:rsidP="00B0123B">
      <w:pPr>
        <w:pStyle w:val="SingleTxtG"/>
        <w:tabs>
          <w:tab w:val="right" w:pos="851"/>
        </w:tabs>
        <w:ind w:left="1701"/>
        <w:rPr>
          <w:rFonts w:eastAsia="Calibri"/>
          <w:lang w:eastAsia="en-US"/>
        </w:rPr>
      </w:pPr>
      <w:r w:rsidRPr="007A1711">
        <w:rPr>
          <w:rFonts w:eastAsia="Calibri"/>
          <w:lang w:eastAsia="en-US"/>
        </w:rPr>
        <w:t>La ou les cloisons doivent être constituées d’un panneau sandwich et d’un parement solidaire du panneau.</w:t>
      </w:r>
    </w:p>
    <w:p w14:paraId="5AF06176" w14:textId="6027A657" w:rsidR="0071068B" w:rsidRPr="00225E78" w:rsidRDefault="0071068B" w:rsidP="00B0123B">
      <w:pPr>
        <w:pStyle w:val="SingleTxtG"/>
        <w:tabs>
          <w:tab w:val="right" w:pos="851"/>
        </w:tabs>
        <w:ind w:left="1701"/>
        <w:rPr>
          <w:rFonts w:eastAsia="Calibri"/>
          <w:lang w:eastAsia="en-US"/>
        </w:rPr>
      </w:pPr>
      <w:r w:rsidRPr="00113F5D">
        <w:rPr>
          <w:rFonts w:eastAsia="Calibri"/>
          <w:lang w:eastAsia="en-US"/>
        </w:rPr>
        <w:t>Dans le cas d’une cloison mobile, celle-ci doit être équipée d’un mécanisme de verrouillage permettant d’assurer le maintien en position verticale ou horizontale de celle-ci pendant toute la phase d’utilisation de l’engin.</w:t>
      </w:r>
      <w:r w:rsidR="004E60F9">
        <w:rPr>
          <w:rFonts w:eastAsia="Calibri"/>
          <w:lang w:eastAsia="en-US"/>
        </w:rPr>
        <w:t> ».</w:t>
      </w:r>
    </w:p>
    <w:p w14:paraId="52D7D60A" w14:textId="77777777" w:rsidR="0071068B" w:rsidRDefault="0071068B" w:rsidP="005D01B4">
      <w:pPr>
        <w:pStyle w:val="HChG"/>
      </w:pPr>
      <w:r w:rsidRPr="00113F5D">
        <w:tab/>
        <w:t>II.</w:t>
      </w:r>
      <w:r w:rsidRPr="00113F5D">
        <w:tab/>
        <w:t>Incidence</w:t>
      </w:r>
    </w:p>
    <w:tbl>
      <w:tblPr>
        <w:tblW w:w="0" w:type="auto"/>
        <w:tblInd w:w="11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668"/>
        <w:gridCol w:w="2285"/>
      </w:tblGrid>
      <w:tr w:rsidR="0071068B" w14:paraId="4604CC57" w14:textId="77777777" w:rsidTr="001C4367">
        <w:trPr>
          <w:gridAfter w:val="1"/>
          <w:wAfter w:w="2285" w:type="dxa"/>
          <w:trHeight w:val="90"/>
        </w:trPr>
        <w:tc>
          <w:tcPr>
            <w:tcW w:w="1668" w:type="dxa"/>
          </w:tcPr>
          <w:p w14:paraId="3D3B263C" w14:textId="77777777" w:rsidR="0071068B" w:rsidRDefault="0071068B" w:rsidP="001C4367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Coût : </w:t>
            </w:r>
          </w:p>
        </w:tc>
        <w:tc>
          <w:tcPr>
            <w:tcW w:w="3668" w:type="dxa"/>
          </w:tcPr>
          <w:p w14:paraId="21369527" w14:textId="77777777" w:rsidR="0071068B" w:rsidRDefault="0071068B" w:rsidP="008E19B1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incidence. </w:t>
            </w:r>
          </w:p>
        </w:tc>
      </w:tr>
      <w:tr w:rsidR="0071068B" w14:paraId="563D0898" w14:textId="77777777" w:rsidTr="001C4367">
        <w:trPr>
          <w:gridAfter w:val="1"/>
          <w:wAfter w:w="2285" w:type="dxa"/>
          <w:trHeight w:val="90"/>
        </w:trPr>
        <w:tc>
          <w:tcPr>
            <w:tcW w:w="1668" w:type="dxa"/>
          </w:tcPr>
          <w:p w14:paraId="411FF0E9" w14:textId="77777777" w:rsidR="0071068B" w:rsidRDefault="0071068B" w:rsidP="001C4367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Environnement : </w:t>
            </w:r>
          </w:p>
        </w:tc>
        <w:tc>
          <w:tcPr>
            <w:tcW w:w="3668" w:type="dxa"/>
          </w:tcPr>
          <w:p w14:paraId="0169E32E" w14:textId="77777777" w:rsidR="0071068B" w:rsidRDefault="0071068B" w:rsidP="008E19B1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incidence. </w:t>
            </w:r>
          </w:p>
        </w:tc>
      </w:tr>
      <w:tr w:rsidR="0071068B" w14:paraId="5D48420E" w14:textId="77777777" w:rsidTr="001C4367">
        <w:trPr>
          <w:trHeight w:val="210"/>
        </w:trPr>
        <w:tc>
          <w:tcPr>
            <w:tcW w:w="1668" w:type="dxa"/>
          </w:tcPr>
          <w:p w14:paraId="7E7F817D" w14:textId="77777777" w:rsidR="0071068B" w:rsidRDefault="0071068B" w:rsidP="001C4367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Faisabilité : </w:t>
            </w:r>
          </w:p>
        </w:tc>
        <w:tc>
          <w:tcPr>
            <w:tcW w:w="5953" w:type="dxa"/>
            <w:gridSpan w:val="2"/>
          </w:tcPr>
          <w:p w14:paraId="7C978EA5" w14:textId="1300267D" w:rsidR="0071068B" w:rsidRDefault="0071068B" w:rsidP="008E19B1">
            <w:pPr>
              <w:pStyle w:val="Default"/>
              <w:tabs>
                <w:tab w:val="right" w:pos="851"/>
              </w:tabs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L’amendement proposé peut aisément être introduit dans l’ATP. </w:t>
            </w:r>
            <w:r w:rsidR="001C436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Une période de transition d’un an est proposée.</w:t>
            </w:r>
          </w:p>
        </w:tc>
      </w:tr>
      <w:tr w:rsidR="0071068B" w14:paraId="73EE3817" w14:textId="77777777" w:rsidTr="001C4367">
        <w:trPr>
          <w:gridAfter w:val="1"/>
          <w:wAfter w:w="2285" w:type="dxa"/>
          <w:trHeight w:val="90"/>
        </w:trPr>
        <w:tc>
          <w:tcPr>
            <w:tcW w:w="1668" w:type="dxa"/>
          </w:tcPr>
          <w:p w14:paraId="381B0581" w14:textId="77777777" w:rsidR="0071068B" w:rsidRDefault="0071068B" w:rsidP="001C4367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Applicabilité : </w:t>
            </w:r>
          </w:p>
        </w:tc>
        <w:tc>
          <w:tcPr>
            <w:tcW w:w="3668" w:type="dxa"/>
          </w:tcPr>
          <w:p w14:paraId="7FAEE759" w14:textId="77777777" w:rsidR="0071068B" w:rsidRDefault="0071068B" w:rsidP="008E19B1">
            <w:pPr>
              <w:pStyle w:val="Default"/>
              <w:tabs>
                <w:tab w:val="right" w:pos="851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difficulté n’est à prévoir. </w:t>
            </w:r>
          </w:p>
        </w:tc>
      </w:tr>
    </w:tbl>
    <w:p w14:paraId="14EAC6D0" w14:textId="0A627A83" w:rsidR="0071068B" w:rsidRPr="000D0F4F" w:rsidRDefault="000D0F4F" w:rsidP="000D0F4F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1068B" w:rsidRPr="000D0F4F" w:rsidSect="0068731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A98F" w14:textId="77777777" w:rsidR="00EA0450" w:rsidRDefault="00EA0450" w:rsidP="00F95C08">
      <w:pPr>
        <w:spacing w:line="240" w:lineRule="auto"/>
      </w:pPr>
    </w:p>
  </w:endnote>
  <w:endnote w:type="continuationSeparator" w:id="0">
    <w:p w14:paraId="77F3CF0F" w14:textId="77777777" w:rsidR="00EA0450" w:rsidRPr="00AC3823" w:rsidRDefault="00EA0450" w:rsidP="00AC3823">
      <w:pPr>
        <w:pStyle w:val="Pieddepage"/>
      </w:pPr>
    </w:p>
  </w:endnote>
  <w:endnote w:type="continuationNotice" w:id="1">
    <w:p w14:paraId="5158CD47" w14:textId="77777777" w:rsidR="00EA0450" w:rsidRDefault="00EA04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608D" w14:textId="77777777" w:rsidR="00687317" w:rsidRPr="00687317" w:rsidRDefault="00687317" w:rsidP="00687317">
    <w:pPr>
      <w:pStyle w:val="Pieddepage"/>
      <w:tabs>
        <w:tab w:val="right" w:pos="9638"/>
      </w:tabs>
      <w:rPr>
        <w:sz w:val="18"/>
      </w:rPr>
    </w:pPr>
    <w:r w:rsidRPr="00687317">
      <w:rPr>
        <w:b/>
        <w:sz w:val="18"/>
      </w:rPr>
      <w:fldChar w:fldCharType="begin"/>
    </w:r>
    <w:r w:rsidRPr="00687317">
      <w:rPr>
        <w:b/>
        <w:sz w:val="18"/>
      </w:rPr>
      <w:instrText xml:space="preserve"> PAGE  \* MERGEFORMAT </w:instrText>
    </w:r>
    <w:r w:rsidRPr="00687317">
      <w:rPr>
        <w:b/>
        <w:sz w:val="18"/>
      </w:rPr>
      <w:fldChar w:fldCharType="separate"/>
    </w:r>
    <w:r w:rsidRPr="00687317">
      <w:rPr>
        <w:b/>
        <w:noProof/>
        <w:sz w:val="18"/>
      </w:rPr>
      <w:t>2</w:t>
    </w:r>
    <w:r w:rsidRPr="006873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97C1" w14:textId="77777777" w:rsidR="00687317" w:rsidRPr="00687317" w:rsidRDefault="00687317" w:rsidP="00687317">
    <w:pPr>
      <w:pStyle w:val="Pieddepage"/>
      <w:tabs>
        <w:tab w:val="right" w:pos="9638"/>
      </w:tabs>
      <w:rPr>
        <w:b/>
        <w:sz w:val="18"/>
      </w:rPr>
    </w:pPr>
    <w:r>
      <w:tab/>
    </w:r>
    <w:r w:rsidRPr="00687317">
      <w:rPr>
        <w:b/>
        <w:sz w:val="18"/>
      </w:rPr>
      <w:fldChar w:fldCharType="begin"/>
    </w:r>
    <w:r w:rsidRPr="00687317">
      <w:rPr>
        <w:b/>
        <w:sz w:val="18"/>
      </w:rPr>
      <w:instrText xml:space="preserve"> PAGE  \* MERGEFORMAT </w:instrText>
    </w:r>
    <w:r w:rsidRPr="00687317">
      <w:rPr>
        <w:b/>
        <w:sz w:val="18"/>
      </w:rPr>
      <w:fldChar w:fldCharType="separate"/>
    </w:r>
    <w:r w:rsidRPr="00687317">
      <w:rPr>
        <w:b/>
        <w:noProof/>
        <w:sz w:val="18"/>
      </w:rPr>
      <w:t>3</w:t>
    </w:r>
    <w:r w:rsidRPr="006873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8587" w14:textId="4A56CDD9" w:rsidR="000D3EE9" w:rsidRPr="00721117" w:rsidRDefault="00721117" w:rsidP="00721117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GE.22-12218  (F)</w:t>
    </w:r>
    <w:bookmarkStart w:id="0" w:name="_GoBack"/>
    <w:bookmarkEnd w:id="0"/>
    <w:r>
      <w:rPr>
        <w:sz w:val="20"/>
      </w:rPr>
      <w:tab/>
    </w:r>
    <w:r w:rsidRPr="00721117">
      <w:rPr>
        <w:noProof/>
        <w:sz w:val="20"/>
        <w:lang w:eastAsia="fr-CH"/>
      </w:rPr>
      <w:drawing>
        <wp:inline distT="0" distB="0" distL="0" distR="0" wp14:anchorId="5C1474DB" wp14:editId="17D3E6B4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021F67A8" wp14:editId="67CDDA24">
          <wp:extent cx="635635" cy="6356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35F5" w14:textId="77777777" w:rsidR="00EA0450" w:rsidRPr="00AC3823" w:rsidRDefault="00EA045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122FB5" w14:textId="77777777" w:rsidR="00EA0450" w:rsidRPr="00AC3823" w:rsidRDefault="00EA045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8A9589" w14:textId="77777777" w:rsidR="00EA0450" w:rsidRPr="00AC3823" w:rsidRDefault="00EA045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1FA5" w14:textId="77777777" w:rsidR="00687317" w:rsidRPr="00687317" w:rsidRDefault="00B535A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687317">
      <w:t>ECE/TRANS/WP.11/2022/5/Rev.1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A663" w14:textId="77777777" w:rsidR="00687317" w:rsidRPr="00687317" w:rsidRDefault="00B535A8" w:rsidP="00687317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87317">
      <w:t>ECE/TRANS/WP.11/2022/5/Rev.1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D5612"/>
    <w:multiLevelType w:val="multilevel"/>
    <w:tmpl w:val="1054A862"/>
    <w:lvl w:ilvl="0">
      <w:start w:val="7"/>
      <w:numFmt w:val="decimal"/>
      <w:lvlText w:val="%1"/>
      <w:lvlJc w:val="left"/>
      <w:pPr>
        <w:ind w:left="964" w:hanging="85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64" w:hanging="850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1560" w:hanging="850"/>
      </w:pPr>
      <w:rPr>
        <w:rFonts w:hint="default"/>
        <w:w w:val="97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417" w:hanging="454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7"/>
        <w:w w:val="72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135" w:hanging="4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0" w:hanging="4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5" w:hanging="4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0" w:hanging="4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5" w:hanging="454"/>
      </w:pPr>
      <w:rPr>
        <w:rFonts w:hint="default"/>
        <w:lang w:val="en-US" w:eastAsia="en-US" w:bidi="ar-SA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17"/>
    <w:rsid w:val="0001207F"/>
    <w:rsid w:val="00017F94"/>
    <w:rsid w:val="00023842"/>
    <w:rsid w:val="000334F9"/>
    <w:rsid w:val="000550AB"/>
    <w:rsid w:val="0007796D"/>
    <w:rsid w:val="000942EE"/>
    <w:rsid w:val="000A52BF"/>
    <w:rsid w:val="000B5DE8"/>
    <w:rsid w:val="000B7790"/>
    <w:rsid w:val="000D0F4F"/>
    <w:rsid w:val="000D1B00"/>
    <w:rsid w:val="000D3EE9"/>
    <w:rsid w:val="000D62F3"/>
    <w:rsid w:val="000F047D"/>
    <w:rsid w:val="000F17BC"/>
    <w:rsid w:val="00111F2F"/>
    <w:rsid w:val="00112BF5"/>
    <w:rsid w:val="001433FD"/>
    <w:rsid w:val="0014365E"/>
    <w:rsid w:val="00144106"/>
    <w:rsid w:val="001541D3"/>
    <w:rsid w:val="00176178"/>
    <w:rsid w:val="00193332"/>
    <w:rsid w:val="001966A5"/>
    <w:rsid w:val="001A064B"/>
    <w:rsid w:val="001C4367"/>
    <w:rsid w:val="001D400F"/>
    <w:rsid w:val="001E264E"/>
    <w:rsid w:val="001F525A"/>
    <w:rsid w:val="001F5853"/>
    <w:rsid w:val="00223272"/>
    <w:rsid w:val="00225E78"/>
    <w:rsid w:val="00236C88"/>
    <w:rsid w:val="00240333"/>
    <w:rsid w:val="0024779E"/>
    <w:rsid w:val="00260DCF"/>
    <w:rsid w:val="002832AC"/>
    <w:rsid w:val="002834A0"/>
    <w:rsid w:val="002D7C93"/>
    <w:rsid w:val="00310D06"/>
    <w:rsid w:val="00316407"/>
    <w:rsid w:val="00343829"/>
    <w:rsid w:val="0037241C"/>
    <w:rsid w:val="003D0D03"/>
    <w:rsid w:val="00441C3B"/>
    <w:rsid w:val="00443C91"/>
    <w:rsid w:val="00446B0A"/>
    <w:rsid w:val="00446FE5"/>
    <w:rsid w:val="00447983"/>
    <w:rsid w:val="00451129"/>
    <w:rsid w:val="00452396"/>
    <w:rsid w:val="004748E4"/>
    <w:rsid w:val="0048793F"/>
    <w:rsid w:val="0049253D"/>
    <w:rsid w:val="004D5661"/>
    <w:rsid w:val="004E468C"/>
    <w:rsid w:val="004E60F9"/>
    <w:rsid w:val="004F2920"/>
    <w:rsid w:val="005316B0"/>
    <w:rsid w:val="005505B7"/>
    <w:rsid w:val="00564657"/>
    <w:rsid w:val="00570D3D"/>
    <w:rsid w:val="00573BE5"/>
    <w:rsid w:val="00586ED3"/>
    <w:rsid w:val="00596AA9"/>
    <w:rsid w:val="005D01B4"/>
    <w:rsid w:val="005E6398"/>
    <w:rsid w:val="0061086F"/>
    <w:rsid w:val="00665B29"/>
    <w:rsid w:val="00687317"/>
    <w:rsid w:val="006E2F73"/>
    <w:rsid w:val="00703D0F"/>
    <w:rsid w:val="00706363"/>
    <w:rsid w:val="007078FA"/>
    <w:rsid w:val="0071068B"/>
    <w:rsid w:val="0071601D"/>
    <w:rsid w:val="00721117"/>
    <w:rsid w:val="00756743"/>
    <w:rsid w:val="007A1711"/>
    <w:rsid w:val="007A62E6"/>
    <w:rsid w:val="007A69B0"/>
    <w:rsid w:val="007C5EE1"/>
    <w:rsid w:val="0080684C"/>
    <w:rsid w:val="008204DA"/>
    <w:rsid w:val="00827D2F"/>
    <w:rsid w:val="0083123A"/>
    <w:rsid w:val="00837E00"/>
    <w:rsid w:val="0084322E"/>
    <w:rsid w:val="00871C75"/>
    <w:rsid w:val="008767E8"/>
    <w:rsid w:val="008776DC"/>
    <w:rsid w:val="00896BA2"/>
    <w:rsid w:val="00915979"/>
    <w:rsid w:val="00926A63"/>
    <w:rsid w:val="00943D7F"/>
    <w:rsid w:val="009705C8"/>
    <w:rsid w:val="00972F37"/>
    <w:rsid w:val="009954EF"/>
    <w:rsid w:val="009B72D4"/>
    <w:rsid w:val="009C1CF4"/>
    <w:rsid w:val="009F02C9"/>
    <w:rsid w:val="009F2B19"/>
    <w:rsid w:val="00A25638"/>
    <w:rsid w:val="00A26E0F"/>
    <w:rsid w:val="00A30353"/>
    <w:rsid w:val="00A42493"/>
    <w:rsid w:val="00A62D91"/>
    <w:rsid w:val="00A90D54"/>
    <w:rsid w:val="00AA113A"/>
    <w:rsid w:val="00AA7993"/>
    <w:rsid w:val="00AB1C77"/>
    <w:rsid w:val="00AC3823"/>
    <w:rsid w:val="00AE323C"/>
    <w:rsid w:val="00B00181"/>
    <w:rsid w:val="00B0068E"/>
    <w:rsid w:val="00B00B0D"/>
    <w:rsid w:val="00B0123B"/>
    <w:rsid w:val="00B07F65"/>
    <w:rsid w:val="00B121D2"/>
    <w:rsid w:val="00B30069"/>
    <w:rsid w:val="00B50E25"/>
    <w:rsid w:val="00B5114A"/>
    <w:rsid w:val="00B64918"/>
    <w:rsid w:val="00B765F7"/>
    <w:rsid w:val="00BA0CA9"/>
    <w:rsid w:val="00C02897"/>
    <w:rsid w:val="00C23298"/>
    <w:rsid w:val="00C674D5"/>
    <w:rsid w:val="00C7616F"/>
    <w:rsid w:val="00C76CE9"/>
    <w:rsid w:val="00CB16B5"/>
    <w:rsid w:val="00CE0608"/>
    <w:rsid w:val="00D21791"/>
    <w:rsid w:val="00D3439C"/>
    <w:rsid w:val="00D345B1"/>
    <w:rsid w:val="00D44369"/>
    <w:rsid w:val="00D44CF3"/>
    <w:rsid w:val="00D70306"/>
    <w:rsid w:val="00DA6C5E"/>
    <w:rsid w:val="00DB1831"/>
    <w:rsid w:val="00DD3BFD"/>
    <w:rsid w:val="00DF431C"/>
    <w:rsid w:val="00DF6678"/>
    <w:rsid w:val="00E20DA3"/>
    <w:rsid w:val="00E668A0"/>
    <w:rsid w:val="00E76CC6"/>
    <w:rsid w:val="00E939CE"/>
    <w:rsid w:val="00E94AB6"/>
    <w:rsid w:val="00EA0450"/>
    <w:rsid w:val="00EB5FDA"/>
    <w:rsid w:val="00EE5DD9"/>
    <w:rsid w:val="00EF243F"/>
    <w:rsid w:val="00EF2E22"/>
    <w:rsid w:val="00EF34E4"/>
    <w:rsid w:val="00F0592C"/>
    <w:rsid w:val="00F21A6A"/>
    <w:rsid w:val="00F43289"/>
    <w:rsid w:val="00F660DF"/>
    <w:rsid w:val="00F86755"/>
    <w:rsid w:val="00F95C08"/>
    <w:rsid w:val="00F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3BEC2F"/>
  <w15:docId w15:val="{7AAFA5CC-ADEB-422F-AD26-1380924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Standard">
    <w:name w:val="Standard"/>
    <w:rsid w:val="00687317"/>
    <w:pPr>
      <w:suppressAutoHyphens/>
      <w:autoSpaceDN w:val="0"/>
      <w:snapToGrid w:val="0"/>
      <w:spacing w:after="0" w:line="240" w:lineRule="atLeast"/>
    </w:pPr>
    <w:rPr>
      <w:kern w:val="3"/>
    </w:rPr>
  </w:style>
  <w:style w:type="character" w:customStyle="1" w:styleId="Policepardfaut1">
    <w:name w:val="Police par défaut1"/>
    <w:rsid w:val="0071068B"/>
  </w:style>
  <w:style w:type="paragraph" w:customStyle="1" w:styleId="Default">
    <w:name w:val="Default"/>
    <w:rsid w:val="007106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71068B"/>
    <w:pPr>
      <w:widowControl w:val="0"/>
      <w:suppressAutoHyphens w:val="0"/>
      <w:kinsoku/>
      <w:overflowPunct/>
      <w:adjustRightInd/>
      <w:snapToGrid/>
      <w:spacing w:line="240" w:lineRule="auto"/>
    </w:pPr>
    <w:rPr>
      <w:rFonts w:ascii="Trebuchet MS" w:eastAsia="Trebuchet MS" w:hAnsi="Trebuchet MS" w:cs="Trebuchet MS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1068B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1068B"/>
    <w:pPr>
      <w:widowControl w:val="0"/>
      <w:suppressAutoHyphens w:val="0"/>
      <w:kinsoku/>
      <w:overflowPunct/>
      <w:adjustRightInd/>
      <w:snapToGrid/>
      <w:spacing w:line="240" w:lineRule="auto"/>
      <w:jc w:val="center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71068B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C76C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6CE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CE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6C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69566-F185-4BBC-8199-CA102E62BFA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EA680C9F-A851-445F-BD3C-3CDD1FDFA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D5998-4CCF-4578-9FD5-95E8C69CB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2854</Characters>
  <Application>Microsoft Office Word</Application>
  <DocSecurity>0</DocSecurity>
  <Lines>101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ECE/TRANS/WP.11/2022/5/Rev.1</vt:lpstr>
      <vt:lpstr/>
    </vt:vector>
  </TitlesOfParts>
  <Company>DCM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ECE/TRANS/WP.11/2022/5/Rev.1</dc:title>
  <dc:subject>FINAL</dc:subject>
  <dc:creator>ND</dc:creator>
  <cp:keywords/>
  <dc:description/>
  <cp:lastModifiedBy>Nathalie Vittoz</cp:lastModifiedBy>
  <cp:revision>2</cp:revision>
  <cp:lastPrinted>2014-05-14T10:59:00Z</cp:lastPrinted>
  <dcterms:created xsi:type="dcterms:W3CDTF">2022-08-09T09:16:00Z</dcterms:created>
  <dcterms:modified xsi:type="dcterms:W3CDTF">2022-08-09T09:16:00Z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