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33AAFBB" w14:textId="77777777" w:rsidTr="00B20551">
        <w:trPr>
          <w:cantSplit/>
          <w:trHeight w:hRule="exact" w:val="851"/>
        </w:trPr>
        <w:tc>
          <w:tcPr>
            <w:tcW w:w="1276" w:type="dxa"/>
            <w:tcBorders>
              <w:bottom w:val="single" w:sz="4" w:space="0" w:color="auto"/>
            </w:tcBorders>
            <w:vAlign w:val="bottom"/>
          </w:tcPr>
          <w:p w14:paraId="623AC0FB" w14:textId="77777777" w:rsidR="009E6CB7" w:rsidRDefault="009E6CB7" w:rsidP="00B20551">
            <w:pPr>
              <w:spacing w:after="80"/>
            </w:pPr>
          </w:p>
        </w:tc>
        <w:tc>
          <w:tcPr>
            <w:tcW w:w="2268" w:type="dxa"/>
            <w:tcBorders>
              <w:bottom w:val="single" w:sz="4" w:space="0" w:color="auto"/>
            </w:tcBorders>
            <w:vAlign w:val="bottom"/>
          </w:tcPr>
          <w:p w14:paraId="030A3D1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D68860" w14:textId="107BBB5D" w:rsidR="009E6CB7" w:rsidRPr="00D47EEA" w:rsidRDefault="00B679C9" w:rsidP="00B679C9">
            <w:pPr>
              <w:jc w:val="right"/>
            </w:pPr>
            <w:r w:rsidRPr="00B679C9">
              <w:rPr>
                <w:sz w:val="40"/>
              </w:rPr>
              <w:t>ECE</w:t>
            </w:r>
            <w:r>
              <w:t>/TRANS/WP.11/2022/20</w:t>
            </w:r>
          </w:p>
        </w:tc>
      </w:tr>
      <w:tr w:rsidR="009E6CB7" w14:paraId="08BA4298" w14:textId="77777777" w:rsidTr="00B20551">
        <w:trPr>
          <w:cantSplit/>
          <w:trHeight w:hRule="exact" w:val="2835"/>
        </w:trPr>
        <w:tc>
          <w:tcPr>
            <w:tcW w:w="1276" w:type="dxa"/>
            <w:tcBorders>
              <w:top w:val="single" w:sz="4" w:space="0" w:color="auto"/>
              <w:bottom w:val="single" w:sz="12" w:space="0" w:color="auto"/>
            </w:tcBorders>
          </w:tcPr>
          <w:p w14:paraId="0D747626" w14:textId="77777777" w:rsidR="009E6CB7" w:rsidRDefault="00686A48" w:rsidP="00B20551">
            <w:pPr>
              <w:spacing w:before="120"/>
            </w:pPr>
            <w:r>
              <w:rPr>
                <w:noProof/>
                <w:lang w:val="fr-CH" w:eastAsia="fr-CH"/>
              </w:rPr>
              <w:drawing>
                <wp:inline distT="0" distB="0" distL="0" distR="0" wp14:anchorId="24F6E49C" wp14:editId="2EACF7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E541C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CDC3FFB" w14:textId="77777777" w:rsidR="009E6CB7" w:rsidRDefault="00B679C9" w:rsidP="00B679C9">
            <w:pPr>
              <w:spacing w:before="240" w:line="240" w:lineRule="exact"/>
            </w:pPr>
            <w:r>
              <w:t>Distr.: General</w:t>
            </w:r>
          </w:p>
          <w:p w14:paraId="0E5B662C" w14:textId="77777777" w:rsidR="00B679C9" w:rsidRDefault="00B679C9" w:rsidP="00B679C9">
            <w:pPr>
              <w:spacing w:line="240" w:lineRule="exact"/>
            </w:pPr>
            <w:r>
              <w:t>12 August 2022</w:t>
            </w:r>
          </w:p>
          <w:p w14:paraId="271A83A3" w14:textId="77777777" w:rsidR="00B679C9" w:rsidRDefault="00B679C9" w:rsidP="00B679C9">
            <w:pPr>
              <w:spacing w:line="240" w:lineRule="exact"/>
            </w:pPr>
          </w:p>
          <w:p w14:paraId="4119756A" w14:textId="3F38D271" w:rsidR="00B679C9" w:rsidRDefault="00B679C9" w:rsidP="00B679C9">
            <w:pPr>
              <w:spacing w:line="240" w:lineRule="exact"/>
            </w:pPr>
            <w:r>
              <w:t>Original: English</w:t>
            </w:r>
          </w:p>
        </w:tc>
      </w:tr>
    </w:tbl>
    <w:p w14:paraId="055DFDBE" w14:textId="5DB274C3" w:rsidR="00891A4B" w:rsidRDefault="00891A4B" w:rsidP="00B679C9">
      <w:pPr>
        <w:spacing w:before="120"/>
        <w:rPr>
          <w:b/>
          <w:sz w:val="28"/>
          <w:szCs w:val="28"/>
        </w:rPr>
      </w:pPr>
      <w:r w:rsidRPr="00AB134D">
        <w:rPr>
          <w:b/>
          <w:sz w:val="28"/>
          <w:szCs w:val="28"/>
        </w:rPr>
        <w:t>Economic Commission for Europe</w:t>
      </w:r>
    </w:p>
    <w:p w14:paraId="4E246E3E" w14:textId="77777777" w:rsidR="00144D5F" w:rsidRPr="009A15E8" w:rsidRDefault="00144D5F" w:rsidP="00144D5F">
      <w:pPr>
        <w:spacing w:before="120"/>
        <w:rPr>
          <w:sz w:val="28"/>
          <w:szCs w:val="28"/>
        </w:rPr>
      </w:pPr>
      <w:r w:rsidRPr="009A15E8">
        <w:rPr>
          <w:sz w:val="28"/>
          <w:szCs w:val="28"/>
        </w:rPr>
        <w:t>Inland Transport Committee</w:t>
      </w:r>
    </w:p>
    <w:p w14:paraId="66A61351" w14:textId="77777777" w:rsidR="00144D5F" w:rsidRPr="009A15E8" w:rsidRDefault="00144D5F" w:rsidP="00144D5F">
      <w:pPr>
        <w:spacing w:before="120"/>
        <w:rPr>
          <w:b/>
          <w:sz w:val="24"/>
          <w:szCs w:val="24"/>
        </w:rPr>
      </w:pPr>
      <w:r w:rsidRPr="009A15E8">
        <w:rPr>
          <w:b/>
          <w:sz w:val="24"/>
          <w:szCs w:val="24"/>
        </w:rPr>
        <w:t>Working Party on the Transport of Perishable Foodstuffs</w:t>
      </w:r>
    </w:p>
    <w:p w14:paraId="0C3FFF9E" w14:textId="77777777" w:rsidR="00144D5F" w:rsidRPr="009A15E8" w:rsidRDefault="00144D5F" w:rsidP="00144D5F">
      <w:pPr>
        <w:spacing w:before="120"/>
        <w:rPr>
          <w:b/>
        </w:rPr>
      </w:pPr>
      <w:r w:rsidRPr="009A15E8">
        <w:rPr>
          <w:b/>
          <w:bCs/>
        </w:rPr>
        <w:t>Seventy-</w:t>
      </w:r>
      <w:r>
        <w:rPr>
          <w:b/>
          <w:bCs/>
        </w:rPr>
        <w:t xml:space="preserve">ninth </w:t>
      </w:r>
      <w:r w:rsidRPr="009A15E8">
        <w:rPr>
          <w:b/>
        </w:rPr>
        <w:t>session</w:t>
      </w:r>
    </w:p>
    <w:p w14:paraId="0E3E072D" w14:textId="77777777" w:rsidR="00144D5F" w:rsidRPr="009A15E8" w:rsidRDefault="00144D5F" w:rsidP="00144D5F">
      <w:r w:rsidRPr="009A15E8">
        <w:t xml:space="preserve">Geneva, </w:t>
      </w:r>
      <w:r>
        <w:t>25</w:t>
      </w:r>
      <w:r w:rsidRPr="009A15E8">
        <w:t>-</w:t>
      </w:r>
      <w:r>
        <w:t xml:space="preserve">28 October </w:t>
      </w:r>
      <w:r w:rsidRPr="009A15E8">
        <w:t>20</w:t>
      </w:r>
      <w:r>
        <w:t>22</w:t>
      </w:r>
    </w:p>
    <w:p w14:paraId="7CA5F45A" w14:textId="77777777" w:rsidR="00144D5F" w:rsidRPr="009A15E8" w:rsidRDefault="00144D5F" w:rsidP="00144D5F">
      <w:r w:rsidRPr="009A15E8">
        <w:t xml:space="preserve">Item </w:t>
      </w:r>
      <w:r>
        <w:t>5 (b)</w:t>
      </w:r>
      <w:r w:rsidRPr="009A15E8">
        <w:t xml:space="preserve"> of the provisional agenda</w:t>
      </w:r>
    </w:p>
    <w:p w14:paraId="059C2AF1" w14:textId="77777777" w:rsidR="00144D5F" w:rsidRPr="00AE0BCB" w:rsidRDefault="00144D5F" w:rsidP="00144D5F">
      <w:pPr>
        <w:rPr>
          <w:b/>
          <w:bCs/>
        </w:rPr>
      </w:pPr>
      <w:r>
        <w:rPr>
          <w:b/>
          <w:bCs/>
        </w:rPr>
        <w:t>Proposals of amendments to ATP.</w:t>
      </w:r>
    </w:p>
    <w:p w14:paraId="532817F9" w14:textId="77777777" w:rsidR="00144D5F" w:rsidRDefault="00144D5F" w:rsidP="00144D5F">
      <w:pPr>
        <w:rPr>
          <w:b/>
          <w:bCs/>
        </w:rPr>
      </w:pPr>
      <w:r>
        <w:rPr>
          <w:b/>
          <w:bCs/>
        </w:rPr>
        <w:t>n</w:t>
      </w:r>
      <w:r w:rsidRPr="00B35FE7">
        <w:rPr>
          <w:b/>
          <w:bCs/>
        </w:rPr>
        <w:t>ew proposals</w:t>
      </w:r>
    </w:p>
    <w:p w14:paraId="196D1F13" w14:textId="76BC3A90" w:rsidR="00426018" w:rsidRPr="00CA4CA8" w:rsidRDefault="00426018" w:rsidP="00426018">
      <w:pPr>
        <w:pStyle w:val="HChG"/>
      </w:pPr>
      <w:r>
        <w:tab/>
      </w:r>
      <w:r>
        <w:tab/>
      </w:r>
      <w:r w:rsidRPr="00CA4CA8">
        <w:t>Amendments to the ATP</w:t>
      </w:r>
    </w:p>
    <w:p w14:paraId="21C1F8ED" w14:textId="6C23A57D" w:rsidR="004217C3" w:rsidRPr="00CA4CA8" w:rsidRDefault="004217C3" w:rsidP="004217C3">
      <w:pPr>
        <w:pStyle w:val="H1G"/>
      </w:pPr>
      <w:r>
        <w:tab/>
      </w:r>
      <w:r>
        <w:tab/>
      </w:r>
      <w:r w:rsidR="007F2AFA">
        <w:t xml:space="preserve">Transmitted </w:t>
      </w:r>
      <w:r w:rsidRPr="00CA4CA8">
        <w:t>by the Government of the Netherlands on behalf of the Informal Working Group</w:t>
      </w:r>
      <w:r>
        <w:t xml:space="preserve"> on the improvement of the approval system for equipment and appliances.</w:t>
      </w:r>
    </w:p>
    <w:p w14:paraId="179A16BD" w14:textId="6A427323" w:rsidR="008C13D0" w:rsidRPr="00CA4CA8" w:rsidRDefault="00574D8C" w:rsidP="00574D8C">
      <w:pPr>
        <w:pStyle w:val="HChG"/>
      </w:pPr>
      <w:r>
        <w:tab/>
      </w:r>
      <w:r>
        <w:tab/>
      </w:r>
      <w:r w:rsidR="008C13D0" w:rsidRPr="00CA4CA8">
        <w:t>Introduction</w:t>
      </w:r>
    </w:p>
    <w:p w14:paraId="0D671F6A" w14:textId="4EAD0BAF" w:rsidR="008C13D0" w:rsidRDefault="00574D8C" w:rsidP="00574D8C">
      <w:pPr>
        <w:pStyle w:val="SingleTxtG"/>
      </w:pPr>
      <w:r>
        <w:t>1.</w:t>
      </w:r>
      <w:r>
        <w:tab/>
      </w:r>
      <w:r w:rsidR="008C13D0" w:rsidRPr="00636AC7">
        <w:t xml:space="preserve">The informal Working Group </w:t>
      </w:r>
      <w:r w:rsidR="008C13D0">
        <w:t xml:space="preserve">(IWG) </w:t>
      </w:r>
      <w:r w:rsidR="008C13D0" w:rsidRPr="00636AC7">
        <w:t>met o</w:t>
      </w:r>
      <w:r w:rsidR="008C13D0">
        <w:t>n 4 occasions between May 2022 and 29</w:t>
      </w:r>
      <w:r w:rsidR="00F215DE">
        <w:t xml:space="preserve"> </w:t>
      </w:r>
      <w:r w:rsidR="008C13D0">
        <w:t xml:space="preserve">July 2022 (deadline for official documents for the October session of the </w:t>
      </w:r>
      <w:r w:rsidR="00665E7C" w:rsidRPr="00665E7C">
        <w:t>Working Party on the Transport of Perishable Foodstuffs</w:t>
      </w:r>
      <w:r w:rsidR="00394F20">
        <w:t xml:space="preserve"> (</w:t>
      </w:r>
      <w:r w:rsidR="008C13D0">
        <w:t>WP.11</w:t>
      </w:r>
      <w:r w:rsidR="00394F20">
        <w:t>)</w:t>
      </w:r>
      <w:r w:rsidR="008C13D0">
        <w:t>). All session were virtual and 20 experts were on the mailing list, participation was in different combinations of participants and numbers at the sessions.</w:t>
      </w:r>
      <w:r w:rsidR="008C13D0" w:rsidRPr="007A27A3">
        <w:t xml:space="preserve"> </w:t>
      </w:r>
      <w:r w:rsidR="008C13D0">
        <w:t xml:space="preserve">The sessions of the IWG will continue up to the October session of WP.11. </w:t>
      </w:r>
    </w:p>
    <w:p w14:paraId="482CD550" w14:textId="63674063" w:rsidR="008C13D0" w:rsidRDefault="0023495D" w:rsidP="00574D8C">
      <w:pPr>
        <w:pStyle w:val="SingleTxtG"/>
      </w:pPr>
      <w:r>
        <w:t>2.</w:t>
      </w:r>
      <w:r>
        <w:tab/>
      </w:r>
      <w:r w:rsidR="008C13D0">
        <w:t>The purpose of this document is to present proposals as far as consensus has been reached. Report of the sessions, and sessions to come up to the October session of WP.11 will follow as an informal document including possible amendments to the proposals as they develop further.</w:t>
      </w:r>
    </w:p>
    <w:p w14:paraId="7B00338D" w14:textId="29B9A7B2" w:rsidR="008C13D0" w:rsidRPr="00CA4CA8" w:rsidRDefault="0023495D" w:rsidP="0023495D">
      <w:pPr>
        <w:pStyle w:val="HChG"/>
      </w:pPr>
      <w:r>
        <w:tab/>
        <w:t>I.</w:t>
      </w:r>
      <w:r>
        <w:tab/>
      </w:r>
      <w:r w:rsidR="008C13D0" w:rsidRPr="00CA4CA8">
        <w:t>Proposals:</w:t>
      </w:r>
    </w:p>
    <w:p w14:paraId="51C6B217" w14:textId="3F8C34C6" w:rsidR="008C13D0" w:rsidRDefault="0023495D" w:rsidP="0023495D">
      <w:pPr>
        <w:pStyle w:val="H1G"/>
      </w:pPr>
      <w:r>
        <w:tab/>
      </w:r>
      <w:r>
        <w:tab/>
      </w:r>
      <w:r w:rsidR="008C13D0">
        <w:t>Proposal 1:</w:t>
      </w:r>
    </w:p>
    <w:p w14:paraId="4EAAFE96" w14:textId="005CE8F9" w:rsidR="008C13D0" w:rsidRDefault="00E9600E" w:rsidP="00D77184">
      <w:pPr>
        <w:pStyle w:val="SingleTxtG"/>
      </w:pPr>
      <w:r>
        <w:t>3.</w:t>
      </w:r>
      <w:r>
        <w:tab/>
      </w:r>
      <w:r w:rsidR="008C13D0">
        <w:t xml:space="preserve">Introduce two new definitions in Annex 1 section 7 to read: </w:t>
      </w:r>
    </w:p>
    <w:p w14:paraId="10F59F5B" w14:textId="5E39CF5D" w:rsidR="008C13D0" w:rsidRPr="007E61D8" w:rsidRDefault="001E5C33" w:rsidP="009815E7">
      <w:pPr>
        <w:pStyle w:val="SingleTxtG"/>
        <w:ind w:left="1701"/>
      </w:pPr>
      <w:r>
        <w:t>"</w:t>
      </w:r>
      <w:r w:rsidR="008C13D0" w:rsidRPr="009815E7">
        <w:rPr>
          <w:i/>
          <w:iCs/>
        </w:rPr>
        <w:t>Autonomy</w:t>
      </w:r>
      <w:r w:rsidR="008C13D0" w:rsidRPr="007E61D8">
        <w:t xml:space="preserve"> is the duration that the temperature in the equipment can be maintained without an external energy supply or power source or running of the vehicle’s engine or the movement of the vehicle.</w:t>
      </w:r>
      <w:r>
        <w:t>"</w:t>
      </w:r>
    </w:p>
    <w:p w14:paraId="39EF17E3" w14:textId="0B4B79A9" w:rsidR="008C13D0" w:rsidRPr="007E61D8" w:rsidRDefault="001E5C33" w:rsidP="009815E7">
      <w:pPr>
        <w:pStyle w:val="SingleTxtG"/>
        <w:ind w:left="1701"/>
      </w:pPr>
      <w:r>
        <w:t>"</w:t>
      </w:r>
      <w:r w:rsidR="008C13D0" w:rsidRPr="009815E7">
        <w:rPr>
          <w:i/>
          <w:iCs/>
        </w:rPr>
        <w:t>Independent</w:t>
      </w:r>
      <w:r w:rsidR="008C13D0" w:rsidRPr="007E61D8">
        <w:t xml:space="preserve"> means that the temperature in the equipment can be maintained regardless of the running of the vehicle engine or movement of the vehicle.</w:t>
      </w:r>
      <w:r>
        <w:t>"</w:t>
      </w:r>
      <w:r w:rsidR="008C13D0" w:rsidRPr="007E61D8">
        <w:t xml:space="preserve"> </w:t>
      </w:r>
    </w:p>
    <w:p w14:paraId="2474314A" w14:textId="47319137" w:rsidR="008C13D0" w:rsidRDefault="00D77184" w:rsidP="00D77184">
      <w:pPr>
        <w:pStyle w:val="H1G"/>
      </w:pPr>
      <w:r>
        <w:lastRenderedPageBreak/>
        <w:tab/>
      </w:r>
      <w:r>
        <w:tab/>
      </w:r>
      <w:r w:rsidR="008C13D0">
        <w:t>Justification</w:t>
      </w:r>
    </w:p>
    <w:p w14:paraId="1893A4D9" w14:textId="2133FD2A" w:rsidR="008C13D0" w:rsidRDefault="007E06B3" w:rsidP="00D77184">
      <w:pPr>
        <w:pStyle w:val="SingleTxtG"/>
      </w:pPr>
      <w:r>
        <w:t>4.</w:t>
      </w:r>
      <w:r>
        <w:tab/>
      </w:r>
      <w:r w:rsidR="008C13D0">
        <w:t xml:space="preserve">During discussions on document </w:t>
      </w:r>
      <w:r w:rsidR="00097A6B">
        <w:t>ECE/</w:t>
      </w:r>
      <w:r w:rsidR="0071584A">
        <w:t>TRANS/</w:t>
      </w:r>
      <w:r w:rsidR="00AB10A1">
        <w:t>WP.11/</w:t>
      </w:r>
      <w:r w:rsidR="008C13D0">
        <w:t>2020/1</w:t>
      </w:r>
      <w:r w:rsidR="0071584A">
        <w:t>/</w:t>
      </w:r>
      <w:r w:rsidR="008C13D0">
        <w:t xml:space="preserve">Rev2 and </w:t>
      </w:r>
      <w:r w:rsidR="000A653E">
        <w:t xml:space="preserve">informal </w:t>
      </w:r>
      <w:r w:rsidR="008C13D0">
        <w:t>documents INF</w:t>
      </w:r>
      <w:r w:rsidR="000A653E">
        <w:t>.</w:t>
      </w:r>
      <w:r w:rsidR="008C13D0">
        <w:t xml:space="preserve">4 </w:t>
      </w:r>
      <w:r w:rsidR="008C13D0" w:rsidRPr="002B0B26">
        <w:t>and INF</w:t>
      </w:r>
      <w:r w:rsidR="000A653E" w:rsidRPr="002B0B26">
        <w:t>.</w:t>
      </w:r>
      <w:r w:rsidR="008C13D0" w:rsidRPr="002B0B26">
        <w:t>5 (Part II)</w:t>
      </w:r>
      <w:r w:rsidR="000A653E" w:rsidRPr="002B0B26">
        <w:t xml:space="preserve"> of the </w:t>
      </w:r>
      <w:r w:rsidR="00D960C6">
        <w:t>seventy-eighth</w:t>
      </w:r>
      <w:r w:rsidR="00621B7F">
        <w:t xml:space="preserve"> session</w:t>
      </w:r>
      <w:r w:rsidR="008C13D0" w:rsidRPr="002B0B26">
        <w:t xml:space="preserve"> it was</w:t>
      </w:r>
      <w:r w:rsidR="008C13D0">
        <w:t xml:space="preserve"> recognized that the terms for autonomous in the French version of the ATP and independent in the English version did not cover the have the same meaning. After discussions in the IWG it was suggested to have two definitions in the French and English versions to overcome this problem.</w:t>
      </w:r>
    </w:p>
    <w:p w14:paraId="7327DED0" w14:textId="7F706F1C" w:rsidR="008C13D0" w:rsidRDefault="00D15360" w:rsidP="00D15360">
      <w:pPr>
        <w:pStyle w:val="H1G"/>
      </w:pPr>
      <w:r>
        <w:tab/>
      </w:r>
      <w:r>
        <w:tab/>
      </w:r>
      <w:r w:rsidR="008C13D0">
        <w:t xml:space="preserve">Proposal 2: </w:t>
      </w:r>
    </w:p>
    <w:p w14:paraId="5B9BC46D" w14:textId="48BEB643" w:rsidR="008C13D0" w:rsidRDefault="007E06B3" w:rsidP="00D15360">
      <w:pPr>
        <w:pStyle w:val="SingleTxtG"/>
      </w:pPr>
      <w:r>
        <w:t>5.</w:t>
      </w:r>
      <w:r>
        <w:tab/>
      </w:r>
      <w:r w:rsidR="008C13D0">
        <w:t>Add a new paragraph to subsection 4.3.1 (b) last paragraph of Annex 1, Appendix 2 to read:</w:t>
      </w:r>
    </w:p>
    <w:p w14:paraId="01CB74F9" w14:textId="3FCF9C99" w:rsidR="008C13D0" w:rsidRPr="007E06B3" w:rsidRDefault="001E5C33" w:rsidP="007E06B3">
      <w:pPr>
        <w:pStyle w:val="SingleTxtG"/>
        <w:ind w:left="1701"/>
      </w:pPr>
      <w:r>
        <w:t>"</w:t>
      </w:r>
      <w:r w:rsidR="008C13D0" w:rsidRPr="007E06B3">
        <w:t xml:space="preserve">If the compressor is driven by an auxiliary electrical power source, the test shall be carried out at the nominal electrical input parameter of the compressor as specified by the manufacturer. </w:t>
      </w:r>
      <w:r>
        <w:t>"</w:t>
      </w:r>
    </w:p>
    <w:p w14:paraId="75533318" w14:textId="43938CC4" w:rsidR="008C13D0" w:rsidRDefault="007E06B3" w:rsidP="007E06B3">
      <w:pPr>
        <w:pStyle w:val="H1G"/>
      </w:pPr>
      <w:r>
        <w:tab/>
      </w:r>
      <w:r>
        <w:tab/>
      </w:r>
      <w:r w:rsidR="008C13D0">
        <w:t>Justification</w:t>
      </w:r>
    </w:p>
    <w:p w14:paraId="13DC1A3B" w14:textId="7DBD96B7" w:rsidR="008C13D0" w:rsidRDefault="007E06B3" w:rsidP="00D15360">
      <w:pPr>
        <w:pStyle w:val="SingleTxtG"/>
      </w:pPr>
      <w:r>
        <w:t>6.</w:t>
      </w:r>
      <w:r>
        <w:tab/>
      </w:r>
      <w:r w:rsidR="008C13D0">
        <w:t>This amendment will improve the reading of this subsection for units with electric drive only.</w:t>
      </w:r>
    </w:p>
    <w:p w14:paraId="7DE7133C" w14:textId="62286CCA" w:rsidR="008C13D0" w:rsidRDefault="00D15360" w:rsidP="00D15360">
      <w:pPr>
        <w:pStyle w:val="H1G"/>
      </w:pPr>
      <w:r>
        <w:tab/>
      </w:r>
      <w:r>
        <w:tab/>
      </w:r>
      <w:r w:rsidR="008C13D0">
        <w:t>Proposal 3: (English version only)</w:t>
      </w:r>
    </w:p>
    <w:p w14:paraId="24D9E1C7" w14:textId="26771CEF" w:rsidR="008C13D0" w:rsidRDefault="007E06B3" w:rsidP="00D15360">
      <w:pPr>
        <w:pStyle w:val="SingleTxtG"/>
      </w:pPr>
      <w:r>
        <w:t>7.</w:t>
      </w:r>
      <w:r>
        <w:tab/>
      </w:r>
      <w:r w:rsidR="008C13D0">
        <w:t>In Annex 1 Appendix 2 section 7.3.3 (4 times), 7.3.4 (4 times) 7.3.5 (1 time) and 7.3.6 (2 times)</w:t>
      </w:r>
      <w:r w:rsidR="00754BF7">
        <w:t xml:space="preserve"> and in</w:t>
      </w:r>
      <w:r w:rsidR="008C13D0">
        <w:t xml:space="preserve"> Model 14 (2 times) replace the word </w:t>
      </w:r>
      <w:r w:rsidR="001E5C33">
        <w:t>"</w:t>
      </w:r>
      <w:r w:rsidR="008C13D0">
        <w:t>bulkheads</w:t>
      </w:r>
      <w:r w:rsidR="001E5C33">
        <w:t>"</w:t>
      </w:r>
      <w:r w:rsidR="008C13D0">
        <w:t xml:space="preserve"> by </w:t>
      </w:r>
      <w:r w:rsidR="001E5C33">
        <w:t>"</w:t>
      </w:r>
      <w:r w:rsidR="008C13D0">
        <w:t>dividing walls</w:t>
      </w:r>
      <w:r w:rsidR="001E5C33">
        <w:t>"</w:t>
      </w:r>
      <w:r w:rsidR="008C13D0">
        <w:t>.</w:t>
      </w:r>
    </w:p>
    <w:p w14:paraId="7B1BB7F8" w14:textId="77777777" w:rsidR="008A3B84" w:rsidRDefault="007E06B3" w:rsidP="007E06B3">
      <w:pPr>
        <w:pStyle w:val="SingleTxtG"/>
      </w:pPr>
      <w:r>
        <w:t>8.</w:t>
      </w:r>
      <w:r>
        <w:tab/>
      </w:r>
      <w:r w:rsidR="008C13D0">
        <w:t>In Annex 1 Appendix 2 section 7.3.1 (1 time), 7.3.7 (2 times heading and text) amend to read:</w:t>
      </w:r>
    </w:p>
    <w:p w14:paraId="78269092" w14:textId="3BB7495F" w:rsidR="008C13D0" w:rsidRPr="007E06B3" w:rsidRDefault="007E06B3" w:rsidP="007E06B3">
      <w:pPr>
        <w:pStyle w:val="SingleTxtG"/>
      </w:pPr>
      <w:r>
        <w:t xml:space="preserve"> </w:t>
      </w:r>
      <w:r w:rsidR="001E5C33">
        <w:t>"</w:t>
      </w:r>
      <w:r w:rsidR="008C13D0" w:rsidRPr="007E06B3">
        <w:t xml:space="preserve"> internal dividing walls</w:t>
      </w:r>
      <w:r w:rsidR="001E5C33">
        <w:t>"</w:t>
      </w:r>
      <w:r w:rsidR="008C13D0" w:rsidRPr="007E06B3">
        <w:t xml:space="preserve"> by </w:t>
      </w:r>
      <w:r w:rsidR="001E5C33">
        <w:t>"</w:t>
      </w:r>
      <w:r w:rsidR="008C13D0" w:rsidRPr="007E06B3">
        <w:t>dividing walls</w:t>
      </w:r>
      <w:r w:rsidR="001E5C33">
        <w:t>"</w:t>
      </w:r>
      <w:r>
        <w:t>.</w:t>
      </w:r>
      <w:r w:rsidR="008C13D0" w:rsidRPr="007E06B3">
        <w:t xml:space="preserve"> </w:t>
      </w:r>
    </w:p>
    <w:p w14:paraId="7A853BE1" w14:textId="68875814" w:rsidR="008C13D0" w:rsidRPr="00257BD7" w:rsidRDefault="006F48B1" w:rsidP="00D15360">
      <w:pPr>
        <w:pStyle w:val="SingleTxtG"/>
      </w:pPr>
      <w:r>
        <w:t>9.</w:t>
      </w:r>
      <w:r>
        <w:tab/>
      </w:r>
      <w:r w:rsidR="008C13D0">
        <w:t xml:space="preserve">In the ATP handbook in Annex 1 Appendix 2 in section 1.2 in the table of </w:t>
      </w:r>
      <w:r w:rsidR="001E5C33">
        <w:t>"</w:t>
      </w:r>
      <w:r w:rsidR="008C13D0">
        <w:t>Method</w:t>
      </w:r>
      <w:r>
        <w:t> </w:t>
      </w:r>
      <w:r w:rsidR="008C13D0">
        <w:t>A</w:t>
      </w:r>
      <w:r w:rsidR="001E5C33">
        <w:t>"</w:t>
      </w:r>
      <w:r w:rsidR="008C13D0">
        <w:t xml:space="preserve"> replace the word </w:t>
      </w:r>
      <w:r w:rsidR="001E5C33">
        <w:t>"</w:t>
      </w:r>
      <w:r w:rsidR="008C13D0">
        <w:t>Bulkhead</w:t>
      </w:r>
      <w:r w:rsidR="001E5C33">
        <w:t>"</w:t>
      </w:r>
      <w:r w:rsidR="008C13D0">
        <w:t xml:space="preserve"> by </w:t>
      </w:r>
      <w:r w:rsidR="001E5C33">
        <w:t>"</w:t>
      </w:r>
      <w:r w:rsidR="008C13D0">
        <w:t>dividing wall</w:t>
      </w:r>
      <w:r w:rsidR="001E5C33">
        <w:t>"</w:t>
      </w:r>
      <w:r w:rsidR="008C13D0">
        <w:t>.</w:t>
      </w:r>
    </w:p>
    <w:p w14:paraId="645716E7" w14:textId="60F4674C" w:rsidR="008C13D0" w:rsidRDefault="00D15360" w:rsidP="00D15360">
      <w:pPr>
        <w:pStyle w:val="H1G"/>
      </w:pPr>
      <w:r>
        <w:tab/>
      </w:r>
      <w:r>
        <w:tab/>
      </w:r>
      <w:r w:rsidR="008C13D0">
        <w:t>Justification</w:t>
      </w:r>
    </w:p>
    <w:p w14:paraId="7C1698F8" w14:textId="4C47715A" w:rsidR="008C13D0" w:rsidRDefault="000E0EDF" w:rsidP="00D15360">
      <w:pPr>
        <w:pStyle w:val="SingleTxtG"/>
      </w:pPr>
      <w:r>
        <w:t>10.</w:t>
      </w:r>
      <w:r>
        <w:tab/>
      </w:r>
      <w:r w:rsidR="008C13D0">
        <w:t xml:space="preserve">Bulkheads, internal dividing walls and dividing walls are used in the English version of the ATP for the same item. Bulkheads have the meaning of front end of a body rather than longitudinal and transverse internal walls. To make the English version of the ATP consistent it is proposed to change the wording used. However in 1.2.1 the word </w:t>
      </w:r>
      <w:r w:rsidR="001E5C33">
        <w:t>"</w:t>
      </w:r>
      <w:r w:rsidR="008C13D0">
        <w:t>Bulkhead</w:t>
      </w:r>
      <w:r w:rsidR="001E5C33">
        <w:t>"</w:t>
      </w:r>
      <w:r w:rsidR="008C13D0">
        <w:t xml:space="preserve"> is used for the correct part of the insulated body.</w:t>
      </w:r>
    </w:p>
    <w:p w14:paraId="09F7685E" w14:textId="7503F448" w:rsidR="008C13D0" w:rsidRDefault="00D15360" w:rsidP="00D15360">
      <w:pPr>
        <w:pStyle w:val="H1G"/>
      </w:pPr>
      <w:r>
        <w:tab/>
      </w:r>
      <w:r>
        <w:tab/>
      </w:r>
      <w:r w:rsidR="008C13D0">
        <w:t>Proposal 4: (French version only)</w:t>
      </w:r>
    </w:p>
    <w:p w14:paraId="736BA4CE" w14:textId="19692562" w:rsidR="008C13D0" w:rsidRDefault="000E0EDF" w:rsidP="00D15360">
      <w:pPr>
        <w:pStyle w:val="SingleTxtG"/>
      </w:pPr>
      <w:r>
        <w:t>11.</w:t>
      </w:r>
      <w:r>
        <w:tab/>
      </w:r>
      <w:r w:rsidR="008C13D0">
        <w:t xml:space="preserve">In Annex 1 Appendix 2 section 7.3.1 (1 time), 7.3.3 (1 time), 7.3.4 (1 time), 7.3.5 (1 time), 7.3.6 (1 time) 7.3.7 (3 times) </w:t>
      </w:r>
      <w:r w:rsidR="00F8690D">
        <w:t xml:space="preserve">and in </w:t>
      </w:r>
      <w:r w:rsidR="008C13D0">
        <w:t>Model 14 (1 time) amend to read:</w:t>
      </w:r>
    </w:p>
    <w:p w14:paraId="039E57B2" w14:textId="37B36DDF" w:rsidR="008C13D0" w:rsidRPr="00E3444F" w:rsidRDefault="001E5C33" w:rsidP="00D15360">
      <w:pPr>
        <w:pStyle w:val="SingleTxtG"/>
      </w:pPr>
      <w:r>
        <w:t>"</w:t>
      </w:r>
      <w:r w:rsidR="008C13D0" w:rsidRPr="00E3444F">
        <w:rPr>
          <w:i/>
          <w:iCs/>
        </w:rPr>
        <w:t xml:space="preserve">Cloisons </w:t>
      </w:r>
      <w:r w:rsidR="00794EDC">
        <w:rPr>
          <w:i/>
          <w:iCs/>
        </w:rPr>
        <w:t>internes</w:t>
      </w:r>
      <w:r>
        <w:t>"</w:t>
      </w:r>
      <w:r w:rsidR="008C13D0" w:rsidRPr="00E3444F">
        <w:t xml:space="preserve"> by </w:t>
      </w:r>
      <w:r>
        <w:t>"</w:t>
      </w:r>
      <w:r w:rsidR="008C13D0" w:rsidRPr="00E3444F">
        <w:rPr>
          <w:i/>
          <w:iCs/>
        </w:rPr>
        <w:t>Cloisons</w:t>
      </w:r>
      <w:r>
        <w:t>"</w:t>
      </w:r>
      <w:r w:rsidR="00042D08" w:rsidRPr="00E3444F">
        <w:t>.</w:t>
      </w:r>
    </w:p>
    <w:p w14:paraId="6C96E7A8" w14:textId="52192FD2" w:rsidR="008C13D0" w:rsidRPr="00BD3156" w:rsidRDefault="00D15360" w:rsidP="00D15360">
      <w:pPr>
        <w:pStyle w:val="H1G"/>
      </w:pPr>
      <w:r>
        <w:tab/>
      </w:r>
      <w:r>
        <w:tab/>
      </w:r>
      <w:r w:rsidR="008C13D0" w:rsidRPr="00BD3156">
        <w:t>Justification</w:t>
      </w:r>
    </w:p>
    <w:p w14:paraId="7442075F" w14:textId="76313E6D" w:rsidR="008C13D0" w:rsidRDefault="00447E8B" w:rsidP="00D15360">
      <w:pPr>
        <w:pStyle w:val="SingleTxtG"/>
      </w:pPr>
      <w:r>
        <w:t>12.</w:t>
      </w:r>
      <w:r>
        <w:tab/>
      </w:r>
      <w:r w:rsidR="008C13D0">
        <w:t xml:space="preserve">The word </w:t>
      </w:r>
      <w:r w:rsidR="001E5C33">
        <w:t>"</w:t>
      </w:r>
      <w:r w:rsidR="008C13D0" w:rsidRPr="00447E8B">
        <w:rPr>
          <w:i/>
          <w:iCs/>
        </w:rPr>
        <w:t>Cloison</w:t>
      </w:r>
      <w:r w:rsidR="001E5C33">
        <w:rPr>
          <w:i/>
          <w:iCs/>
        </w:rPr>
        <w:t>"</w:t>
      </w:r>
      <w:r w:rsidR="008C13D0">
        <w:t xml:space="preserve"> has in itself the meaning of a wall dividing a space in two parts. In such it was felt that the </w:t>
      </w:r>
      <w:r w:rsidR="001E5C33">
        <w:t>"</w:t>
      </w:r>
      <w:r w:rsidR="008C13D0" w:rsidRPr="0071584A">
        <w:rPr>
          <w:i/>
          <w:iCs/>
        </w:rPr>
        <w:t>Internes</w:t>
      </w:r>
      <w:r w:rsidR="001E5C33">
        <w:t>"</w:t>
      </w:r>
      <w:r w:rsidR="008C13D0">
        <w:t xml:space="preserve"> is superfluous.</w:t>
      </w:r>
    </w:p>
    <w:p w14:paraId="23AA0F94" w14:textId="37518B1F" w:rsidR="00144D5F" w:rsidRPr="00D15360" w:rsidRDefault="00D15360" w:rsidP="00D15360">
      <w:pPr>
        <w:spacing w:before="240"/>
        <w:jc w:val="center"/>
        <w:rPr>
          <w:u w:val="single"/>
        </w:rPr>
      </w:pPr>
      <w:r>
        <w:rPr>
          <w:u w:val="single"/>
        </w:rPr>
        <w:tab/>
      </w:r>
      <w:r>
        <w:rPr>
          <w:u w:val="single"/>
        </w:rPr>
        <w:tab/>
      </w:r>
      <w:r>
        <w:rPr>
          <w:u w:val="single"/>
        </w:rPr>
        <w:tab/>
      </w:r>
    </w:p>
    <w:sectPr w:rsidR="00144D5F" w:rsidRPr="00D15360" w:rsidSect="00B679C9">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B68EF" w14:textId="77777777" w:rsidR="001D41A8" w:rsidRDefault="001D41A8"/>
  </w:endnote>
  <w:endnote w:type="continuationSeparator" w:id="0">
    <w:p w14:paraId="3F223B02" w14:textId="77777777" w:rsidR="001D41A8" w:rsidRDefault="001D41A8"/>
  </w:endnote>
  <w:endnote w:type="continuationNotice" w:id="1">
    <w:p w14:paraId="3DBABBD5" w14:textId="77777777" w:rsidR="001D41A8" w:rsidRDefault="001D4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88AB" w14:textId="62D70B5D" w:rsidR="00B679C9" w:rsidRPr="00B679C9" w:rsidRDefault="00B679C9" w:rsidP="00B679C9">
    <w:pPr>
      <w:pStyle w:val="Footer"/>
      <w:tabs>
        <w:tab w:val="right" w:pos="9638"/>
      </w:tabs>
      <w:rPr>
        <w:sz w:val="18"/>
      </w:rPr>
    </w:pPr>
    <w:r w:rsidRPr="00B679C9">
      <w:rPr>
        <w:b/>
        <w:sz w:val="18"/>
      </w:rPr>
      <w:fldChar w:fldCharType="begin"/>
    </w:r>
    <w:r w:rsidRPr="00B679C9">
      <w:rPr>
        <w:b/>
        <w:sz w:val="18"/>
      </w:rPr>
      <w:instrText xml:space="preserve"> PAGE  \* MERGEFORMAT </w:instrText>
    </w:r>
    <w:r w:rsidRPr="00B679C9">
      <w:rPr>
        <w:b/>
        <w:sz w:val="18"/>
      </w:rPr>
      <w:fldChar w:fldCharType="separate"/>
    </w:r>
    <w:r w:rsidRPr="00B679C9">
      <w:rPr>
        <w:b/>
        <w:noProof/>
        <w:sz w:val="18"/>
      </w:rPr>
      <w:t>2</w:t>
    </w:r>
    <w:r w:rsidRPr="00B679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3E4C" w14:textId="4548DB1B" w:rsidR="00B679C9" w:rsidRPr="00B679C9" w:rsidRDefault="00B679C9" w:rsidP="00B679C9">
    <w:pPr>
      <w:pStyle w:val="Footer"/>
      <w:tabs>
        <w:tab w:val="right" w:pos="9638"/>
      </w:tabs>
      <w:rPr>
        <w:b/>
        <w:sz w:val="18"/>
      </w:rPr>
    </w:pPr>
    <w:r>
      <w:tab/>
    </w:r>
    <w:r w:rsidRPr="00B679C9">
      <w:rPr>
        <w:b/>
        <w:sz w:val="18"/>
      </w:rPr>
      <w:fldChar w:fldCharType="begin"/>
    </w:r>
    <w:r w:rsidRPr="00B679C9">
      <w:rPr>
        <w:b/>
        <w:sz w:val="18"/>
      </w:rPr>
      <w:instrText xml:space="preserve"> PAGE  \* MERGEFORMAT </w:instrText>
    </w:r>
    <w:r w:rsidRPr="00B679C9">
      <w:rPr>
        <w:b/>
        <w:sz w:val="18"/>
      </w:rPr>
      <w:fldChar w:fldCharType="separate"/>
    </w:r>
    <w:r w:rsidRPr="00B679C9">
      <w:rPr>
        <w:b/>
        <w:noProof/>
        <w:sz w:val="18"/>
      </w:rPr>
      <w:t>3</w:t>
    </w:r>
    <w:r w:rsidRPr="00B679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9D47" w14:textId="309031A8" w:rsidR="006D5C31" w:rsidRDefault="006D5C31" w:rsidP="006D5C31">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2668CE32" wp14:editId="1DBB2BE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6CDD3B9" w14:textId="393E5431" w:rsidR="006D5C31" w:rsidRPr="006D5C31" w:rsidRDefault="006D5C31" w:rsidP="006D5C31">
    <w:pPr>
      <w:pStyle w:val="Footer"/>
      <w:ind w:right="1134"/>
      <w:rPr>
        <w:sz w:val="20"/>
      </w:rPr>
    </w:pPr>
    <w:r>
      <w:rPr>
        <w:sz w:val="20"/>
      </w:rPr>
      <w:t>GE.22-12570(E)</w:t>
    </w:r>
    <w:r>
      <w:rPr>
        <w:noProof/>
        <w:sz w:val="20"/>
      </w:rPr>
      <w:drawing>
        <wp:anchor distT="0" distB="0" distL="114300" distR="114300" simplePos="0" relativeHeight="251660288" behindDoc="0" locked="0" layoutInCell="1" allowOverlap="1" wp14:anchorId="3FE29423" wp14:editId="516B9BAC">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8659" w14:textId="77777777" w:rsidR="001D41A8" w:rsidRPr="000B175B" w:rsidRDefault="001D41A8" w:rsidP="000B175B">
      <w:pPr>
        <w:tabs>
          <w:tab w:val="right" w:pos="2155"/>
        </w:tabs>
        <w:spacing w:after="80"/>
        <w:ind w:left="680"/>
        <w:rPr>
          <w:u w:val="single"/>
        </w:rPr>
      </w:pPr>
      <w:r>
        <w:rPr>
          <w:u w:val="single"/>
        </w:rPr>
        <w:tab/>
      </w:r>
    </w:p>
  </w:footnote>
  <w:footnote w:type="continuationSeparator" w:id="0">
    <w:p w14:paraId="393A3802" w14:textId="77777777" w:rsidR="001D41A8" w:rsidRPr="00FC68B7" w:rsidRDefault="001D41A8" w:rsidP="00FC68B7">
      <w:pPr>
        <w:tabs>
          <w:tab w:val="left" w:pos="2155"/>
        </w:tabs>
        <w:spacing w:after="80"/>
        <w:ind w:left="680"/>
        <w:rPr>
          <w:u w:val="single"/>
        </w:rPr>
      </w:pPr>
      <w:r>
        <w:rPr>
          <w:u w:val="single"/>
        </w:rPr>
        <w:tab/>
      </w:r>
    </w:p>
  </w:footnote>
  <w:footnote w:type="continuationNotice" w:id="1">
    <w:p w14:paraId="11C13333" w14:textId="77777777" w:rsidR="001D41A8" w:rsidRDefault="001D4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BB9E" w14:textId="67397188" w:rsidR="00B679C9" w:rsidRPr="00B679C9" w:rsidRDefault="00F228F1">
    <w:pPr>
      <w:pStyle w:val="Header"/>
    </w:pPr>
    <w:r>
      <w:t>ECE/TRANS/WP.11/2022/20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1B7B" w14:textId="7A1163CC" w:rsidR="00B679C9" w:rsidRPr="00B679C9" w:rsidRDefault="00065311" w:rsidP="00B679C9">
    <w:pPr>
      <w:pStyle w:val="Header"/>
      <w:jc w:val="right"/>
    </w:pPr>
    <w:r>
      <w:fldChar w:fldCharType="begin"/>
    </w:r>
    <w:r>
      <w:instrText xml:space="preserve"> TITLE  \* MERGEFORMAT </w:instrText>
    </w:r>
    <w:r>
      <w:fldChar w:fldCharType="separate"/>
    </w:r>
    <w:r>
      <w:t>ECE/TRANS/WP.11/2022/20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C9"/>
    <w:rsid w:val="00002A7D"/>
    <w:rsid w:val="000038A8"/>
    <w:rsid w:val="00006790"/>
    <w:rsid w:val="000211BF"/>
    <w:rsid w:val="00027624"/>
    <w:rsid w:val="000307DB"/>
    <w:rsid w:val="00042D08"/>
    <w:rsid w:val="0005021C"/>
    <w:rsid w:val="00050F6B"/>
    <w:rsid w:val="00060FDB"/>
    <w:rsid w:val="00065311"/>
    <w:rsid w:val="000678CD"/>
    <w:rsid w:val="00072C8C"/>
    <w:rsid w:val="00081CE0"/>
    <w:rsid w:val="00084D30"/>
    <w:rsid w:val="00090320"/>
    <w:rsid w:val="000931C0"/>
    <w:rsid w:val="00097A6B"/>
    <w:rsid w:val="000A2E09"/>
    <w:rsid w:val="000A653E"/>
    <w:rsid w:val="000B175B"/>
    <w:rsid w:val="000B3A0F"/>
    <w:rsid w:val="000E0415"/>
    <w:rsid w:val="000E0EDF"/>
    <w:rsid w:val="000E499D"/>
    <w:rsid w:val="000F14A4"/>
    <w:rsid w:val="000F7715"/>
    <w:rsid w:val="00144D5F"/>
    <w:rsid w:val="00156B99"/>
    <w:rsid w:val="00166124"/>
    <w:rsid w:val="00184DDA"/>
    <w:rsid w:val="001900CD"/>
    <w:rsid w:val="001A0452"/>
    <w:rsid w:val="001B4B04"/>
    <w:rsid w:val="001B5875"/>
    <w:rsid w:val="001C2192"/>
    <w:rsid w:val="001C4B9C"/>
    <w:rsid w:val="001C6663"/>
    <w:rsid w:val="001C7895"/>
    <w:rsid w:val="001D26DF"/>
    <w:rsid w:val="001D41A8"/>
    <w:rsid w:val="001E5C33"/>
    <w:rsid w:val="001F1599"/>
    <w:rsid w:val="001F19C4"/>
    <w:rsid w:val="002043F0"/>
    <w:rsid w:val="00211E0B"/>
    <w:rsid w:val="002267FF"/>
    <w:rsid w:val="00232575"/>
    <w:rsid w:val="0023495D"/>
    <w:rsid w:val="00247258"/>
    <w:rsid w:val="00257CAC"/>
    <w:rsid w:val="0027237A"/>
    <w:rsid w:val="00282F77"/>
    <w:rsid w:val="002974E9"/>
    <w:rsid w:val="002A7F94"/>
    <w:rsid w:val="002B0B26"/>
    <w:rsid w:val="002B109A"/>
    <w:rsid w:val="002C6D45"/>
    <w:rsid w:val="002D6E53"/>
    <w:rsid w:val="002F046D"/>
    <w:rsid w:val="002F3023"/>
    <w:rsid w:val="00301764"/>
    <w:rsid w:val="003229D8"/>
    <w:rsid w:val="00336C97"/>
    <w:rsid w:val="00337F88"/>
    <w:rsid w:val="00342432"/>
    <w:rsid w:val="0035223F"/>
    <w:rsid w:val="00352D4B"/>
    <w:rsid w:val="0035448D"/>
    <w:rsid w:val="0035638C"/>
    <w:rsid w:val="00385CD4"/>
    <w:rsid w:val="00394F20"/>
    <w:rsid w:val="003A46BB"/>
    <w:rsid w:val="003A4EC7"/>
    <w:rsid w:val="003A7295"/>
    <w:rsid w:val="003B1F60"/>
    <w:rsid w:val="003B2F6D"/>
    <w:rsid w:val="003C2CC4"/>
    <w:rsid w:val="003D4B23"/>
    <w:rsid w:val="003E278A"/>
    <w:rsid w:val="00413520"/>
    <w:rsid w:val="004217C3"/>
    <w:rsid w:val="00426018"/>
    <w:rsid w:val="004325CB"/>
    <w:rsid w:val="00440A07"/>
    <w:rsid w:val="00447E8B"/>
    <w:rsid w:val="00452117"/>
    <w:rsid w:val="00462880"/>
    <w:rsid w:val="00476F24"/>
    <w:rsid w:val="004C55B0"/>
    <w:rsid w:val="004F6BA0"/>
    <w:rsid w:val="00503BEA"/>
    <w:rsid w:val="00533616"/>
    <w:rsid w:val="00535ABA"/>
    <w:rsid w:val="0053768B"/>
    <w:rsid w:val="005420F2"/>
    <w:rsid w:val="0054285C"/>
    <w:rsid w:val="00550F96"/>
    <w:rsid w:val="00562F3A"/>
    <w:rsid w:val="00574D8C"/>
    <w:rsid w:val="00584173"/>
    <w:rsid w:val="00595520"/>
    <w:rsid w:val="005A44B9"/>
    <w:rsid w:val="005B1BA0"/>
    <w:rsid w:val="005B3DB3"/>
    <w:rsid w:val="005D15CA"/>
    <w:rsid w:val="005E64EA"/>
    <w:rsid w:val="005F08DF"/>
    <w:rsid w:val="005F3066"/>
    <w:rsid w:val="005F3E61"/>
    <w:rsid w:val="00604DDD"/>
    <w:rsid w:val="006115CC"/>
    <w:rsid w:val="00611FC4"/>
    <w:rsid w:val="006176FB"/>
    <w:rsid w:val="00621B7F"/>
    <w:rsid w:val="00630FCB"/>
    <w:rsid w:val="00640B26"/>
    <w:rsid w:val="0065766B"/>
    <w:rsid w:val="00665E7C"/>
    <w:rsid w:val="006770B2"/>
    <w:rsid w:val="00686A48"/>
    <w:rsid w:val="006940E1"/>
    <w:rsid w:val="006952A2"/>
    <w:rsid w:val="006A3C72"/>
    <w:rsid w:val="006A7392"/>
    <w:rsid w:val="006B03A1"/>
    <w:rsid w:val="006B67D9"/>
    <w:rsid w:val="006C5535"/>
    <w:rsid w:val="006D0589"/>
    <w:rsid w:val="006D5C31"/>
    <w:rsid w:val="006E564B"/>
    <w:rsid w:val="006E602A"/>
    <w:rsid w:val="006E7154"/>
    <w:rsid w:val="006F48B1"/>
    <w:rsid w:val="007003CD"/>
    <w:rsid w:val="0070701E"/>
    <w:rsid w:val="0071584A"/>
    <w:rsid w:val="0072632A"/>
    <w:rsid w:val="007358E8"/>
    <w:rsid w:val="00736ECE"/>
    <w:rsid w:val="0074533B"/>
    <w:rsid w:val="00754BF7"/>
    <w:rsid w:val="007643BC"/>
    <w:rsid w:val="00774DE3"/>
    <w:rsid w:val="00780C68"/>
    <w:rsid w:val="00794EDC"/>
    <w:rsid w:val="007959FE"/>
    <w:rsid w:val="007A0CF1"/>
    <w:rsid w:val="007A5EF3"/>
    <w:rsid w:val="007A7FA0"/>
    <w:rsid w:val="007B6BA5"/>
    <w:rsid w:val="007C3390"/>
    <w:rsid w:val="007C42D8"/>
    <w:rsid w:val="007C4F4B"/>
    <w:rsid w:val="007D7362"/>
    <w:rsid w:val="007E06B3"/>
    <w:rsid w:val="007F2AFA"/>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1A4B"/>
    <w:rsid w:val="008979B1"/>
    <w:rsid w:val="008A3B84"/>
    <w:rsid w:val="008A6B25"/>
    <w:rsid w:val="008A6C4F"/>
    <w:rsid w:val="008A76C4"/>
    <w:rsid w:val="008B389E"/>
    <w:rsid w:val="008C13D0"/>
    <w:rsid w:val="008C4835"/>
    <w:rsid w:val="008D045E"/>
    <w:rsid w:val="008D3F25"/>
    <w:rsid w:val="008D4D82"/>
    <w:rsid w:val="008D61D2"/>
    <w:rsid w:val="008E0E46"/>
    <w:rsid w:val="008E7116"/>
    <w:rsid w:val="008F143B"/>
    <w:rsid w:val="008F3882"/>
    <w:rsid w:val="008F4B7C"/>
    <w:rsid w:val="009235C9"/>
    <w:rsid w:val="00926E47"/>
    <w:rsid w:val="00947162"/>
    <w:rsid w:val="009610D0"/>
    <w:rsid w:val="0096375C"/>
    <w:rsid w:val="00964C03"/>
    <w:rsid w:val="009662E6"/>
    <w:rsid w:val="0097095E"/>
    <w:rsid w:val="00974C03"/>
    <w:rsid w:val="009815E7"/>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0A1"/>
    <w:rsid w:val="00AB134D"/>
    <w:rsid w:val="00AC0F2C"/>
    <w:rsid w:val="00AC502A"/>
    <w:rsid w:val="00AF58C1"/>
    <w:rsid w:val="00B04A3F"/>
    <w:rsid w:val="00B06643"/>
    <w:rsid w:val="00B15055"/>
    <w:rsid w:val="00B20551"/>
    <w:rsid w:val="00B30179"/>
    <w:rsid w:val="00B33FC7"/>
    <w:rsid w:val="00B37B15"/>
    <w:rsid w:val="00B45C02"/>
    <w:rsid w:val="00B679C9"/>
    <w:rsid w:val="00B70B63"/>
    <w:rsid w:val="00B72A1E"/>
    <w:rsid w:val="00B74D18"/>
    <w:rsid w:val="00B81E12"/>
    <w:rsid w:val="00BA339B"/>
    <w:rsid w:val="00BC1E7E"/>
    <w:rsid w:val="00BC74E9"/>
    <w:rsid w:val="00BE36A9"/>
    <w:rsid w:val="00BE3D94"/>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CF0A17"/>
    <w:rsid w:val="00D0123D"/>
    <w:rsid w:val="00D15360"/>
    <w:rsid w:val="00D15B04"/>
    <w:rsid w:val="00D2031B"/>
    <w:rsid w:val="00D25FE2"/>
    <w:rsid w:val="00D37DA9"/>
    <w:rsid w:val="00D406A7"/>
    <w:rsid w:val="00D43252"/>
    <w:rsid w:val="00D44D86"/>
    <w:rsid w:val="00D50B7D"/>
    <w:rsid w:val="00D52012"/>
    <w:rsid w:val="00D55493"/>
    <w:rsid w:val="00D57D04"/>
    <w:rsid w:val="00D704E5"/>
    <w:rsid w:val="00D72727"/>
    <w:rsid w:val="00D77184"/>
    <w:rsid w:val="00D960C6"/>
    <w:rsid w:val="00D978C6"/>
    <w:rsid w:val="00DA0956"/>
    <w:rsid w:val="00DA357F"/>
    <w:rsid w:val="00DA3E12"/>
    <w:rsid w:val="00DC18AD"/>
    <w:rsid w:val="00DC2144"/>
    <w:rsid w:val="00DF61DE"/>
    <w:rsid w:val="00DF7CAE"/>
    <w:rsid w:val="00E22D5B"/>
    <w:rsid w:val="00E3444F"/>
    <w:rsid w:val="00E423C0"/>
    <w:rsid w:val="00E6414C"/>
    <w:rsid w:val="00E7260F"/>
    <w:rsid w:val="00E8702D"/>
    <w:rsid w:val="00E905F4"/>
    <w:rsid w:val="00E916A9"/>
    <w:rsid w:val="00E916DE"/>
    <w:rsid w:val="00E925AD"/>
    <w:rsid w:val="00E94791"/>
    <w:rsid w:val="00E9600E"/>
    <w:rsid w:val="00E96630"/>
    <w:rsid w:val="00ED18DC"/>
    <w:rsid w:val="00ED6201"/>
    <w:rsid w:val="00ED7A2A"/>
    <w:rsid w:val="00EF1D7F"/>
    <w:rsid w:val="00F0137E"/>
    <w:rsid w:val="00F215DE"/>
    <w:rsid w:val="00F21786"/>
    <w:rsid w:val="00F228F1"/>
    <w:rsid w:val="00F3742B"/>
    <w:rsid w:val="00F41FDB"/>
    <w:rsid w:val="00F56D63"/>
    <w:rsid w:val="00F609A9"/>
    <w:rsid w:val="00F80C99"/>
    <w:rsid w:val="00F867EC"/>
    <w:rsid w:val="00F8690D"/>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35273"/>
  <w15:docId w15:val="{D0CCE95A-4205-40DB-B124-18637126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styleId="CommentReference">
    <w:name w:val="annotation reference"/>
    <w:basedOn w:val="DefaultParagraphFont"/>
    <w:semiHidden/>
    <w:unhideWhenUsed/>
    <w:rsid w:val="00562F3A"/>
    <w:rPr>
      <w:sz w:val="16"/>
      <w:szCs w:val="16"/>
    </w:rPr>
  </w:style>
  <w:style w:type="paragraph" w:styleId="CommentText">
    <w:name w:val="annotation text"/>
    <w:basedOn w:val="Normal"/>
    <w:link w:val="CommentTextChar"/>
    <w:semiHidden/>
    <w:unhideWhenUsed/>
    <w:rsid w:val="00562F3A"/>
    <w:pPr>
      <w:spacing w:line="240" w:lineRule="auto"/>
    </w:pPr>
  </w:style>
  <w:style w:type="character" w:customStyle="1" w:styleId="CommentTextChar">
    <w:name w:val="Comment Text Char"/>
    <w:basedOn w:val="DefaultParagraphFont"/>
    <w:link w:val="CommentText"/>
    <w:semiHidden/>
    <w:rsid w:val="00562F3A"/>
    <w:rPr>
      <w:lang w:val="en-GB"/>
    </w:rPr>
  </w:style>
  <w:style w:type="paragraph" w:styleId="CommentSubject">
    <w:name w:val="annotation subject"/>
    <w:basedOn w:val="CommentText"/>
    <w:next w:val="CommentText"/>
    <w:link w:val="CommentSubjectChar"/>
    <w:semiHidden/>
    <w:unhideWhenUsed/>
    <w:rsid w:val="00562F3A"/>
    <w:rPr>
      <w:b/>
      <w:bCs/>
    </w:rPr>
  </w:style>
  <w:style w:type="character" w:customStyle="1" w:styleId="CommentSubjectChar">
    <w:name w:val="Comment Subject Char"/>
    <w:basedOn w:val="CommentTextChar"/>
    <w:link w:val="CommentSubject"/>
    <w:semiHidden/>
    <w:rsid w:val="00562F3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93ECC-B5DA-4C7E-BE64-C43F28D10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71B4F-E95E-434C-845B-19DDF47FF962}">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21C49ACC-5F84-4DD5-9809-D5E0D6AC2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3255</Characters>
  <Application>Microsoft Office Word</Application>
  <DocSecurity>0</DocSecurity>
  <Lines>78</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ECE/TRANS/WP.11/2022/20</vt:lpstr>
      <vt:lpstr>United Nations</vt:lpstr>
    </vt:vector>
  </TitlesOfParts>
  <Company>CSD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ECE/TRANS/WP.11/2022/20</dc:title>
  <dc:subject>2212570</dc:subject>
  <dc:creator>ND</dc:creator>
  <cp:keywords/>
  <dc:description/>
  <cp:lastModifiedBy>Anni Vi Tirol</cp:lastModifiedBy>
  <cp:revision>3</cp:revision>
  <cp:lastPrinted>2022-09-02T13:59:00Z</cp:lastPrinted>
  <dcterms:created xsi:type="dcterms:W3CDTF">2022-09-02T13:59:00Z</dcterms:created>
  <dcterms:modified xsi:type="dcterms:W3CDTF">2022-09-02T13:59:00Z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