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E6E31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50820F" w14:textId="77777777" w:rsidR="002D5AAC" w:rsidRDefault="002D5AAC" w:rsidP="008C5C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9A53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910E86" w14:textId="08B38350" w:rsidR="002D5AAC" w:rsidRDefault="008C5C65" w:rsidP="008C5C65">
            <w:pPr>
              <w:jc w:val="right"/>
            </w:pPr>
            <w:r w:rsidRPr="008C5C65">
              <w:rPr>
                <w:sz w:val="40"/>
              </w:rPr>
              <w:t>ECE</w:t>
            </w:r>
            <w:r>
              <w:t>/TRANS/WP.11/2022/19</w:t>
            </w:r>
          </w:p>
        </w:tc>
      </w:tr>
      <w:tr w:rsidR="002D5AAC" w14:paraId="6AA94BD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A32D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11F417" wp14:editId="4FCE08E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1BCF1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DB542D" w14:textId="77777777" w:rsidR="002D5AAC" w:rsidRDefault="008C5C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763F4A" w14:textId="77777777" w:rsidR="008C5C65" w:rsidRDefault="008C5C65" w:rsidP="008C5C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August 2022</w:t>
            </w:r>
          </w:p>
          <w:p w14:paraId="201394E8" w14:textId="77777777" w:rsidR="008C5C65" w:rsidRDefault="008C5C65" w:rsidP="008C5C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E37FC4" w14:textId="195BB4A1" w:rsidR="008C5C65" w:rsidRPr="008D53B6" w:rsidRDefault="008C5C65" w:rsidP="008C5C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CFFF9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FCC1C7" w14:textId="77777777" w:rsidR="008C5C65" w:rsidRPr="004D54E2" w:rsidRDefault="008C5C65" w:rsidP="008C5C65">
      <w:pPr>
        <w:spacing w:before="120"/>
        <w:rPr>
          <w:sz w:val="28"/>
          <w:szCs w:val="28"/>
        </w:rPr>
      </w:pPr>
      <w:r w:rsidRPr="004D54E2">
        <w:rPr>
          <w:sz w:val="28"/>
          <w:szCs w:val="28"/>
        </w:rPr>
        <w:t>Комитет по внутреннему транспорту</w:t>
      </w:r>
    </w:p>
    <w:p w14:paraId="0DA2C34A" w14:textId="77777777" w:rsidR="008C5C65" w:rsidRPr="004D54E2" w:rsidRDefault="008C5C65" w:rsidP="008C5C65">
      <w:pPr>
        <w:spacing w:before="120"/>
        <w:rPr>
          <w:b/>
          <w:sz w:val="24"/>
          <w:szCs w:val="24"/>
        </w:rPr>
      </w:pPr>
      <w:r w:rsidRPr="004D54E2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4D54E2">
        <w:rPr>
          <w:b/>
          <w:bCs/>
          <w:sz w:val="24"/>
          <w:szCs w:val="24"/>
        </w:rPr>
        <w:br/>
        <w:t>пищевых продуктов</w:t>
      </w:r>
    </w:p>
    <w:p w14:paraId="382AB91D" w14:textId="77777777" w:rsidR="008C5C65" w:rsidRPr="004D54E2" w:rsidRDefault="008C5C65" w:rsidP="008C5C65">
      <w:pPr>
        <w:spacing w:before="120"/>
        <w:rPr>
          <w:b/>
        </w:rPr>
      </w:pPr>
      <w:r w:rsidRPr="004D54E2">
        <w:rPr>
          <w:b/>
          <w:bCs/>
        </w:rPr>
        <w:t>Семьдесят девятая сессия</w:t>
      </w:r>
    </w:p>
    <w:p w14:paraId="5A0C4F19" w14:textId="77777777" w:rsidR="008C5C65" w:rsidRPr="004D54E2" w:rsidRDefault="008C5C65" w:rsidP="008C5C65">
      <w:r w:rsidRPr="004D54E2">
        <w:t>Женева, 25−28 октября 2022 года</w:t>
      </w:r>
    </w:p>
    <w:p w14:paraId="25434973" w14:textId="77777777" w:rsidR="008C5C65" w:rsidRPr="004D54E2" w:rsidRDefault="008C5C65" w:rsidP="008C5C65">
      <w:r w:rsidRPr="004D54E2">
        <w:t xml:space="preserve">Пункт 5 </w:t>
      </w:r>
      <w:r w:rsidRPr="004D54E2">
        <w:rPr>
          <w:lang w:val="en-US"/>
        </w:rPr>
        <w:t>b</w:t>
      </w:r>
      <w:r w:rsidRPr="004D54E2">
        <w:t>) предварительной повестки дня</w:t>
      </w:r>
    </w:p>
    <w:p w14:paraId="216592AD" w14:textId="77777777" w:rsidR="008C5C65" w:rsidRPr="004D54E2" w:rsidRDefault="008C5C65" w:rsidP="008C5C65">
      <w:pPr>
        <w:spacing w:line="240" w:lineRule="auto"/>
        <w:rPr>
          <w:b/>
        </w:rPr>
      </w:pPr>
      <w:r w:rsidRPr="004D54E2">
        <w:rPr>
          <w:b/>
          <w:bCs/>
        </w:rPr>
        <w:t>Предложения по поправкам к СПС:</w:t>
      </w:r>
    </w:p>
    <w:p w14:paraId="50B8BEC7" w14:textId="77777777" w:rsidR="008C5C65" w:rsidRPr="004D54E2" w:rsidRDefault="008C5C65" w:rsidP="008C5C65">
      <w:pPr>
        <w:spacing w:line="240" w:lineRule="auto"/>
        <w:rPr>
          <w:b/>
        </w:rPr>
      </w:pPr>
      <w:r w:rsidRPr="004D54E2">
        <w:rPr>
          <w:b/>
          <w:bCs/>
        </w:rPr>
        <w:t>новые предложения</w:t>
      </w:r>
    </w:p>
    <w:p w14:paraId="5A7BC084" w14:textId="77777777" w:rsidR="008C5C65" w:rsidRPr="004D54E2" w:rsidRDefault="008C5C65" w:rsidP="008C5C65">
      <w:pPr>
        <w:pStyle w:val="HChG"/>
        <w:rPr>
          <w:b w:val="0"/>
          <w:bCs/>
          <w:sz w:val="21"/>
          <w:szCs w:val="21"/>
        </w:rPr>
      </w:pPr>
      <w:r w:rsidRPr="004D54E2">
        <w:tab/>
      </w:r>
      <w:r w:rsidRPr="004D54E2">
        <w:tab/>
        <w:t>Исправление определения термина «транспортное средство» в пункте 7 приложения 1</w:t>
      </w:r>
    </w:p>
    <w:p w14:paraId="58957B31" w14:textId="77777777" w:rsidR="008C5C65" w:rsidRPr="004D54E2" w:rsidRDefault="008C5C65" w:rsidP="008C5C65">
      <w:pPr>
        <w:pStyle w:val="H1G"/>
      </w:pPr>
      <w:r w:rsidRPr="004D54E2">
        <w:tab/>
      </w:r>
      <w:r w:rsidRPr="004D54E2">
        <w:tab/>
        <w:t>Передано правительством Нидерландов</w:t>
      </w:r>
    </w:p>
    <w:p w14:paraId="79A3EE93" w14:textId="77777777" w:rsidR="008C5C65" w:rsidRPr="004D54E2" w:rsidRDefault="008C5C65" w:rsidP="008C5C65">
      <w:pPr>
        <w:pStyle w:val="HChG"/>
      </w:pPr>
      <w:r w:rsidRPr="004D54E2">
        <w:tab/>
      </w:r>
      <w:r w:rsidRPr="004D54E2">
        <w:tab/>
      </w:r>
      <w:r w:rsidRPr="004D54E2">
        <w:tab/>
        <w:t>Введение</w:t>
      </w:r>
    </w:p>
    <w:p w14:paraId="21046D33" w14:textId="3B155F22" w:rsidR="008C5C65" w:rsidRPr="004D54E2" w:rsidRDefault="008C5C65" w:rsidP="008C5C65">
      <w:pPr>
        <w:pStyle w:val="SingleTxtG"/>
      </w:pPr>
      <w:r w:rsidRPr="004D54E2">
        <w:t>1.</w:t>
      </w:r>
      <w:r w:rsidRPr="004D54E2">
        <w:tab/>
        <w:t>В пункт 7 приложения 1 к Соглашению СПС с поправками по состоянию на</w:t>
      </w:r>
      <w:r w:rsidR="00F32B74">
        <w:br/>
      </w:r>
      <w:r w:rsidRPr="004D54E2">
        <w:t>1 июня 2022 года включено новое определение термина «транспортное средство». После его принятия в рамках WP.11 было отмечено, что данное определение сопряжено с недостатком ясности и может привести к возникновению путаницы и даже проблем юридического характера.</w:t>
      </w:r>
    </w:p>
    <w:p w14:paraId="41DDF14E" w14:textId="77777777" w:rsidR="008C5C65" w:rsidRPr="004D54E2" w:rsidRDefault="008C5C65" w:rsidP="008C5C65">
      <w:pPr>
        <w:pStyle w:val="SingleTxtG"/>
      </w:pPr>
      <w:r w:rsidRPr="004D54E2">
        <w:t>2.</w:t>
      </w:r>
      <w:r w:rsidRPr="004D54E2">
        <w:tab/>
      </w:r>
      <w:r w:rsidRPr="004D54E2">
        <w:rPr>
          <w:shd w:val="clear" w:color="auto" w:fill="FFFFFF"/>
        </w:rPr>
        <w:t>Это определение гласит следующее:</w:t>
      </w:r>
    </w:p>
    <w:p w14:paraId="7A7F0484" w14:textId="77777777" w:rsidR="008C5C65" w:rsidRPr="004D54E2" w:rsidRDefault="008C5C65" w:rsidP="008C5C65">
      <w:pPr>
        <w:pStyle w:val="SingleTxtG"/>
        <w:ind w:left="1701"/>
      </w:pPr>
      <w:r w:rsidRPr="004D54E2">
        <w:t>«</w:t>
      </w:r>
      <w:r w:rsidRPr="004D54E2">
        <w:rPr>
          <w:i/>
          <w:iCs/>
        </w:rPr>
        <w:t>Транспортное средство</w:t>
      </w:r>
      <w:r w:rsidRPr="004D54E2">
        <w:t xml:space="preserve"> означает блок частей, образующих изотермический кузов и его несущую конструкцию, необходимые для выполнения автомобильных и железнодорожных перевозок. Термическое оборудование может являться частью блока».</w:t>
      </w:r>
    </w:p>
    <w:p w14:paraId="75DD2B38" w14:textId="77777777" w:rsidR="008C5C65" w:rsidRPr="004D54E2" w:rsidRDefault="008C5C65" w:rsidP="008C5C65">
      <w:pPr>
        <w:pStyle w:val="HChG"/>
      </w:pPr>
      <w:r w:rsidRPr="004D54E2">
        <w:tab/>
        <w:t>I.</w:t>
      </w:r>
      <w:r w:rsidRPr="004D54E2">
        <w:tab/>
        <w:t>Предложение</w:t>
      </w:r>
    </w:p>
    <w:p w14:paraId="40CFF982" w14:textId="77777777" w:rsidR="008C5C65" w:rsidRPr="004D54E2" w:rsidRDefault="008C5C65" w:rsidP="008C5C65">
      <w:pPr>
        <w:pStyle w:val="SingleTxtG"/>
      </w:pPr>
      <w:r w:rsidRPr="004D54E2">
        <w:t>3.</w:t>
      </w:r>
      <w:r w:rsidRPr="004D54E2">
        <w:tab/>
        <w:t>С</w:t>
      </w:r>
      <w:r w:rsidRPr="004D54E2">
        <w:rPr>
          <w:shd w:val="clear" w:color="auto" w:fill="FFFFFF"/>
        </w:rPr>
        <w:t xml:space="preserve">уществующее определение </w:t>
      </w:r>
      <w:r w:rsidRPr="004D54E2">
        <w:t xml:space="preserve">термина «транспортное средство» </w:t>
      </w:r>
      <w:r w:rsidRPr="004D54E2">
        <w:rPr>
          <w:shd w:val="clear" w:color="auto" w:fill="FFFFFF"/>
        </w:rPr>
        <w:t>в пункте 7 приложения 1 предлагается заменить следующим:</w:t>
      </w:r>
    </w:p>
    <w:p w14:paraId="05A3B4F1" w14:textId="77777777" w:rsidR="008C5C65" w:rsidRPr="004D54E2" w:rsidRDefault="008C5C65" w:rsidP="008C5C65">
      <w:pPr>
        <w:pStyle w:val="SingleTxtG"/>
        <w:ind w:left="1701"/>
        <w:rPr>
          <w:shd w:val="clear" w:color="auto" w:fill="FFFFFF"/>
        </w:rPr>
      </w:pPr>
      <w:r w:rsidRPr="004D54E2">
        <w:t>«</w:t>
      </w:r>
      <w:r w:rsidRPr="004D54E2">
        <w:rPr>
          <w:i/>
          <w:iCs/>
        </w:rPr>
        <w:t>Транспортное средство</w:t>
      </w:r>
      <w:r w:rsidRPr="004D54E2">
        <w:t xml:space="preserve"> означает кузов, состоящий из </w:t>
      </w:r>
      <w:r w:rsidRPr="004D54E2">
        <w:rPr>
          <w:shd w:val="clear" w:color="auto" w:fill="FFFFFF"/>
        </w:rPr>
        <w:t>жестких термоизолирующих стенок, включая двери, пол и крышу, позволяющих ограничивать теплообмен между внутренней и наружной поверхностью кузова.  В случае цистерн под "кузовом" подразумевается сама цистерна».</w:t>
      </w:r>
    </w:p>
    <w:p w14:paraId="74612451" w14:textId="77777777" w:rsidR="008C5C65" w:rsidRPr="004D54E2" w:rsidRDefault="008C5C65" w:rsidP="008C5C65">
      <w:pPr>
        <w:pStyle w:val="SingleTxtG"/>
        <w:pageBreakBefore/>
      </w:pPr>
      <w:r w:rsidRPr="004D54E2">
        <w:lastRenderedPageBreak/>
        <w:t>4.</w:t>
      </w:r>
      <w:r w:rsidRPr="004D54E2">
        <w:tab/>
        <w:t>С учетом включения последнего предложения, касающегося цистерн, сноску «</w:t>
      </w:r>
      <w:r w:rsidRPr="004D54E2">
        <w:rPr>
          <w:vertAlign w:val="superscript"/>
        </w:rPr>
        <w:t>2</w:t>
      </w:r>
      <w:r w:rsidRPr="004D54E2">
        <w:t xml:space="preserve">» в пункте 1 приложения 1 – в </w:t>
      </w:r>
      <w:r w:rsidRPr="004D54E2">
        <w:rPr>
          <w:shd w:val="clear" w:color="auto" w:fill="FFFFFF"/>
        </w:rPr>
        <w:t>порядке сопутствующей поправки</w:t>
      </w:r>
      <w:r w:rsidRPr="004D54E2">
        <w:t xml:space="preserve"> – можно исключить (см. ниже):</w:t>
      </w:r>
    </w:p>
    <w:p w14:paraId="4DBB1C0E" w14:textId="77777777" w:rsidR="008C5C65" w:rsidRPr="004D54E2" w:rsidRDefault="008C5C65" w:rsidP="008C5C65">
      <w:pPr>
        <w:pStyle w:val="SingleTxtG"/>
        <w:ind w:left="1701"/>
        <w:rPr>
          <w:i/>
          <w:iCs/>
          <w:strike/>
        </w:rPr>
      </w:pPr>
      <w:r w:rsidRPr="004D54E2">
        <w:rPr>
          <w:i/>
          <w:iCs/>
          <w:strike/>
          <w:vertAlign w:val="superscript"/>
        </w:rPr>
        <w:t>2</w:t>
      </w:r>
      <w:r w:rsidRPr="004D54E2">
        <w:rPr>
          <w:i/>
          <w:iCs/>
          <w:strike/>
        </w:rPr>
        <w:t xml:space="preserve"> В случае транспортных средств-цистерн под "кузовом" в настоящем определении подразумевается сама цистерна.</w:t>
      </w:r>
    </w:p>
    <w:p w14:paraId="1E301CD4" w14:textId="77777777" w:rsidR="008C5C65" w:rsidRPr="004D54E2" w:rsidRDefault="008C5C65" w:rsidP="008C5C65">
      <w:pPr>
        <w:pStyle w:val="HChG"/>
      </w:pPr>
      <w:r w:rsidRPr="004D54E2">
        <w:tab/>
        <w:t>II.</w:t>
      </w:r>
      <w:r w:rsidRPr="004D54E2">
        <w:tab/>
        <w:t>Обоснование</w:t>
      </w:r>
    </w:p>
    <w:p w14:paraId="36CEBF64" w14:textId="77777777" w:rsidR="008C5C65" w:rsidRPr="004D54E2" w:rsidRDefault="008C5C65" w:rsidP="008C5C65">
      <w:pPr>
        <w:pStyle w:val="SingleTxtG"/>
        <w:keepNext/>
        <w:keepLines/>
      </w:pPr>
      <w:r w:rsidRPr="004D54E2">
        <w:t>5.</w:t>
      </w:r>
      <w:r w:rsidRPr="004D54E2">
        <w:tab/>
        <w:t>К числу проблем, связанных с упомянутым определением, относятся следующие:</w:t>
      </w:r>
    </w:p>
    <w:p w14:paraId="34913905" w14:textId="77777777" w:rsidR="008C5C65" w:rsidRPr="004D54E2" w:rsidRDefault="008C5C65" w:rsidP="008C5C6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4E2">
        <w:t>•</w:t>
      </w:r>
      <w:r w:rsidRPr="004D54E2">
        <w:tab/>
        <w:t xml:space="preserve">«Несущая конструкция» является частью не «транспортного средства», а «специального транспортного средства». Разница между последними состоит в том, что транспортное средство представляет собой собственно изотермический кузов, тогда как специальное транспортное средство – это транспортное средство в сочетании с элементами автомобиля или контейнера (см. сноску 1 </w:t>
      </w:r>
      <w:r w:rsidRPr="004D54E2">
        <w:rPr>
          <w:shd w:val="clear" w:color="auto" w:fill="FFFFFF"/>
        </w:rPr>
        <w:t xml:space="preserve">к названию </w:t>
      </w:r>
      <w:r w:rsidRPr="004D54E2">
        <w:t>приложения 1). На практике такое разграничение носит менее четкий характер, поскольку рама контейнера или шасси прицепа зачастую встроены в само транспортное средство и должны охватываться в рамках испытания и допущения последнего.</w:t>
      </w:r>
    </w:p>
    <w:p w14:paraId="4245388D" w14:textId="77777777" w:rsidR="008C5C65" w:rsidRPr="004D54E2" w:rsidRDefault="008C5C65" w:rsidP="008C5C6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shd w:val="clear" w:color="auto" w:fill="FFFFFF"/>
        </w:rPr>
      </w:pPr>
      <w:r w:rsidRPr="004D54E2">
        <w:t>•</w:t>
      </w:r>
      <w:r w:rsidRPr="004D54E2">
        <w:tab/>
      </w:r>
      <w:r w:rsidRPr="004D54E2">
        <w:rPr>
          <w:shd w:val="clear" w:color="auto" w:fill="FFFFFF"/>
        </w:rPr>
        <w:t>В определении упоминается «</w:t>
      </w:r>
      <w:r w:rsidRPr="004D54E2">
        <w:t>выполнение автомобильных и железнодорожных перевозок</w:t>
      </w:r>
      <w:r w:rsidRPr="004D54E2">
        <w:rPr>
          <w:shd w:val="clear" w:color="auto" w:fill="FFFFFF"/>
        </w:rPr>
        <w:t xml:space="preserve">», однако СПС также применяется к морским участкам маршрута. Хотя в пункте 1 статьи 3 Соглашения четко указано «железнодорожным или автомобильным транспортом», пунктом 2 его действие распространяется на </w:t>
      </w:r>
      <w:r w:rsidRPr="004D54E2">
        <w:t>морские перевозки на расстояние менее 150 км.</w:t>
      </w:r>
    </w:p>
    <w:p w14:paraId="74975ADA" w14:textId="77777777" w:rsidR="008C5C65" w:rsidRPr="004D54E2" w:rsidRDefault="008C5C65" w:rsidP="008C5C65">
      <w:pPr>
        <w:pStyle w:val="SingleTxtG"/>
      </w:pPr>
      <w:r w:rsidRPr="004D54E2">
        <w:t>6.</w:t>
      </w:r>
      <w:r w:rsidRPr="004D54E2">
        <w:tab/>
        <w:t>О</w:t>
      </w:r>
      <w:r w:rsidRPr="004D54E2">
        <w:rPr>
          <w:shd w:val="clear" w:color="auto" w:fill="FFFFFF"/>
        </w:rPr>
        <w:t>дним из возможных вариантов могло бы быть исключение определения «</w:t>
      </w:r>
      <w:r w:rsidRPr="004D54E2">
        <w:t>транспортного средства</w:t>
      </w:r>
      <w:r w:rsidRPr="004D54E2">
        <w:rPr>
          <w:shd w:val="clear" w:color="auto" w:fill="FFFFFF"/>
        </w:rPr>
        <w:t xml:space="preserve">», поскольку оно уже охватывается нормами по приложению 1 </w:t>
      </w:r>
      <w:r w:rsidRPr="004D54E2">
        <w:t>для «изотермического транспортного средства, транспортного средства-ледника и т.д.».</w:t>
      </w:r>
      <w:r w:rsidRPr="004D54E2">
        <w:rPr>
          <w:shd w:val="clear" w:color="auto" w:fill="FFFFFF"/>
        </w:rPr>
        <w:t xml:space="preserve"> Однако – после консультации с другими экспертами – было решено, что сведение всех определений в одном месте обеспечит лучшее понимание Соглашения.</w:t>
      </w:r>
    </w:p>
    <w:p w14:paraId="6D855108" w14:textId="77777777" w:rsidR="008C5C65" w:rsidRPr="004D54E2" w:rsidRDefault="008C5C65" w:rsidP="008C5C65">
      <w:pPr>
        <w:spacing w:before="240"/>
        <w:jc w:val="center"/>
        <w:rPr>
          <w:u w:val="single"/>
        </w:rPr>
      </w:pPr>
      <w:r w:rsidRPr="004D54E2">
        <w:rPr>
          <w:u w:val="single"/>
        </w:rPr>
        <w:tab/>
      </w:r>
      <w:r w:rsidRPr="004D54E2">
        <w:rPr>
          <w:u w:val="single"/>
        </w:rPr>
        <w:tab/>
      </w:r>
      <w:r w:rsidRPr="004D54E2">
        <w:rPr>
          <w:u w:val="single"/>
        </w:rPr>
        <w:tab/>
      </w:r>
    </w:p>
    <w:sectPr w:rsidR="008C5C65" w:rsidRPr="004D54E2" w:rsidSect="008C5C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4A6B" w14:textId="77777777" w:rsidR="00B2431D" w:rsidRPr="00A312BC" w:rsidRDefault="00B2431D" w:rsidP="00A312BC"/>
  </w:endnote>
  <w:endnote w:type="continuationSeparator" w:id="0">
    <w:p w14:paraId="50293821" w14:textId="77777777" w:rsidR="00B2431D" w:rsidRPr="00A312BC" w:rsidRDefault="00B243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0ED3" w14:textId="07AAB628" w:rsidR="008C5C65" w:rsidRPr="008C5C65" w:rsidRDefault="008C5C65">
    <w:pPr>
      <w:pStyle w:val="a8"/>
    </w:pPr>
    <w:r w:rsidRPr="008C5C65">
      <w:rPr>
        <w:b/>
        <w:sz w:val="18"/>
      </w:rPr>
      <w:fldChar w:fldCharType="begin"/>
    </w:r>
    <w:r w:rsidRPr="008C5C65">
      <w:rPr>
        <w:b/>
        <w:sz w:val="18"/>
      </w:rPr>
      <w:instrText xml:space="preserve"> PAGE  \* MERGEFORMAT </w:instrText>
    </w:r>
    <w:r w:rsidRPr="008C5C65">
      <w:rPr>
        <w:b/>
        <w:sz w:val="18"/>
      </w:rPr>
      <w:fldChar w:fldCharType="separate"/>
    </w:r>
    <w:r w:rsidRPr="008C5C65">
      <w:rPr>
        <w:b/>
        <w:noProof/>
        <w:sz w:val="18"/>
      </w:rPr>
      <w:t>2</w:t>
    </w:r>
    <w:r w:rsidRPr="008C5C65">
      <w:rPr>
        <w:b/>
        <w:sz w:val="18"/>
      </w:rPr>
      <w:fldChar w:fldCharType="end"/>
    </w:r>
    <w:r>
      <w:rPr>
        <w:b/>
        <w:sz w:val="18"/>
      </w:rPr>
      <w:tab/>
    </w:r>
    <w:r>
      <w:t>GE.22-12569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CEF2" w14:textId="54B5E1AA" w:rsidR="008C5C65" w:rsidRPr="008C5C65" w:rsidRDefault="008C5C65" w:rsidP="008C5C65">
    <w:pPr>
      <w:pStyle w:val="a8"/>
      <w:tabs>
        <w:tab w:val="clear" w:pos="9639"/>
        <w:tab w:val="right" w:pos="9638"/>
      </w:tabs>
      <w:rPr>
        <w:b/>
        <w:sz w:val="18"/>
      </w:rPr>
    </w:pPr>
    <w:r>
      <w:t>GE.22-12569</w:t>
    </w:r>
    <w:r>
      <w:tab/>
    </w:r>
    <w:r w:rsidRPr="008C5C65">
      <w:rPr>
        <w:b/>
        <w:sz w:val="18"/>
      </w:rPr>
      <w:fldChar w:fldCharType="begin"/>
    </w:r>
    <w:r w:rsidRPr="008C5C65">
      <w:rPr>
        <w:b/>
        <w:sz w:val="18"/>
      </w:rPr>
      <w:instrText xml:space="preserve"> PAGE  \* MERGEFORMAT </w:instrText>
    </w:r>
    <w:r w:rsidRPr="008C5C65">
      <w:rPr>
        <w:b/>
        <w:sz w:val="18"/>
      </w:rPr>
      <w:fldChar w:fldCharType="separate"/>
    </w:r>
    <w:r w:rsidRPr="008C5C65">
      <w:rPr>
        <w:b/>
        <w:noProof/>
        <w:sz w:val="18"/>
      </w:rPr>
      <w:t>3</w:t>
    </w:r>
    <w:r w:rsidRPr="008C5C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E1FA" w14:textId="38F43A3A" w:rsidR="00042B72" w:rsidRPr="008C5C65" w:rsidRDefault="008C5C65" w:rsidP="008C5C6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0335A5" wp14:editId="651447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22-12569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54F903" wp14:editId="6256DEF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020922   020922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1529" w14:textId="77777777" w:rsidR="00B2431D" w:rsidRPr="001075E9" w:rsidRDefault="00B243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6F5F7D" w14:textId="77777777" w:rsidR="00B2431D" w:rsidRDefault="00B243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0CE8" w14:textId="2881B2BE" w:rsidR="008C5C65" w:rsidRPr="008C5C65" w:rsidRDefault="008C5C65">
    <w:pPr>
      <w:pStyle w:val="a5"/>
    </w:pPr>
    <w:fldSimple w:instr=" TITLE  \* MERGEFORMAT ">
      <w:r w:rsidR="00C841A0">
        <w:t>ECE/TRANS/WP.11/2022/19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67D3" w14:textId="7587B3E1" w:rsidR="008C5C65" w:rsidRPr="008C5C65" w:rsidRDefault="008C5C65" w:rsidP="008C5C65">
    <w:pPr>
      <w:pStyle w:val="a5"/>
      <w:jc w:val="right"/>
    </w:pPr>
    <w:fldSimple w:instr=" TITLE  \* MERGEFORMAT ">
      <w:r w:rsidR="00C841A0">
        <w:t>ECE/TRANS/WP.11/2022/19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5C65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431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41A0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2B7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939F4"/>
  <w15:docId w15:val="{064505FF-10F8-42FF-9BA4-285931C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8C5C65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8C5C6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8C5C6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68B83-38CD-4888-B33A-A80431AD8DB7}"/>
</file>

<file path=customXml/itemProps2.xml><?xml version="1.0" encoding="utf-8"?>
<ds:datastoreItem xmlns:ds="http://schemas.openxmlformats.org/officeDocument/2006/customXml" ds:itemID="{83321C73-69C5-48C4-9366-00AB0E57AE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2</Pages>
  <Words>408</Words>
  <Characters>2845</Characters>
  <Application>Microsoft Office Word</Application>
  <DocSecurity>0</DocSecurity>
  <Lines>71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ECE/TRANS/WP.11/2022/19</dc:title>
  <dc:subject/>
  <dc:creator>Tatiana CHVETS</dc:creator>
  <cp:keywords/>
  <cp:lastModifiedBy>Tatiana Chvets</cp:lastModifiedBy>
  <cp:revision>3</cp:revision>
  <cp:lastPrinted>2022-09-02T06:47:00Z</cp:lastPrinted>
  <dcterms:created xsi:type="dcterms:W3CDTF">2022-09-02T06:47:00Z</dcterms:created>
  <dcterms:modified xsi:type="dcterms:W3CDTF">2022-09-02T06:47:00Z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