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3236BA0" w14:textId="77777777" w:rsidTr="00C97039">
        <w:trPr>
          <w:trHeight w:hRule="exact" w:val="851"/>
        </w:trPr>
        <w:tc>
          <w:tcPr>
            <w:tcW w:w="1276" w:type="dxa"/>
            <w:tcBorders>
              <w:bottom w:val="single" w:sz="4" w:space="0" w:color="auto"/>
            </w:tcBorders>
          </w:tcPr>
          <w:p w14:paraId="79D2182F" w14:textId="77777777" w:rsidR="00F35BAF" w:rsidRPr="00DB58B5" w:rsidRDefault="00F35BAF" w:rsidP="00C97039"/>
        </w:tc>
        <w:tc>
          <w:tcPr>
            <w:tcW w:w="2268" w:type="dxa"/>
            <w:tcBorders>
              <w:bottom w:val="single" w:sz="4" w:space="0" w:color="auto"/>
            </w:tcBorders>
            <w:vAlign w:val="bottom"/>
          </w:tcPr>
          <w:p w14:paraId="0BF6CD7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353AF4" w14:textId="34CF8A26" w:rsidR="00F35BAF" w:rsidRPr="00DB58B5" w:rsidRDefault="00B73197" w:rsidP="00B73197">
            <w:pPr>
              <w:jc w:val="right"/>
            </w:pPr>
            <w:r w:rsidRPr="00B73197">
              <w:rPr>
                <w:sz w:val="40"/>
              </w:rPr>
              <w:t>ECE</w:t>
            </w:r>
            <w:r>
              <w:t>/TRANS/WP.11/2022/19</w:t>
            </w:r>
          </w:p>
        </w:tc>
      </w:tr>
      <w:tr w:rsidR="00F35BAF" w:rsidRPr="00DB58B5" w14:paraId="08E52218" w14:textId="77777777" w:rsidTr="00C97039">
        <w:trPr>
          <w:trHeight w:hRule="exact" w:val="2835"/>
        </w:trPr>
        <w:tc>
          <w:tcPr>
            <w:tcW w:w="1276" w:type="dxa"/>
            <w:tcBorders>
              <w:top w:val="single" w:sz="4" w:space="0" w:color="auto"/>
              <w:bottom w:val="single" w:sz="12" w:space="0" w:color="auto"/>
            </w:tcBorders>
          </w:tcPr>
          <w:p w14:paraId="50E48974" w14:textId="77777777" w:rsidR="00F35BAF" w:rsidRPr="00DB58B5" w:rsidRDefault="00F35BAF" w:rsidP="00C97039">
            <w:pPr>
              <w:spacing w:before="120"/>
              <w:jc w:val="center"/>
            </w:pPr>
            <w:r>
              <w:rPr>
                <w:noProof/>
                <w:lang w:eastAsia="fr-CH"/>
              </w:rPr>
              <w:drawing>
                <wp:inline distT="0" distB="0" distL="0" distR="0" wp14:anchorId="2A80DD45" wp14:editId="2CB56D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7A070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BD4D6D" w14:textId="77777777" w:rsidR="00F35BAF" w:rsidRDefault="00B73197" w:rsidP="00C97039">
            <w:pPr>
              <w:spacing w:before="240"/>
            </w:pPr>
            <w:r>
              <w:t>Distr. générale</w:t>
            </w:r>
          </w:p>
          <w:p w14:paraId="5415E0E0" w14:textId="54AE9D38" w:rsidR="00B73197" w:rsidRDefault="00B73197" w:rsidP="00B73197">
            <w:pPr>
              <w:spacing w:line="240" w:lineRule="exact"/>
            </w:pPr>
            <w:r>
              <w:t>12 août 2022</w:t>
            </w:r>
          </w:p>
          <w:p w14:paraId="23C50D53" w14:textId="77777777" w:rsidR="00B73197" w:rsidRDefault="00B73197" w:rsidP="00B73197">
            <w:pPr>
              <w:spacing w:line="240" w:lineRule="exact"/>
            </w:pPr>
            <w:r>
              <w:t>Français</w:t>
            </w:r>
          </w:p>
          <w:p w14:paraId="666D4461" w14:textId="21DF54CF" w:rsidR="00B73197" w:rsidRPr="00DB58B5" w:rsidRDefault="00B73197" w:rsidP="00B73197">
            <w:pPr>
              <w:spacing w:line="240" w:lineRule="exact"/>
            </w:pPr>
            <w:r>
              <w:t>Original : anglais</w:t>
            </w:r>
          </w:p>
        </w:tc>
      </w:tr>
    </w:tbl>
    <w:p w14:paraId="5959B8ED" w14:textId="77777777" w:rsidR="007F20FA" w:rsidRPr="000312C0" w:rsidRDefault="007F20FA" w:rsidP="007F20FA">
      <w:pPr>
        <w:spacing w:before="120"/>
        <w:rPr>
          <w:b/>
          <w:sz w:val="28"/>
          <w:szCs w:val="28"/>
        </w:rPr>
      </w:pPr>
      <w:r w:rsidRPr="000312C0">
        <w:rPr>
          <w:b/>
          <w:sz w:val="28"/>
          <w:szCs w:val="28"/>
        </w:rPr>
        <w:t>Commission économique pour l’Europe</w:t>
      </w:r>
    </w:p>
    <w:p w14:paraId="62183D81" w14:textId="77777777" w:rsidR="007F20FA" w:rsidRDefault="007F20FA" w:rsidP="007F20FA">
      <w:pPr>
        <w:spacing w:before="120"/>
        <w:rPr>
          <w:sz w:val="28"/>
          <w:szCs w:val="28"/>
        </w:rPr>
      </w:pPr>
      <w:r w:rsidRPr="00685843">
        <w:rPr>
          <w:sz w:val="28"/>
          <w:szCs w:val="28"/>
        </w:rPr>
        <w:t>Comité des transports intérieurs</w:t>
      </w:r>
    </w:p>
    <w:p w14:paraId="57B463E9" w14:textId="77777777" w:rsidR="00B73197" w:rsidRPr="00685843" w:rsidRDefault="00B73197" w:rsidP="00305801">
      <w:pPr>
        <w:spacing w:before="120"/>
        <w:rPr>
          <w:b/>
          <w:sz w:val="24"/>
          <w:szCs w:val="24"/>
        </w:rPr>
      </w:pPr>
      <w:r>
        <w:rPr>
          <w:b/>
          <w:sz w:val="24"/>
          <w:szCs w:val="24"/>
        </w:rPr>
        <w:t>Groupe de travail du transport des denrées périssables</w:t>
      </w:r>
    </w:p>
    <w:p w14:paraId="3E69C11B" w14:textId="1AF2C098" w:rsidR="00B73197" w:rsidRPr="00F30D47" w:rsidRDefault="00B73197" w:rsidP="00305801">
      <w:pPr>
        <w:spacing w:before="120"/>
        <w:rPr>
          <w:b/>
        </w:rPr>
      </w:pPr>
      <w:r>
        <w:rPr>
          <w:b/>
        </w:rPr>
        <w:t xml:space="preserve">Soixante-dix-neuvième </w:t>
      </w:r>
      <w:r w:rsidRPr="00F30D47">
        <w:rPr>
          <w:b/>
        </w:rPr>
        <w:t>session</w:t>
      </w:r>
    </w:p>
    <w:p w14:paraId="7A21EC04" w14:textId="59BDEE6E" w:rsidR="00B73197" w:rsidRDefault="00B73197" w:rsidP="00305801">
      <w:r>
        <w:t>Genève, 25-28 octobre 2022</w:t>
      </w:r>
    </w:p>
    <w:p w14:paraId="02685309" w14:textId="4851A84D" w:rsidR="00B73197" w:rsidRDefault="00B73197" w:rsidP="00305801">
      <w:r>
        <w:t>Point 5 b) de l’ordre du jour provisoire</w:t>
      </w:r>
    </w:p>
    <w:p w14:paraId="04EA840F" w14:textId="3B7141F9" w:rsidR="00B73197" w:rsidRPr="007108DC" w:rsidRDefault="00B73197" w:rsidP="00B73197">
      <w:pPr>
        <w:rPr>
          <w:b/>
          <w:bCs/>
        </w:rPr>
      </w:pPr>
      <w:r>
        <w:rPr>
          <w:b/>
          <w:bCs/>
          <w:lang w:val="fr-FR"/>
        </w:rPr>
        <w:t>Propositions d’amendements à l’ATP</w:t>
      </w:r>
      <w:r>
        <w:rPr>
          <w:b/>
          <w:bCs/>
          <w:lang w:val="fr-FR"/>
        </w:rPr>
        <w:t> </w:t>
      </w:r>
      <w:r>
        <w:rPr>
          <w:b/>
          <w:bCs/>
          <w:lang w:val="fr-FR"/>
        </w:rPr>
        <w:t>:</w:t>
      </w:r>
      <w:r>
        <w:rPr>
          <w:b/>
          <w:bCs/>
        </w:rPr>
        <w:t xml:space="preserve"> </w:t>
      </w:r>
      <w:r>
        <w:rPr>
          <w:b/>
          <w:bCs/>
          <w:lang w:val="fr-FR"/>
        </w:rPr>
        <w:t>nouvelles propositions</w:t>
      </w:r>
    </w:p>
    <w:p w14:paraId="33D8EE6B" w14:textId="5AE7A776" w:rsidR="00B73197" w:rsidRPr="007108DC" w:rsidRDefault="00B73197" w:rsidP="00B73197">
      <w:pPr>
        <w:pStyle w:val="HChG"/>
      </w:pPr>
      <w:r>
        <w:rPr>
          <w:lang w:val="fr-FR"/>
        </w:rPr>
        <w:tab/>
      </w:r>
      <w:r>
        <w:rPr>
          <w:lang w:val="fr-FR"/>
        </w:rPr>
        <w:tab/>
        <w:t>Correction de la définition du terme « engin » au</w:t>
      </w:r>
      <w:r>
        <w:rPr>
          <w:lang w:val="fr-FR"/>
        </w:rPr>
        <w:t> </w:t>
      </w:r>
      <w:r>
        <w:rPr>
          <w:lang w:val="fr-FR"/>
        </w:rPr>
        <w:t>paragraphe 7 de l’annexe</w:t>
      </w:r>
      <w:r>
        <w:rPr>
          <w:lang w:val="fr-FR"/>
        </w:rPr>
        <w:t> </w:t>
      </w:r>
      <w:r>
        <w:rPr>
          <w:lang w:val="fr-FR"/>
        </w:rPr>
        <w:t>1</w:t>
      </w:r>
    </w:p>
    <w:p w14:paraId="243F56D7" w14:textId="77777777" w:rsidR="00B73197" w:rsidRPr="007108DC" w:rsidRDefault="00B73197" w:rsidP="00B73197">
      <w:pPr>
        <w:pStyle w:val="H1G"/>
      </w:pPr>
      <w:r>
        <w:rPr>
          <w:lang w:val="fr-FR"/>
        </w:rPr>
        <w:tab/>
      </w:r>
      <w:r>
        <w:rPr>
          <w:lang w:val="fr-FR"/>
        </w:rPr>
        <w:tab/>
        <w:t>Communication du Gouvernement néerlandais</w:t>
      </w:r>
    </w:p>
    <w:p w14:paraId="2CF33306" w14:textId="77777777" w:rsidR="00B73197" w:rsidRPr="007108DC" w:rsidRDefault="00B73197" w:rsidP="00B73197">
      <w:pPr>
        <w:pStyle w:val="HChG"/>
      </w:pPr>
      <w:r>
        <w:rPr>
          <w:lang w:val="fr-FR"/>
        </w:rPr>
        <w:tab/>
      </w:r>
      <w:r>
        <w:rPr>
          <w:lang w:val="fr-FR"/>
        </w:rPr>
        <w:tab/>
      </w:r>
      <w:r>
        <w:rPr>
          <w:lang w:val="fr-FR"/>
        </w:rPr>
        <w:tab/>
        <w:t>Introduction</w:t>
      </w:r>
    </w:p>
    <w:p w14:paraId="08F93A82" w14:textId="7DC48B1A" w:rsidR="00B73197" w:rsidRPr="007108DC" w:rsidRDefault="00B73197" w:rsidP="00B73197">
      <w:pPr>
        <w:pStyle w:val="SingleTxtG"/>
      </w:pPr>
      <w:r>
        <w:rPr>
          <w:lang w:val="fr-FR"/>
        </w:rPr>
        <w:t>1.</w:t>
      </w:r>
      <w:r>
        <w:rPr>
          <w:lang w:val="fr-FR"/>
        </w:rPr>
        <w:tab/>
        <w:t>Dans l’ATP, tel que modifié au 1</w:t>
      </w:r>
      <w:r w:rsidRPr="00B73197">
        <w:rPr>
          <w:vertAlign w:val="superscript"/>
          <w:lang w:val="fr-FR"/>
        </w:rPr>
        <w:t>er</w:t>
      </w:r>
      <w:r>
        <w:rPr>
          <w:lang w:val="fr-FR"/>
        </w:rPr>
        <w:t> </w:t>
      </w:r>
      <w:r>
        <w:rPr>
          <w:lang w:val="fr-FR"/>
        </w:rPr>
        <w:t>juin 2022, une nouvelle définition du terme « engin » a été introduite au paragraphe</w:t>
      </w:r>
      <w:r>
        <w:rPr>
          <w:lang w:val="fr-FR"/>
        </w:rPr>
        <w:t> </w:t>
      </w:r>
      <w:r>
        <w:rPr>
          <w:lang w:val="fr-FR"/>
        </w:rPr>
        <w:t>7 de l’annexe</w:t>
      </w:r>
      <w:r>
        <w:rPr>
          <w:lang w:val="fr-FR"/>
        </w:rPr>
        <w:t> </w:t>
      </w:r>
      <w:r>
        <w:rPr>
          <w:lang w:val="fr-FR"/>
        </w:rPr>
        <w:t>1. Après l’adoption du texte par le</w:t>
      </w:r>
      <w:r>
        <w:rPr>
          <w:lang w:val="fr-FR"/>
        </w:rPr>
        <w:t> </w:t>
      </w:r>
      <w:r>
        <w:rPr>
          <w:lang w:val="fr-FR"/>
        </w:rPr>
        <w:t>WP.11, il a été constaté que la définition manquait de clarté et pouvait prêter à confusion, voire créer des problèmes d’ordre juridique.</w:t>
      </w:r>
    </w:p>
    <w:p w14:paraId="5C465216" w14:textId="2E73D90A" w:rsidR="00B73197" w:rsidRPr="007108DC" w:rsidRDefault="00B73197" w:rsidP="00B73197">
      <w:pPr>
        <w:pStyle w:val="SingleTxtG"/>
      </w:pPr>
      <w:r>
        <w:rPr>
          <w:lang w:val="fr-FR"/>
        </w:rPr>
        <w:t>2.</w:t>
      </w:r>
      <w:r>
        <w:rPr>
          <w:lang w:val="fr-FR"/>
        </w:rPr>
        <w:tab/>
        <w:t>La définition se lit comme suit</w:t>
      </w:r>
      <w:r>
        <w:rPr>
          <w:lang w:val="fr-FR"/>
        </w:rPr>
        <w:t> </w:t>
      </w:r>
      <w:r>
        <w:rPr>
          <w:lang w:val="fr-FR"/>
        </w:rPr>
        <w:t>:</w:t>
      </w:r>
    </w:p>
    <w:p w14:paraId="10C7ED10" w14:textId="77777777" w:rsidR="00B73197" w:rsidRPr="007108DC" w:rsidRDefault="00B73197" w:rsidP="00B73197">
      <w:pPr>
        <w:pStyle w:val="SingleTxtG"/>
        <w:ind w:left="1701"/>
      </w:pPr>
      <w:r>
        <w:rPr>
          <w:lang w:val="fr-FR"/>
        </w:rPr>
        <w:t>« </w:t>
      </w:r>
      <w:r w:rsidRPr="00B73197">
        <w:rPr>
          <w:i/>
          <w:iCs/>
          <w:lang w:val="fr-FR"/>
        </w:rPr>
        <w:t>Engin</w:t>
      </w:r>
      <w:r>
        <w:rPr>
          <w:lang w:val="fr-FR"/>
        </w:rPr>
        <w:t> : ensemble d’éléments constituant une caisse isotherme et la structure de support nécessaire à son transport sur route ou sur rail. Les dispositifs thermiques peuvent faire partie de cet ensemble ».</w:t>
      </w:r>
    </w:p>
    <w:p w14:paraId="60DE34D6" w14:textId="021D1A2B" w:rsidR="00B73197" w:rsidRPr="007108DC" w:rsidRDefault="00B73197" w:rsidP="00B73197">
      <w:pPr>
        <w:pStyle w:val="HChG"/>
      </w:pPr>
      <w:r>
        <w:rPr>
          <w:lang w:val="fr-FR"/>
        </w:rPr>
        <w:tab/>
      </w:r>
      <w:r>
        <w:rPr>
          <w:lang w:val="fr-FR"/>
        </w:rPr>
        <w:t>I.</w:t>
      </w:r>
      <w:r>
        <w:rPr>
          <w:lang w:val="fr-FR"/>
        </w:rPr>
        <w:tab/>
        <w:t>Proposition</w:t>
      </w:r>
    </w:p>
    <w:p w14:paraId="479DCE28" w14:textId="31819167" w:rsidR="00B73197" w:rsidRPr="007108DC" w:rsidRDefault="00B73197" w:rsidP="00B73197">
      <w:pPr>
        <w:pStyle w:val="SingleTxtG"/>
      </w:pPr>
      <w:r>
        <w:rPr>
          <w:lang w:val="fr-FR"/>
        </w:rPr>
        <w:t>3.</w:t>
      </w:r>
      <w:r>
        <w:rPr>
          <w:lang w:val="fr-FR"/>
        </w:rPr>
        <w:tab/>
        <w:t>Il est proposé de remplacer la définition actuelle par la suivante :</w:t>
      </w:r>
    </w:p>
    <w:p w14:paraId="0BFABB43" w14:textId="25BC88C3" w:rsidR="00B73197" w:rsidRPr="007108DC" w:rsidRDefault="00B73197" w:rsidP="00253D3C">
      <w:pPr>
        <w:pStyle w:val="SingleTxtG"/>
        <w:ind w:left="1701"/>
      </w:pPr>
      <w:r>
        <w:rPr>
          <w:lang w:val="fr-FR"/>
        </w:rPr>
        <w:t>« </w:t>
      </w:r>
      <w:r w:rsidRPr="00253D3C">
        <w:rPr>
          <w:i/>
          <w:iCs/>
          <w:lang w:val="fr-FR"/>
        </w:rPr>
        <w:t>Engin</w:t>
      </w:r>
      <w:r w:rsidR="00253D3C">
        <w:rPr>
          <w:lang w:val="fr-FR"/>
        </w:rPr>
        <w:t> </w:t>
      </w:r>
      <w:r>
        <w:rPr>
          <w:lang w:val="fr-FR"/>
        </w:rPr>
        <w:t>: caisse comprenant des parois, des portes, un plancher et un toit isolants et rigides, qui permettent de limiter les échanges de chaleur entre l’intérieur et l’extérieur de la caisse. Dans le cas des citernes, le terme « caisse » désigne la citerne elle</w:t>
      </w:r>
      <w:r w:rsidR="00253D3C">
        <w:rPr>
          <w:lang w:val="fr-FR"/>
        </w:rPr>
        <w:noBreakHyphen/>
      </w:r>
      <w:r>
        <w:rPr>
          <w:lang w:val="fr-FR"/>
        </w:rPr>
        <w:t>même ».</w:t>
      </w:r>
    </w:p>
    <w:p w14:paraId="2CEEADF1" w14:textId="1448AD3C" w:rsidR="00B73197" w:rsidRPr="007108DC" w:rsidRDefault="00B73197" w:rsidP="00B73197">
      <w:pPr>
        <w:pStyle w:val="SingleTxtG"/>
      </w:pPr>
      <w:r>
        <w:rPr>
          <w:lang w:val="fr-FR"/>
        </w:rPr>
        <w:t>4.</w:t>
      </w:r>
      <w:r>
        <w:rPr>
          <w:lang w:val="fr-FR"/>
        </w:rPr>
        <w:tab/>
        <w:t>La seconde phrase, sur les citernes, étant désormais incluse dans la définition, la note de bas de page</w:t>
      </w:r>
      <w:r w:rsidR="00253D3C">
        <w:rPr>
          <w:lang w:val="fr-FR"/>
        </w:rPr>
        <w:t> </w:t>
      </w:r>
      <w:r>
        <w:rPr>
          <w:lang w:val="fr-FR"/>
        </w:rPr>
        <w:t>2 du paragraphe</w:t>
      </w:r>
      <w:r w:rsidR="00253D3C">
        <w:rPr>
          <w:lang w:val="fr-FR"/>
        </w:rPr>
        <w:t> </w:t>
      </w:r>
      <w:r>
        <w:rPr>
          <w:lang w:val="fr-FR"/>
        </w:rPr>
        <w:t>1 de l’annexe</w:t>
      </w:r>
      <w:r w:rsidR="00253D3C">
        <w:rPr>
          <w:lang w:val="fr-FR"/>
        </w:rPr>
        <w:t> </w:t>
      </w:r>
      <w:r>
        <w:rPr>
          <w:lang w:val="fr-FR"/>
        </w:rPr>
        <w:t>1 peut être supprimée, au titre d’amendement de conséquence (voir ci-dessous) :</w:t>
      </w:r>
    </w:p>
    <w:p w14:paraId="5B93BDA8" w14:textId="77777777" w:rsidR="00B73197" w:rsidRPr="007108DC" w:rsidRDefault="00B73197" w:rsidP="00253D3C">
      <w:pPr>
        <w:pStyle w:val="SingleTxtG"/>
        <w:ind w:left="1701"/>
        <w:rPr>
          <w:i/>
          <w:iCs/>
          <w:strike/>
        </w:rPr>
      </w:pPr>
      <w:r>
        <w:rPr>
          <w:i/>
          <w:iCs/>
          <w:strike/>
          <w:lang w:val="fr-FR"/>
        </w:rPr>
        <w:t>2 Dans le cas d’engins-citernes, l’expression "caisse" désigne, dans la présente définition, la citerne elle-même.</w:t>
      </w:r>
    </w:p>
    <w:p w14:paraId="4DDFBE55" w14:textId="0E68EC60" w:rsidR="00B73197" w:rsidRPr="007108DC" w:rsidRDefault="00253D3C" w:rsidP="00253D3C">
      <w:pPr>
        <w:pStyle w:val="HChG"/>
      </w:pPr>
      <w:r>
        <w:rPr>
          <w:lang w:val="fr-FR"/>
        </w:rPr>
        <w:lastRenderedPageBreak/>
        <w:tab/>
      </w:r>
      <w:r w:rsidR="00B73197">
        <w:rPr>
          <w:lang w:val="fr-FR"/>
        </w:rPr>
        <w:t>II.</w:t>
      </w:r>
      <w:r w:rsidR="00B73197">
        <w:rPr>
          <w:lang w:val="fr-FR"/>
        </w:rPr>
        <w:tab/>
        <w:t>Justification</w:t>
      </w:r>
    </w:p>
    <w:p w14:paraId="1B9596BA" w14:textId="552B88D9" w:rsidR="00B73197" w:rsidRPr="007108DC" w:rsidRDefault="00B73197" w:rsidP="00B73197">
      <w:pPr>
        <w:pStyle w:val="SingleTxtG"/>
      </w:pPr>
      <w:r>
        <w:rPr>
          <w:lang w:val="fr-FR"/>
        </w:rPr>
        <w:t>5.</w:t>
      </w:r>
      <w:r>
        <w:rPr>
          <w:lang w:val="fr-FR"/>
        </w:rPr>
        <w:tab/>
        <w:t>Telle qu’elle est actuellement libellée, la définition pose les problèmes suivants</w:t>
      </w:r>
      <w:r w:rsidR="00253D3C">
        <w:rPr>
          <w:lang w:val="fr-FR"/>
        </w:rPr>
        <w:t> </w:t>
      </w:r>
      <w:r>
        <w:rPr>
          <w:lang w:val="fr-FR"/>
        </w:rPr>
        <w:t>:</w:t>
      </w:r>
    </w:p>
    <w:p w14:paraId="54C41ADC" w14:textId="7115A47A" w:rsidR="00B73197" w:rsidRPr="007108DC" w:rsidRDefault="00B73197" w:rsidP="00253D3C">
      <w:pPr>
        <w:pStyle w:val="Bullet1G"/>
      </w:pPr>
      <w:r>
        <w:rPr>
          <w:lang w:val="fr-FR"/>
        </w:rPr>
        <w:t>La « structure de support » ne fait pas partie de « l’engin », mais de « l’engin spécial », la différence étant que l’engin désigne la caisse isotherme proprement dite alors que l’engin spécial désigne la caisse assortie des parties d’un véhicule ou conteneur (voir la note de bas de page</w:t>
      </w:r>
      <w:r w:rsidR="00926F6C">
        <w:rPr>
          <w:lang w:val="fr-FR"/>
        </w:rPr>
        <w:t> </w:t>
      </w:r>
      <w:r>
        <w:rPr>
          <w:lang w:val="fr-FR"/>
        </w:rPr>
        <w:t>1 du titre de l’annexe</w:t>
      </w:r>
      <w:r w:rsidR="00926F6C">
        <w:rPr>
          <w:lang w:val="fr-FR"/>
        </w:rPr>
        <w:t> </w:t>
      </w:r>
      <w:r>
        <w:rPr>
          <w:lang w:val="fr-FR"/>
        </w:rPr>
        <w:t>1). En pratique, la distinction n’est pas aussi nette, car l’armature du conteneur et le châssis de la remorque sont souvent considérés comme faisant partie de l’engin et doivent être inclus dans les procédures de mise à l’essai et d’approbation de ce dernier</w:t>
      </w:r>
      <w:r w:rsidR="00253D3C">
        <w:rPr>
          <w:lang w:val="fr-FR"/>
        </w:rPr>
        <w:t> ;</w:t>
      </w:r>
    </w:p>
    <w:p w14:paraId="02475A18" w14:textId="6653D8B3" w:rsidR="00B73197" w:rsidRPr="007108DC" w:rsidRDefault="00B73197" w:rsidP="00253D3C">
      <w:pPr>
        <w:pStyle w:val="Bullet1G"/>
      </w:pPr>
      <w:r>
        <w:rPr>
          <w:lang w:val="fr-FR"/>
        </w:rPr>
        <w:t>Bien que la définition ne mentionne que « le transport sur route ou sur rail », l’ATP s’applique également aux étapes d’un voyage par la mer. Le paragraphe</w:t>
      </w:r>
      <w:r w:rsidR="00253D3C">
        <w:rPr>
          <w:lang w:val="fr-FR"/>
        </w:rPr>
        <w:t> </w:t>
      </w:r>
      <w:r>
        <w:rPr>
          <w:lang w:val="fr-FR"/>
        </w:rPr>
        <w:t>1 de l’article</w:t>
      </w:r>
      <w:r w:rsidR="00253D3C">
        <w:rPr>
          <w:lang w:val="fr-FR"/>
        </w:rPr>
        <w:t> </w:t>
      </w:r>
      <w:r>
        <w:rPr>
          <w:lang w:val="fr-FR"/>
        </w:rPr>
        <w:t>3 de l’ATP stipule clairement que les dispositions de l’Accord sont applicables au transport soit par chemin de fer, soit par route, mais le paragraphe</w:t>
      </w:r>
      <w:r w:rsidR="00253D3C">
        <w:rPr>
          <w:lang w:val="fr-FR"/>
        </w:rPr>
        <w:t> </w:t>
      </w:r>
      <w:r>
        <w:rPr>
          <w:lang w:val="fr-FR"/>
        </w:rPr>
        <w:t>2 du même article étend ces dispositions aux trajets maritimes de moins de 150</w:t>
      </w:r>
      <w:r w:rsidR="00253D3C">
        <w:rPr>
          <w:lang w:val="fr-FR"/>
        </w:rPr>
        <w:t> </w:t>
      </w:r>
      <w:r>
        <w:rPr>
          <w:lang w:val="fr-FR"/>
        </w:rPr>
        <w:t>km.</w:t>
      </w:r>
    </w:p>
    <w:p w14:paraId="2C885503" w14:textId="3C11E088" w:rsidR="00F9573C" w:rsidRDefault="00B73197" w:rsidP="00B73197">
      <w:pPr>
        <w:pStyle w:val="SingleTxtG"/>
        <w:rPr>
          <w:lang w:val="fr-FR"/>
        </w:rPr>
      </w:pPr>
      <w:r>
        <w:rPr>
          <w:lang w:val="fr-FR"/>
        </w:rPr>
        <w:t>6.</w:t>
      </w:r>
      <w:r>
        <w:rPr>
          <w:lang w:val="fr-FR"/>
        </w:rPr>
        <w:tab/>
        <w:t>Une solution aurait été de supprimer la définition du terme « engin », car elle est déjà couverte par les normes relatives aux engins isothermes, réfrigérants, etc. énoncées à l’annexe</w:t>
      </w:r>
      <w:r w:rsidR="00253D3C">
        <w:rPr>
          <w:lang w:val="fr-FR"/>
        </w:rPr>
        <w:t> </w:t>
      </w:r>
      <w:r>
        <w:rPr>
          <w:lang w:val="fr-FR"/>
        </w:rPr>
        <w:t>1. Toutefois, après consultation d’autres experts, il a été convenu que le fait de regrouper les définitions au même endroit faciliterait la compréhension de l’Accord.</w:t>
      </w:r>
    </w:p>
    <w:p w14:paraId="14DF831F" w14:textId="2972C38C" w:rsidR="00253D3C" w:rsidRPr="00253D3C" w:rsidRDefault="00253D3C" w:rsidP="00253D3C">
      <w:pPr>
        <w:pStyle w:val="SingleTxtG"/>
        <w:spacing w:before="240" w:after="0"/>
        <w:jc w:val="center"/>
        <w:rPr>
          <w:u w:val="single"/>
        </w:rPr>
      </w:pPr>
      <w:r>
        <w:rPr>
          <w:u w:val="single"/>
        </w:rPr>
        <w:tab/>
      </w:r>
      <w:r>
        <w:rPr>
          <w:u w:val="single"/>
        </w:rPr>
        <w:tab/>
      </w:r>
      <w:r>
        <w:rPr>
          <w:u w:val="single"/>
        </w:rPr>
        <w:tab/>
      </w:r>
      <w:r>
        <w:rPr>
          <w:u w:val="single"/>
        </w:rPr>
        <w:tab/>
      </w:r>
    </w:p>
    <w:sectPr w:rsidR="00253D3C" w:rsidRPr="00253D3C" w:rsidSect="00B731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57F9" w14:textId="77777777" w:rsidR="008D47F3" w:rsidRDefault="008D47F3" w:rsidP="00F95C08">
      <w:pPr>
        <w:spacing w:line="240" w:lineRule="auto"/>
      </w:pPr>
    </w:p>
  </w:endnote>
  <w:endnote w:type="continuationSeparator" w:id="0">
    <w:p w14:paraId="53439FD5" w14:textId="77777777" w:rsidR="008D47F3" w:rsidRPr="00AC3823" w:rsidRDefault="008D47F3" w:rsidP="00AC3823">
      <w:pPr>
        <w:pStyle w:val="Pieddepage"/>
      </w:pPr>
    </w:p>
  </w:endnote>
  <w:endnote w:type="continuationNotice" w:id="1">
    <w:p w14:paraId="0BDE0BDB" w14:textId="77777777" w:rsidR="008D47F3" w:rsidRDefault="008D47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354" w14:textId="0F40C19F" w:rsidR="00B73197" w:rsidRPr="00B73197" w:rsidRDefault="00B73197" w:rsidP="00B73197">
    <w:pPr>
      <w:pStyle w:val="Pieddepage"/>
      <w:tabs>
        <w:tab w:val="right" w:pos="9638"/>
      </w:tabs>
    </w:pPr>
    <w:r w:rsidRPr="00B73197">
      <w:rPr>
        <w:b/>
        <w:sz w:val="18"/>
      </w:rPr>
      <w:fldChar w:fldCharType="begin"/>
    </w:r>
    <w:r w:rsidRPr="00B73197">
      <w:rPr>
        <w:b/>
        <w:sz w:val="18"/>
      </w:rPr>
      <w:instrText xml:space="preserve"> PAGE  \* MERGEFORMAT </w:instrText>
    </w:r>
    <w:r w:rsidRPr="00B73197">
      <w:rPr>
        <w:b/>
        <w:sz w:val="18"/>
      </w:rPr>
      <w:fldChar w:fldCharType="separate"/>
    </w:r>
    <w:r w:rsidRPr="00B73197">
      <w:rPr>
        <w:b/>
        <w:noProof/>
        <w:sz w:val="18"/>
      </w:rPr>
      <w:t>2</w:t>
    </w:r>
    <w:r w:rsidRPr="00B73197">
      <w:rPr>
        <w:b/>
        <w:sz w:val="18"/>
      </w:rPr>
      <w:fldChar w:fldCharType="end"/>
    </w:r>
    <w:r>
      <w:rPr>
        <w:b/>
        <w:sz w:val="18"/>
      </w:rPr>
      <w:tab/>
    </w:r>
    <w:r>
      <w:t>GE.22-12569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6A2F" w14:textId="3212B089" w:rsidR="00B73197" w:rsidRPr="00B73197" w:rsidRDefault="00B73197" w:rsidP="00B73197">
    <w:pPr>
      <w:pStyle w:val="Pieddepage"/>
      <w:tabs>
        <w:tab w:val="right" w:pos="9638"/>
      </w:tabs>
      <w:rPr>
        <w:b/>
        <w:sz w:val="18"/>
      </w:rPr>
    </w:pPr>
    <w:r>
      <w:t>GE.22-12569</w:t>
    </w:r>
    <w:r>
      <w:tab/>
    </w:r>
    <w:r w:rsidRPr="00B73197">
      <w:rPr>
        <w:b/>
        <w:sz w:val="18"/>
      </w:rPr>
      <w:fldChar w:fldCharType="begin"/>
    </w:r>
    <w:r w:rsidRPr="00B73197">
      <w:rPr>
        <w:b/>
        <w:sz w:val="18"/>
      </w:rPr>
      <w:instrText xml:space="preserve"> PAGE  \* MERGEFORMAT </w:instrText>
    </w:r>
    <w:r w:rsidRPr="00B73197">
      <w:rPr>
        <w:b/>
        <w:sz w:val="18"/>
      </w:rPr>
      <w:fldChar w:fldCharType="separate"/>
    </w:r>
    <w:r w:rsidRPr="00B73197">
      <w:rPr>
        <w:b/>
        <w:noProof/>
        <w:sz w:val="18"/>
      </w:rPr>
      <w:t>3</w:t>
    </w:r>
    <w:r w:rsidRPr="00B731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1F00" w14:textId="0AA2A000" w:rsidR="007F20FA" w:rsidRPr="00B73197" w:rsidRDefault="00B73197" w:rsidP="00B7319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A788531" wp14:editId="458042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22-12569  (F)</w:t>
    </w:r>
    <w:r>
      <w:rPr>
        <w:noProof/>
        <w:sz w:val="20"/>
      </w:rPr>
      <w:drawing>
        <wp:anchor distT="0" distB="0" distL="114300" distR="114300" simplePos="0" relativeHeight="251660288" behindDoc="0" locked="0" layoutInCell="1" allowOverlap="1" wp14:anchorId="58B7CE20" wp14:editId="1EC9801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DFE7" w14:textId="77777777" w:rsidR="008D47F3" w:rsidRPr="00AC3823" w:rsidRDefault="008D47F3" w:rsidP="00AC3823">
      <w:pPr>
        <w:pStyle w:val="Pieddepage"/>
        <w:tabs>
          <w:tab w:val="right" w:pos="2155"/>
        </w:tabs>
        <w:spacing w:after="80" w:line="240" w:lineRule="atLeast"/>
        <w:ind w:left="680"/>
        <w:rPr>
          <w:u w:val="single"/>
        </w:rPr>
      </w:pPr>
      <w:r>
        <w:rPr>
          <w:u w:val="single"/>
        </w:rPr>
        <w:tab/>
      </w:r>
    </w:p>
  </w:footnote>
  <w:footnote w:type="continuationSeparator" w:id="0">
    <w:p w14:paraId="40E31C49" w14:textId="77777777" w:rsidR="008D47F3" w:rsidRPr="00AC3823" w:rsidRDefault="008D47F3" w:rsidP="00AC3823">
      <w:pPr>
        <w:pStyle w:val="Pieddepage"/>
        <w:tabs>
          <w:tab w:val="right" w:pos="2155"/>
        </w:tabs>
        <w:spacing w:after="80" w:line="240" w:lineRule="atLeast"/>
        <w:ind w:left="680"/>
        <w:rPr>
          <w:u w:val="single"/>
        </w:rPr>
      </w:pPr>
      <w:r>
        <w:rPr>
          <w:u w:val="single"/>
        </w:rPr>
        <w:tab/>
      </w:r>
    </w:p>
  </w:footnote>
  <w:footnote w:type="continuationNotice" w:id="1">
    <w:p w14:paraId="79DDD9F0" w14:textId="77777777" w:rsidR="008D47F3" w:rsidRPr="00AC3823" w:rsidRDefault="008D47F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8540" w14:textId="4C84525E" w:rsidR="00B73197" w:rsidRPr="00B73197" w:rsidRDefault="00B73197">
    <w:pPr>
      <w:pStyle w:val="En-tte"/>
    </w:pPr>
    <w:fldSimple w:instr=" TITLE  \* MERGEFORMAT ">
      <w:r>
        <w:t>ECE/TRANS/WP.11/2022/19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96F" w14:textId="5C09BDC3" w:rsidR="00B73197" w:rsidRPr="00B73197" w:rsidRDefault="00B73197" w:rsidP="00B73197">
    <w:pPr>
      <w:pStyle w:val="En-tte"/>
      <w:jc w:val="right"/>
    </w:pPr>
    <w:fldSimple w:instr=" TITLE  \* MERGEFORMAT ">
      <w:r>
        <w:t>ECE/TRANS/WP.11/2022/19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F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3D3C"/>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67A39"/>
    <w:rsid w:val="00573BE5"/>
    <w:rsid w:val="00586ED3"/>
    <w:rsid w:val="00596AA9"/>
    <w:rsid w:val="0071601D"/>
    <w:rsid w:val="007A62E6"/>
    <w:rsid w:val="007F20FA"/>
    <w:rsid w:val="0080684C"/>
    <w:rsid w:val="00871C75"/>
    <w:rsid w:val="008776DC"/>
    <w:rsid w:val="008D47F3"/>
    <w:rsid w:val="008D5EF9"/>
    <w:rsid w:val="00926F6C"/>
    <w:rsid w:val="009446C0"/>
    <w:rsid w:val="009705C8"/>
    <w:rsid w:val="009C1CF4"/>
    <w:rsid w:val="009F6B74"/>
    <w:rsid w:val="00A3029F"/>
    <w:rsid w:val="00A30353"/>
    <w:rsid w:val="00AC3823"/>
    <w:rsid w:val="00AE323C"/>
    <w:rsid w:val="00AF0CB5"/>
    <w:rsid w:val="00B00181"/>
    <w:rsid w:val="00B00B0D"/>
    <w:rsid w:val="00B45F2E"/>
    <w:rsid w:val="00B73197"/>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6A127"/>
  <w15:docId w15:val="{1F2BB1FC-9113-4E15-93FB-32E5C20E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71B78-B896-41C7-9574-E763A95063B8}"/>
</file>

<file path=customXml/itemProps2.xml><?xml version="1.0" encoding="utf-8"?>
<ds:datastoreItem xmlns:ds="http://schemas.openxmlformats.org/officeDocument/2006/customXml" ds:itemID="{DA08BE3F-7B83-4789-98CA-B596312BA18F}"/>
</file>

<file path=docProps/app.xml><?xml version="1.0" encoding="utf-8"?>
<Properties xmlns="http://schemas.openxmlformats.org/officeDocument/2006/extended-properties" xmlns:vt="http://schemas.openxmlformats.org/officeDocument/2006/docPropsVTypes">
  <Template>ECE_TRANS.dotm</Template>
  <TotalTime>0</TotalTime>
  <Pages>2</Pages>
  <Words>526</Words>
  <Characters>2701</Characters>
  <Application>Microsoft Office Word</Application>
  <DocSecurity>0</DocSecurity>
  <Lines>58</Lines>
  <Paragraphs>30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ECE/TRANS/WP.11/2022/19</dc:title>
  <dc:subject/>
  <dc:creator>Marie DESCHAMPS</dc:creator>
  <cp:keywords/>
  <cp:lastModifiedBy>Marie Deschamps</cp:lastModifiedBy>
  <cp:revision>2</cp:revision>
  <cp:lastPrinted>2014-05-14T10:59:00Z</cp:lastPrinted>
  <dcterms:created xsi:type="dcterms:W3CDTF">2022-09-06T11:33:00Z</dcterms:created>
  <dcterms:modified xsi:type="dcterms:W3CDTF">2022-09-06T11:33:00Z</dcterms:modified>
</cp:coreProperties>
</file>