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81FFF06" w14:textId="77777777" w:rsidTr="000D1B89">
        <w:trPr>
          <w:cantSplit/>
          <w:trHeight w:hRule="exact" w:val="851"/>
        </w:trPr>
        <w:tc>
          <w:tcPr>
            <w:tcW w:w="1276" w:type="dxa"/>
            <w:tcBorders>
              <w:bottom w:val="single" w:sz="4" w:space="0" w:color="auto"/>
            </w:tcBorders>
            <w:vAlign w:val="bottom"/>
          </w:tcPr>
          <w:p w14:paraId="69228468" w14:textId="77777777" w:rsidR="00717266" w:rsidRDefault="00717266" w:rsidP="000D1B89">
            <w:pPr>
              <w:spacing w:after="80"/>
            </w:pPr>
          </w:p>
        </w:tc>
        <w:tc>
          <w:tcPr>
            <w:tcW w:w="2268" w:type="dxa"/>
            <w:tcBorders>
              <w:bottom w:val="single" w:sz="4" w:space="0" w:color="auto"/>
            </w:tcBorders>
            <w:vAlign w:val="bottom"/>
          </w:tcPr>
          <w:p w14:paraId="6C3E6DBC"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204AAFA" w14:textId="77777777" w:rsidR="00717266" w:rsidRPr="00D47EEA" w:rsidRDefault="002D66B9" w:rsidP="002D66B9">
            <w:pPr>
              <w:suppressAutoHyphens w:val="0"/>
              <w:spacing w:after="20"/>
              <w:jc w:val="right"/>
            </w:pPr>
            <w:r w:rsidRPr="002D66B9">
              <w:rPr>
                <w:sz w:val="40"/>
              </w:rPr>
              <w:t>ECE</w:t>
            </w:r>
            <w:r>
              <w:t>/TRANS/WP.11/2022/3</w:t>
            </w:r>
          </w:p>
        </w:tc>
      </w:tr>
      <w:tr w:rsidR="00717266" w14:paraId="3469B9C9" w14:textId="77777777" w:rsidTr="000D1B89">
        <w:trPr>
          <w:cantSplit/>
          <w:trHeight w:hRule="exact" w:val="2835"/>
        </w:trPr>
        <w:tc>
          <w:tcPr>
            <w:tcW w:w="1276" w:type="dxa"/>
            <w:tcBorders>
              <w:top w:val="single" w:sz="4" w:space="0" w:color="auto"/>
              <w:bottom w:val="single" w:sz="12" w:space="0" w:color="auto"/>
            </w:tcBorders>
          </w:tcPr>
          <w:p w14:paraId="7E8790F2" w14:textId="77777777" w:rsidR="00717266" w:rsidRDefault="00717266" w:rsidP="000D1B89">
            <w:pPr>
              <w:spacing w:before="120"/>
            </w:pPr>
            <w:r>
              <w:rPr>
                <w:noProof/>
                <w:lang w:val="fr-CH" w:eastAsia="fr-CH"/>
              </w:rPr>
              <w:drawing>
                <wp:inline distT="0" distB="0" distL="0" distR="0" wp14:anchorId="3917F609" wp14:editId="6746884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D09936"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A928BDA" w14:textId="77777777" w:rsidR="00717266" w:rsidRDefault="002D66B9" w:rsidP="002D66B9">
            <w:pPr>
              <w:spacing w:before="240"/>
            </w:pPr>
            <w:r>
              <w:t>Distr.: General</w:t>
            </w:r>
          </w:p>
          <w:p w14:paraId="530BFEDD" w14:textId="626E7B65" w:rsidR="002D66B9" w:rsidRDefault="00F72025" w:rsidP="002D66B9">
            <w:pPr>
              <w:suppressAutoHyphens w:val="0"/>
            </w:pPr>
            <w:r>
              <w:t xml:space="preserve">8 </w:t>
            </w:r>
            <w:r w:rsidR="002D66B9">
              <w:t>February 2022</w:t>
            </w:r>
          </w:p>
          <w:p w14:paraId="0E3D47DE" w14:textId="691A1825" w:rsidR="002D66B9" w:rsidRDefault="00F72025" w:rsidP="002D66B9">
            <w:pPr>
              <w:suppressAutoHyphens w:val="0"/>
            </w:pPr>
            <w:r>
              <w:t>English</w:t>
            </w:r>
          </w:p>
          <w:p w14:paraId="5FFAD27C" w14:textId="77777777" w:rsidR="002D66B9" w:rsidRDefault="002D66B9" w:rsidP="002D66B9">
            <w:pPr>
              <w:suppressAutoHyphens w:val="0"/>
            </w:pPr>
            <w:r>
              <w:t>Original: French</w:t>
            </w:r>
          </w:p>
        </w:tc>
      </w:tr>
    </w:tbl>
    <w:p w14:paraId="7ED9D6BA" w14:textId="77777777" w:rsidR="002D66B9" w:rsidRDefault="002D66B9">
      <w:pPr>
        <w:spacing w:before="120"/>
        <w:rPr>
          <w:b/>
          <w:sz w:val="28"/>
          <w:szCs w:val="28"/>
        </w:rPr>
      </w:pPr>
      <w:r>
        <w:rPr>
          <w:b/>
          <w:sz w:val="28"/>
          <w:szCs w:val="28"/>
        </w:rPr>
        <w:t>Economic Commission for Europe</w:t>
      </w:r>
    </w:p>
    <w:p w14:paraId="060F8CD8" w14:textId="77777777" w:rsidR="002D66B9" w:rsidRDefault="002D66B9">
      <w:pPr>
        <w:spacing w:before="120"/>
        <w:rPr>
          <w:sz w:val="28"/>
          <w:szCs w:val="28"/>
        </w:rPr>
      </w:pPr>
      <w:r>
        <w:rPr>
          <w:sz w:val="28"/>
          <w:szCs w:val="28"/>
        </w:rPr>
        <w:t>Inland Transport Committee</w:t>
      </w:r>
    </w:p>
    <w:p w14:paraId="34C620FF" w14:textId="0FE9CA14" w:rsidR="0064024F" w:rsidRPr="00071EDD" w:rsidRDefault="002D66B9" w:rsidP="0064024F">
      <w:pPr>
        <w:spacing w:before="120"/>
        <w:rPr>
          <w:b/>
          <w:sz w:val="24"/>
          <w:szCs w:val="24"/>
        </w:rPr>
      </w:pPr>
      <w:r>
        <w:rPr>
          <w:b/>
          <w:sz w:val="24"/>
          <w:szCs w:val="24"/>
        </w:rPr>
        <w:t xml:space="preserve">Working Party on the Transport of </w:t>
      </w:r>
      <w:r w:rsidR="0064024F" w:rsidRPr="00071EDD">
        <w:rPr>
          <w:b/>
          <w:bCs/>
          <w:sz w:val="24"/>
          <w:szCs w:val="24"/>
        </w:rPr>
        <w:t>Perishable Foodstuffs</w:t>
      </w:r>
    </w:p>
    <w:p w14:paraId="2676AE24" w14:textId="77777777" w:rsidR="002D66B9" w:rsidRPr="003D1E16" w:rsidRDefault="002D66B9" w:rsidP="002D66B9">
      <w:pPr>
        <w:spacing w:before="120"/>
        <w:rPr>
          <w:b/>
          <w:bCs/>
        </w:rPr>
      </w:pPr>
      <w:r>
        <w:rPr>
          <w:b/>
          <w:bCs/>
        </w:rPr>
        <w:t>Seventy-eighth session</w:t>
      </w:r>
    </w:p>
    <w:p w14:paraId="32035B98" w14:textId="77777777" w:rsidR="002D66B9" w:rsidRPr="00071EDD" w:rsidRDefault="002D66B9" w:rsidP="002D66B9">
      <w:r w:rsidRPr="00071EDD">
        <w:t>Geneva, 3–6 May 2022</w:t>
      </w:r>
    </w:p>
    <w:p w14:paraId="45DD98C1" w14:textId="77777777" w:rsidR="002D66B9" w:rsidRPr="00135131" w:rsidRDefault="002D66B9" w:rsidP="002D66B9">
      <w:r>
        <w:t>Item 5 (b) of the provisional agenda</w:t>
      </w:r>
    </w:p>
    <w:p w14:paraId="613A0957" w14:textId="77777777" w:rsidR="002D66B9" w:rsidRPr="002D66B9" w:rsidRDefault="002D66B9" w:rsidP="002D66B9">
      <w:pPr>
        <w:rPr>
          <w:b/>
          <w:lang w:val="en-US"/>
        </w:rPr>
      </w:pPr>
      <w:r>
        <w:rPr>
          <w:b/>
          <w:bCs/>
        </w:rPr>
        <w:t>Proposals of amendments to ATP:</w:t>
      </w:r>
    </w:p>
    <w:p w14:paraId="0A8537A9" w14:textId="77777777" w:rsidR="002D66B9" w:rsidRDefault="002D66B9" w:rsidP="002D66B9">
      <w:pPr>
        <w:rPr>
          <w:b/>
          <w:bCs/>
        </w:rPr>
      </w:pPr>
      <w:r>
        <w:rPr>
          <w:b/>
          <w:bCs/>
        </w:rPr>
        <w:t>New proposals</w:t>
      </w:r>
      <w:r>
        <w:t xml:space="preserve"> </w:t>
      </w:r>
    </w:p>
    <w:p w14:paraId="33B4F4D5" w14:textId="77777777" w:rsidR="002D66B9" w:rsidRPr="00F4604C" w:rsidRDefault="002D66B9" w:rsidP="002D66B9">
      <w:pPr>
        <w:pStyle w:val="HChG"/>
      </w:pPr>
      <w:r>
        <w:tab/>
      </w:r>
      <w:r>
        <w:tab/>
      </w:r>
      <w:r>
        <w:rPr>
          <w:bCs/>
        </w:rPr>
        <w:t>Proposed amendments to annex 1, appendix 2, paragraph 7.3.7</w:t>
      </w:r>
    </w:p>
    <w:p w14:paraId="40217030" w14:textId="19363762" w:rsidR="002D66B9" w:rsidRDefault="002D66B9" w:rsidP="002D66B9">
      <w:pPr>
        <w:pStyle w:val="H1G"/>
        <w:rPr>
          <w:bCs/>
        </w:rPr>
      </w:pPr>
      <w:r>
        <w:tab/>
      </w:r>
      <w:r>
        <w:tab/>
      </w:r>
      <w:r>
        <w:tab/>
      </w:r>
      <w:r>
        <w:rPr>
          <w:bCs/>
        </w:rPr>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030DB4" w14:paraId="599EDA78" w14:textId="77777777" w:rsidTr="00030DB4">
        <w:trPr>
          <w:jc w:val="center"/>
        </w:trPr>
        <w:tc>
          <w:tcPr>
            <w:tcW w:w="9637" w:type="dxa"/>
            <w:tcBorders>
              <w:bottom w:val="nil"/>
            </w:tcBorders>
          </w:tcPr>
          <w:p w14:paraId="028F96F5" w14:textId="5FDC95CE" w:rsidR="00030DB4" w:rsidRPr="00030DB4" w:rsidRDefault="00030DB4" w:rsidP="00030DB4">
            <w:pPr>
              <w:tabs>
                <w:tab w:val="left" w:pos="255"/>
              </w:tabs>
              <w:suppressAutoHyphens w:val="0"/>
              <w:spacing w:before="240" w:after="120"/>
              <w:rPr>
                <w:sz w:val="24"/>
              </w:rPr>
            </w:pPr>
            <w:r>
              <w:tab/>
            </w:r>
            <w:r>
              <w:rPr>
                <w:i/>
                <w:sz w:val="24"/>
              </w:rPr>
              <w:t>Summary</w:t>
            </w:r>
          </w:p>
        </w:tc>
      </w:tr>
      <w:tr w:rsidR="00030DB4" w14:paraId="5291A1E5" w14:textId="77777777" w:rsidTr="00030DB4">
        <w:trPr>
          <w:jc w:val="center"/>
        </w:trPr>
        <w:tc>
          <w:tcPr>
            <w:tcW w:w="9637" w:type="dxa"/>
            <w:tcBorders>
              <w:top w:val="nil"/>
              <w:bottom w:val="nil"/>
            </w:tcBorders>
            <w:shd w:val="clear" w:color="auto" w:fill="auto"/>
          </w:tcPr>
          <w:p w14:paraId="3E30008B" w14:textId="1DD6C5ED" w:rsidR="00030DB4" w:rsidRPr="00137A50" w:rsidRDefault="00137A50" w:rsidP="00137A50">
            <w:pPr>
              <w:pStyle w:val="SingleTxtG"/>
              <w:tabs>
                <w:tab w:val="clear" w:pos="1701"/>
                <w:tab w:val="clear" w:pos="2268"/>
              </w:tabs>
              <w:kinsoku w:val="0"/>
              <w:overflowPunct w:val="0"/>
              <w:autoSpaceDE w:val="0"/>
              <w:autoSpaceDN w:val="0"/>
              <w:adjustRightInd w:val="0"/>
              <w:snapToGrid w:val="0"/>
              <w:spacing w:before="120"/>
              <w:ind w:left="2269" w:hanging="1985"/>
              <w:rPr>
                <w:rFonts w:eastAsia="Times New Roman"/>
                <w:b/>
                <w:bCs/>
              </w:rPr>
            </w:pPr>
            <w:r w:rsidRPr="00137A50">
              <w:rPr>
                <w:rFonts w:eastAsia="Times New Roman"/>
                <w:b/>
                <w:bCs/>
              </w:rPr>
              <w:t>Executive summary:</w:t>
            </w:r>
            <w:r w:rsidRPr="00137A50">
              <w:rPr>
                <w:rFonts w:eastAsia="Times New Roman"/>
                <w:b/>
                <w:bCs/>
              </w:rPr>
              <w:tab/>
            </w:r>
            <w:r w:rsidRPr="00137A50">
              <w:rPr>
                <w:rFonts w:eastAsia="Times New Roman"/>
              </w:rPr>
              <w:t>Proposal to supplement annex 1, appendix 2, paragraph 7.3.7 with a definition of different types of internal dividing walls</w:t>
            </w:r>
          </w:p>
        </w:tc>
      </w:tr>
      <w:tr w:rsidR="00030DB4" w:rsidRPr="00137A50" w14:paraId="766D428B" w14:textId="77777777" w:rsidTr="00137A50">
        <w:trPr>
          <w:jc w:val="center"/>
        </w:trPr>
        <w:tc>
          <w:tcPr>
            <w:tcW w:w="9637" w:type="dxa"/>
            <w:tcBorders>
              <w:top w:val="nil"/>
              <w:bottom w:val="nil"/>
            </w:tcBorders>
          </w:tcPr>
          <w:p w14:paraId="37FCC062" w14:textId="48335549" w:rsidR="00030DB4" w:rsidRPr="00137A50" w:rsidRDefault="00137A50" w:rsidP="00137A50">
            <w:pPr>
              <w:pStyle w:val="SingleTxtG"/>
              <w:tabs>
                <w:tab w:val="clear" w:pos="1701"/>
                <w:tab w:val="clear" w:pos="2268"/>
              </w:tabs>
              <w:kinsoku w:val="0"/>
              <w:overflowPunct w:val="0"/>
              <w:autoSpaceDE w:val="0"/>
              <w:autoSpaceDN w:val="0"/>
              <w:adjustRightInd w:val="0"/>
              <w:snapToGrid w:val="0"/>
              <w:spacing w:before="120"/>
              <w:ind w:left="2269" w:hanging="1985"/>
              <w:rPr>
                <w:rFonts w:eastAsia="Times New Roman"/>
                <w:b/>
                <w:bCs/>
              </w:rPr>
            </w:pPr>
            <w:r w:rsidRPr="00137A50">
              <w:rPr>
                <w:rFonts w:eastAsia="Times New Roman"/>
                <w:b/>
                <w:bCs/>
              </w:rPr>
              <w:t>Action to be taken:</w:t>
            </w:r>
            <w:r w:rsidRPr="00137A50">
              <w:rPr>
                <w:rFonts w:eastAsia="Times New Roman"/>
                <w:b/>
                <w:bCs/>
              </w:rPr>
              <w:tab/>
            </w:r>
            <w:r w:rsidRPr="00137A50">
              <w:rPr>
                <w:rFonts w:eastAsia="Times New Roman"/>
              </w:rPr>
              <w:t>Supplement annex 1, appendix 2, paragraph 7.3.7</w:t>
            </w:r>
          </w:p>
        </w:tc>
      </w:tr>
      <w:tr w:rsidR="00137A50" w:rsidRPr="00137A50" w14:paraId="414F9D2E" w14:textId="77777777" w:rsidTr="00137A50">
        <w:trPr>
          <w:jc w:val="center"/>
        </w:trPr>
        <w:tc>
          <w:tcPr>
            <w:tcW w:w="9637" w:type="dxa"/>
            <w:tcBorders>
              <w:top w:val="nil"/>
              <w:bottom w:val="nil"/>
            </w:tcBorders>
          </w:tcPr>
          <w:p w14:paraId="1F6358BA" w14:textId="03CCB415" w:rsidR="00137A50" w:rsidRPr="00137A50" w:rsidRDefault="00137A50" w:rsidP="00137A50">
            <w:pPr>
              <w:pStyle w:val="SingleTxtG"/>
              <w:tabs>
                <w:tab w:val="clear" w:pos="1701"/>
                <w:tab w:val="clear" w:pos="2268"/>
              </w:tabs>
              <w:kinsoku w:val="0"/>
              <w:overflowPunct w:val="0"/>
              <w:autoSpaceDE w:val="0"/>
              <w:autoSpaceDN w:val="0"/>
              <w:adjustRightInd w:val="0"/>
              <w:snapToGrid w:val="0"/>
              <w:spacing w:before="120"/>
              <w:ind w:left="2269" w:hanging="1985"/>
              <w:rPr>
                <w:rFonts w:eastAsia="Times New Roman"/>
                <w:b/>
                <w:bCs/>
              </w:rPr>
            </w:pPr>
            <w:r w:rsidRPr="00137A50">
              <w:rPr>
                <w:rFonts w:eastAsia="Times New Roman"/>
                <w:b/>
                <w:bCs/>
              </w:rPr>
              <w:t>Related documents:</w:t>
            </w:r>
            <w:r w:rsidRPr="00137A50">
              <w:rPr>
                <w:rFonts w:eastAsia="Times New Roman"/>
                <w:b/>
                <w:bCs/>
              </w:rPr>
              <w:tab/>
            </w:r>
            <w:r w:rsidRPr="00137A50">
              <w:rPr>
                <w:rFonts w:eastAsia="Times New Roman"/>
              </w:rPr>
              <w:t>None.</w:t>
            </w:r>
          </w:p>
        </w:tc>
      </w:tr>
      <w:tr w:rsidR="00137A50" w14:paraId="0A6423E8" w14:textId="77777777" w:rsidTr="00030DB4">
        <w:trPr>
          <w:jc w:val="center"/>
        </w:trPr>
        <w:tc>
          <w:tcPr>
            <w:tcW w:w="9637" w:type="dxa"/>
            <w:tcBorders>
              <w:top w:val="nil"/>
            </w:tcBorders>
          </w:tcPr>
          <w:p w14:paraId="0F74AED7" w14:textId="77777777" w:rsidR="00137A50" w:rsidRDefault="00137A50" w:rsidP="00030DB4">
            <w:pPr>
              <w:suppressAutoHyphens w:val="0"/>
            </w:pPr>
          </w:p>
        </w:tc>
      </w:tr>
    </w:tbl>
    <w:p w14:paraId="7B4D62AA" w14:textId="7E03EF31" w:rsidR="002D66B9" w:rsidRDefault="002D66B9" w:rsidP="0064024F">
      <w:pPr>
        <w:pStyle w:val="HChG"/>
      </w:pPr>
      <w:r>
        <w:tab/>
      </w:r>
      <w:r w:rsidR="0064024F">
        <w:tab/>
      </w:r>
      <w:r>
        <w:t>Introduction</w:t>
      </w:r>
    </w:p>
    <w:p w14:paraId="62CEFD7B" w14:textId="10942008" w:rsidR="002D66B9" w:rsidRDefault="002D66B9" w:rsidP="002D66B9">
      <w:pPr>
        <w:pStyle w:val="SingleTxtG"/>
        <w:tabs>
          <w:tab w:val="right" w:pos="851"/>
        </w:tabs>
        <w:rPr>
          <w:rFonts w:eastAsia="Calibri"/>
        </w:rPr>
      </w:pPr>
      <w:r>
        <w:t>1.</w:t>
      </w:r>
      <w:r>
        <w:tab/>
        <w:t>Annex 1, appendix 2, paragraph 7.3.7 refers to the thermal losses through internal dividing walls for which only two types are represented, by the terms “Longitudinal” and “Transversal”. These terms are not sufficient to distinguish between all the technological solutions offered by body manufacturers.</w:t>
      </w:r>
    </w:p>
    <w:p w14:paraId="39DF3CEA" w14:textId="77777777" w:rsidR="002D66B9" w:rsidRPr="004C34EB" w:rsidRDefault="002D66B9" w:rsidP="002D66B9">
      <w:pPr>
        <w:pStyle w:val="SingleTxtG"/>
        <w:tabs>
          <w:tab w:val="right" w:pos="851"/>
        </w:tabs>
        <w:rPr>
          <w:rFonts w:eastAsia="Calibri"/>
        </w:rPr>
      </w:pPr>
      <w:r>
        <w:t>2.</w:t>
      </w:r>
      <w:r>
        <w:tab/>
        <w:t>The present proposal aims at introducing a precise definition of the different types of dividing walls encountered and at supplementing annex 1, appendix 2, paragraph 7.3.7.</w:t>
      </w:r>
    </w:p>
    <w:p w14:paraId="44309FB2" w14:textId="77777777" w:rsidR="002D66B9" w:rsidRPr="00D42F6D" w:rsidRDefault="002D66B9" w:rsidP="002D66B9">
      <w:pPr>
        <w:pStyle w:val="HChG"/>
      </w:pPr>
      <w:r>
        <w:rPr>
          <w:bCs/>
        </w:rPr>
        <w:tab/>
        <w:t>I.</w:t>
      </w:r>
      <w:r>
        <w:tab/>
      </w:r>
      <w:r>
        <w:rPr>
          <w:bCs/>
        </w:rPr>
        <w:t>Proposal</w:t>
      </w:r>
    </w:p>
    <w:p w14:paraId="186B3C78" w14:textId="2C9C90C6" w:rsidR="002D66B9" w:rsidRDefault="00602786" w:rsidP="002D66B9">
      <w:pPr>
        <w:pStyle w:val="SingleTxtG"/>
        <w:tabs>
          <w:tab w:val="right" w:pos="851"/>
        </w:tabs>
        <w:rPr>
          <w:rFonts w:eastAsia="Calibri"/>
        </w:rPr>
      </w:pPr>
      <w:r>
        <w:t>3.</w:t>
      </w:r>
      <w:r>
        <w:tab/>
      </w:r>
      <w:r w:rsidR="002D66B9">
        <w:t>Introduce the following definitions in annex 1, appendix 2, paragraph 7.3.7:</w:t>
      </w:r>
    </w:p>
    <w:p w14:paraId="64FB8209" w14:textId="62555905" w:rsidR="002D66B9" w:rsidRDefault="00876D63" w:rsidP="00876D63">
      <w:pPr>
        <w:pStyle w:val="Bullet1G"/>
        <w:numPr>
          <w:ilvl w:val="0"/>
          <w:numId w:val="0"/>
        </w:numPr>
        <w:tabs>
          <w:tab w:val="left" w:pos="1701"/>
        </w:tabs>
        <w:kinsoku w:val="0"/>
        <w:overflowPunct w:val="0"/>
        <w:autoSpaceDE w:val="0"/>
        <w:autoSpaceDN w:val="0"/>
        <w:adjustRightInd w:val="0"/>
        <w:snapToGrid w:val="0"/>
        <w:ind w:left="1701" w:hanging="170"/>
        <w:rPr>
          <w:rFonts w:eastAsia="Calibri"/>
        </w:rPr>
      </w:pPr>
      <w:r>
        <w:rPr>
          <w:rFonts w:eastAsia="Calibri"/>
        </w:rPr>
        <w:t>•</w:t>
      </w:r>
      <w:r>
        <w:rPr>
          <w:rFonts w:eastAsia="Calibri"/>
        </w:rPr>
        <w:tab/>
      </w:r>
      <w:r w:rsidR="002D66B9">
        <w:t>Longitudinal dividing wall: Partial or whole dividing wall along the length of the compartment.</w:t>
      </w:r>
    </w:p>
    <w:p w14:paraId="1FB88730" w14:textId="6052C4D0" w:rsidR="002D66B9" w:rsidRDefault="00876D63" w:rsidP="00876D63">
      <w:pPr>
        <w:pStyle w:val="Bullet1G"/>
        <w:numPr>
          <w:ilvl w:val="0"/>
          <w:numId w:val="0"/>
        </w:numPr>
        <w:tabs>
          <w:tab w:val="left" w:pos="1701"/>
        </w:tabs>
        <w:kinsoku w:val="0"/>
        <w:overflowPunct w:val="0"/>
        <w:autoSpaceDE w:val="0"/>
        <w:autoSpaceDN w:val="0"/>
        <w:adjustRightInd w:val="0"/>
        <w:snapToGrid w:val="0"/>
        <w:ind w:left="1701" w:hanging="170"/>
        <w:rPr>
          <w:rFonts w:eastAsia="Calibri"/>
        </w:rPr>
      </w:pPr>
      <w:r>
        <w:rPr>
          <w:rFonts w:eastAsia="Calibri"/>
        </w:rPr>
        <w:lastRenderedPageBreak/>
        <w:t>•</w:t>
      </w:r>
      <w:r>
        <w:rPr>
          <w:rFonts w:eastAsia="Calibri"/>
        </w:rPr>
        <w:tab/>
      </w:r>
      <w:r w:rsidR="002D66B9">
        <w:t>Transversal dividing wall: Partial or whole dividing wall across the width of the compartment.</w:t>
      </w:r>
    </w:p>
    <w:p w14:paraId="0526EFD8" w14:textId="579A94FE" w:rsidR="002D66B9" w:rsidRDefault="00876D63" w:rsidP="00876D63">
      <w:pPr>
        <w:pStyle w:val="Bullet1G"/>
        <w:numPr>
          <w:ilvl w:val="0"/>
          <w:numId w:val="0"/>
        </w:numPr>
        <w:tabs>
          <w:tab w:val="left" w:pos="1701"/>
        </w:tabs>
        <w:kinsoku w:val="0"/>
        <w:overflowPunct w:val="0"/>
        <w:autoSpaceDE w:val="0"/>
        <w:autoSpaceDN w:val="0"/>
        <w:adjustRightInd w:val="0"/>
        <w:snapToGrid w:val="0"/>
        <w:ind w:left="1701" w:hanging="170"/>
        <w:rPr>
          <w:rFonts w:eastAsia="Calibri"/>
        </w:rPr>
      </w:pPr>
      <w:r>
        <w:rPr>
          <w:rFonts w:eastAsia="Calibri"/>
        </w:rPr>
        <w:t>•</w:t>
      </w:r>
      <w:r>
        <w:rPr>
          <w:rFonts w:eastAsia="Calibri"/>
        </w:rPr>
        <w:tab/>
      </w:r>
      <w:r w:rsidR="002D66B9">
        <w:t>Airtight dividing wall: A wall that prevents the flow of air between two compartments (excluding any inter-compartment ventilation system built into the dividing wall).</w:t>
      </w:r>
    </w:p>
    <w:p w14:paraId="41CBD5CF" w14:textId="07FB87EF" w:rsidR="002D66B9" w:rsidRDefault="00876D63" w:rsidP="00876D63">
      <w:pPr>
        <w:pStyle w:val="Bullet1G"/>
        <w:numPr>
          <w:ilvl w:val="0"/>
          <w:numId w:val="0"/>
        </w:numPr>
        <w:tabs>
          <w:tab w:val="left" w:pos="1701"/>
        </w:tabs>
        <w:kinsoku w:val="0"/>
        <w:overflowPunct w:val="0"/>
        <w:autoSpaceDE w:val="0"/>
        <w:autoSpaceDN w:val="0"/>
        <w:adjustRightInd w:val="0"/>
        <w:snapToGrid w:val="0"/>
        <w:ind w:left="1701" w:hanging="170"/>
        <w:rPr>
          <w:rFonts w:eastAsia="Calibri"/>
        </w:rPr>
      </w:pPr>
      <w:r>
        <w:rPr>
          <w:rFonts w:eastAsia="Calibri"/>
        </w:rPr>
        <w:t>•</w:t>
      </w:r>
      <w:r>
        <w:rPr>
          <w:rFonts w:eastAsia="Calibri"/>
        </w:rPr>
        <w:tab/>
      </w:r>
      <w:r w:rsidR="002D66B9">
        <w:t>Insulated dividing wall: A airtight dividing wall made of insulating materials to limit heat exchange between two compartments.</w:t>
      </w:r>
    </w:p>
    <w:p w14:paraId="43D643B6" w14:textId="2D3C93B6" w:rsidR="002D66B9" w:rsidRDefault="00876D63" w:rsidP="00876D63">
      <w:pPr>
        <w:pStyle w:val="Bullet1G"/>
        <w:numPr>
          <w:ilvl w:val="0"/>
          <w:numId w:val="0"/>
        </w:numPr>
        <w:tabs>
          <w:tab w:val="left" w:pos="1701"/>
        </w:tabs>
        <w:kinsoku w:val="0"/>
        <w:overflowPunct w:val="0"/>
        <w:autoSpaceDE w:val="0"/>
        <w:autoSpaceDN w:val="0"/>
        <w:adjustRightInd w:val="0"/>
        <w:snapToGrid w:val="0"/>
        <w:ind w:left="1701" w:hanging="170"/>
        <w:rPr>
          <w:rFonts w:eastAsia="Calibri"/>
        </w:rPr>
      </w:pPr>
      <w:r>
        <w:rPr>
          <w:rFonts w:eastAsia="Calibri"/>
        </w:rPr>
        <w:t>•</w:t>
      </w:r>
      <w:r>
        <w:rPr>
          <w:rFonts w:eastAsia="Calibri"/>
        </w:rPr>
        <w:tab/>
      </w:r>
      <w:r w:rsidR="002D66B9">
        <w:t>Fixed dividing wall: Dividing wall with no degree of freedom (this dividing wall is not considered to be removable).</w:t>
      </w:r>
    </w:p>
    <w:p w14:paraId="0DF06AF9" w14:textId="071E374F" w:rsidR="002D66B9" w:rsidRDefault="00876D63" w:rsidP="00876D63">
      <w:pPr>
        <w:pStyle w:val="Bullet1G"/>
        <w:numPr>
          <w:ilvl w:val="0"/>
          <w:numId w:val="0"/>
        </w:numPr>
        <w:tabs>
          <w:tab w:val="left" w:pos="1701"/>
        </w:tabs>
        <w:kinsoku w:val="0"/>
        <w:overflowPunct w:val="0"/>
        <w:autoSpaceDE w:val="0"/>
        <w:autoSpaceDN w:val="0"/>
        <w:adjustRightInd w:val="0"/>
        <w:snapToGrid w:val="0"/>
        <w:ind w:left="1701" w:hanging="170"/>
        <w:rPr>
          <w:rFonts w:eastAsia="Calibri"/>
        </w:rPr>
      </w:pPr>
      <w:r>
        <w:rPr>
          <w:rFonts w:eastAsia="Calibri"/>
        </w:rPr>
        <w:t>•</w:t>
      </w:r>
      <w:r>
        <w:rPr>
          <w:rFonts w:eastAsia="Calibri"/>
        </w:rPr>
        <w:tab/>
      </w:r>
      <w:r w:rsidR="002D66B9">
        <w:t>Moveable dividing wall: A dividing wall attached to equipment by a mechanical link either turning on a hinge pin or sliding and fitted out with a peripheral seal to limit air flow between two compartments.</w:t>
      </w:r>
    </w:p>
    <w:p w14:paraId="5B447B5E" w14:textId="438958BE" w:rsidR="002D66B9" w:rsidRDefault="00876D63" w:rsidP="00876D63">
      <w:pPr>
        <w:pStyle w:val="Bullet1G"/>
        <w:numPr>
          <w:ilvl w:val="0"/>
          <w:numId w:val="0"/>
        </w:numPr>
        <w:tabs>
          <w:tab w:val="left" w:pos="1701"/>
        </w:tabs>
        <w:kinsoku w:val="0"/>
        <w:overflowPunct w:val="0"/>
        <w:autoSpaceDE w:val="0"/>
        <w:autoSpaceDN w:val="0"/>
        <w:adjustRightInd w:val="0"/>
        <w:snapToGrid w:val="0"/>
        <w:ind w:left="1701" w:hanging="170"/>
        <w:rPr>
          <w:rFonts w:eastAsia="Calibri"/>
        </w:rPr>
      </w:pPr>
      <w:r>
        <w:rPr>
          <w:rFonts w:eastAsia="Calibri"/>
        </w:rPr>
        <w:t>•</w:t>
      </w:r>
      <w:r>
        <w:rPr>
          <w:rFonts w:eastAsia="Calibri"/>
        </w:rPr>
        <w:tab/>
      </w:r>
      <w:r w:rsidR="002D66B9">
        <w:t>Removable dividing wall: A dividing wall that is not attached to equipment which can be dismantled without the need for tools and allows for storage outside the equipment.</w:t>
      </w:r>
    </w:p>
    <w:p w14:paraId="6D3DA5BB" w14:textId="45D2D02E" w:rsidR="002D66B9" w:rsidRDefault="00876D63" w:rsidP="00876D63">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2D66B9">
        <w:t>Other dividing wall: A dividing wall that does not meet the above definitions.</w:t>
      </w:r>
    </w:p>
    <w:p w14:paraId="710BD5F1" w14:textId="77777777" w:rsidR="002D66B9" w:rsidRDefault="002D66B9" w:rsidP="002D66B9">
      <w:pPr>
        <w:pStyle w:val="HChG"/>
      </w:pPr>
      <w:r>
        <w:rPr>
          <w:bCs/>
        </w:rPr>
        <w:tab/>
        <w:t>II.</w:t>
      </w:r>
      <w:r>
        <w:tab/>
      </w:r>
      <w:r>
        <w:rPr>
          <w:bCs/>
        </w:rPr>
        <w:t>Impact</w:t>
      </w:r>
    </w:p>
    <w:tbl>
      <w:tblPr>
        <w:tblW w:w="7371" w:type="dxa"/>
        <w:tblInd w:w="1134" w:type="dxa"/>
        <w:tblLayout w:type="fixed"/>
        <w:tblCellMar>
          <w:left w:w="0" w:type="dxa"/>
          <w:right w:w="0" w:type="dxa"/>
        </w:tblCellMar>
        <w:tblLook w:val="0000" w:firstRow="0" w:lastRow="0" w:firstColumn="0" w:lastColumn="0" w:noHBand="0" w:noVBand="0"/>
      </w:tblPr>
      <w:tblGrid>
        <w:gridCol w:w="2360"/>
        <w:gridCol w:w="5011"/>
      </w:tblGrid>
      <w:tr w:rsidR="003E663F" w:rsidRPr="003E663F" w14:paraId="0DB88B2A" w14:textId="77777777" w:rsidTr="003E663F">
        <w:trPr>
          <w:trHeight w:val="90"/>
        </w:trPr>
        <w:tc>
          <w:tcPr>
            <w:tcW w:w="2360" w:type="dxa"/>
            <w:shd w:val="clear" w:color="auto" w:fill="auto"/>
          </w:tcPr>
          <w:p w14:paraId="37B4F5E3" w14:textId="0D7B940B" w:rsidR="003E663F" w:rsidRPr="003E663F" w:rsidRDefault="003E663F" w:rsidP="003E663F">
            <w:pPr>
              <w:pStyle w:val="Default"/>
              <w:spacing w:before="40" w:after="120" w:line="220" w:lineRule="exact"/>
              <w:ind w:right="113"/>
              <w:rPr>
                <w:color w:val="auto"/>
                <w:sz w:val="20"/>
                <w:szCs w:val="20"/>
                <w:lang w:val="en-GB"/>
              </w:rPr>
            </w:pPr>
            <w:r w:rsidRPr="003E663F">
              <w:rPr>
                <w:color w:val="auto"/>
                <w:sz w:val="20"/>
                <w:szCs w:val="20"/>
                <w:lang w:val="en-GB"/>
              </w:rPr>
              <w:t xml:space="preserve">Cost: </w:t>
            </w:r>
          </w:p>
        </w:tc>
        <w:tc>
          <w:tcPr>
            <w:tcW w:w="5011" w:type="dxa"/>
            <w:shd w:val="clear" w:color="auto" w:fill="auto"/>
          </w:tcPr>
          <w:p w14:paraId="3449C933" w14:textId="58EB239D" w:rsidR="003E663F" w:rsidRPr="003E663F" w:rsidRDefault="003E663F" w:rsidP="003E663F">
            <w:pPr>
              <w:pStyle w:val="Default"/>
              <w:spacing w:before="40" w:after="120" w:line="220" w:lineRule="exact"/>
              <w:ind w:right="113"/>
              <w:rPr>
                <w:color w:val="auto"/>
                <w:sz w:val="20"/>
                <w:szCs w:val="20"/>
                <w:lang w:val="en-GB"/>
              </w:rPr>
            </w:pPr>
            <w:r w:rsidRPr="003E663F">
              <w:rPr>
                <w:color w:val="auto"/>
                <w:sz w:val="20"/>
                <w:szCs w:val="20"/>
                <w:lang w:val="en-GB"/>
              </w:rPr>
              <w:t xml:space="preserve">No impact. </w:t>
            </w:r>
          </w:p>
        </w:tc>
      </w:tr>
      <w:tr w:rsidR="003E663F" w:rsidRPr="003E663F" w14:paraId="44FE3DE3" w14:textId="77777777" w:rsidTr="003E663F">
        <w:trPr>
          <w:trHeight w:val="90"/>
        </w:trPr>
        <w:tc>
          <w:tcPr>
            <w:tcW w:w="2360" w:type="dxa"/>
            <w:shd w:val="clear" w:color="auto" w:fill="auto"/>
          </w:tcPr>
          <w:p w14:paraId="6F5CC091" w14:textId="77777777" w:rsidR="003E663F" w:rsidRPr="003E663F" w:rsidRDefault="003E663F" w:rsidP="003E663F">
            <w:pPr>
              <w:pStyle w:val="Default"/>
              <w:spacing w:before="40" w:after="120" w:line="220" w:lineRule="exact"/>
              <w:ind w:right="113"/>
              <w:rPr>
                <w:color w:val="auto"/>
                <w:sz w:val="20"/>
                <w:szCs w:val="20"/>
              </w:rPr>
            </w:pPr>
            <w:r w:rsidRPr="003E663F">
              <w:rPr>
                <w:color w:val="auto"/>
                <w:sz w:val="20"/>
                <w:szCs w:val="20"/>
                <w:lang w:val="en-GB"/>
              </w:rPr>
              <w:t xml:space="preserve">Environment: </w:t>
            </w:r>
          </w:p>
        </w:tc>
        <w:tc>
          <w:tcPr>
            <w:tcW w:w="5011" w:type="dxa"/>
            <w:shd w:val="clear" w:color="auto" w:fill="auto"/>
          </w:tcPr>
          <w:p w14:paraId="545466F2" w14:textId="77777777" w:rsidR="003E663F" w:rsidRPr="003E663F" w:rsidRDefault="003E663F" w:rsidP="003E663F">
            <w:pPr>
              <w:pStyle w:val="Default"/>
              <w:spacing w:before="40" w:after="120" w:line="220" w:lineRule="exact"/>
              <w:ind w:right="113"/>
              <w:rPr>
                <w:color w:val="auto"/>
                <w:sz w:val="20"/>
                <w:szCs w:val="20"/>
              </w:rPr>
            </w:pPr>
            <w:r w:rsidRPr="003E663F">
              <w:rPr>
                <w:color w:val="auto"/>
                <w:sz w:val="20"/>
                <w:szCs w:val="20"/>
                <w:lang w:val="en-GB"/>
              </w:rPr>
              <w:t xml:space="preserve">No impact. </w:t>
            </w:r>
          </w:p>
        </w:tc>
      </w:tr>
      <w:tr w:rsidR="003E663F" w:rsidRPr="003E663F" w14:paraId="7B89AF70" w14:textId="77777777" w:rsidTr="003E663F">
        <w:trPr>
          <w:trHeight w:val="210"/>
        </w:trPr>
        <w:tc>
          <w:tcPr>
            <w:tcW w:w="2360" w:type="dxa"/>
            <w:shd w:val="clear" w:color="auto" w:fill="auto"/>
          </w:tcPr>
          <w:p w14:paraId="6898FD7C" w14:textId="77777777" w:rsidR="003E663F" w:rsidRPr="003E663F" w:rsidRDefault="003E663F" w:rsidP="003E663F">
            <w:pPr>
              <w:pStyle w:val="Default"/>
              <w:spacing w:before="40" w:after="120" w:line="220" w:lineRule="exact"/>
              <w:ind w:right="113"/>
              <w:rPr>
                <w:color w:val="auto"/>
                <w:sz w:val="20"/>
                <w:szCs w:val="20"/>
              </w:rPr>
            </w:pPr>
            <w:r w:rsidRPr="003E663F">
              <w:rPr>
                <w:color w:val="auto"/>
                <w:sz w:val="20"/>
                <w:szCs w:val="20"/>
                <w:lang w:val="en-GB"/>
              </w:rPr>
              <w:t xml:space="preserve">Feasibility: </w:t>
            </w:r>
          </w:p>
        </w:tc>
        <w:tc>
          <w:tcPr>
            <w:tcW w:w="5011" w:type="dxa"/>
            <w:shd w:val="clear" w:color="auto" w:fill="auto"/>
          </w:tcPr>
          <w:p w14:paraId="50417DF3" w14:textId="77777777" w:rsidR="003E663F" w:rsidRPr="003E663F" w:rsidRDefault="003E663F" w:rsidP="003E663F">
            <w:pPr>
              <w:pStyle w:val="Default"/>
              <w:spacing w:before="40" w:after="120" w:line="220" w:lineRule="exact"/>
              <w:ind w:right="113"/>
              <w:rPr>
                <w:color w:val="auto"/>
                <w:sz w:val="20"/>
                <w:szCs w:val="20"/>
                <w:lang w:val="en-US"/>
              </w:rPr>
            </w:pPr>
            <w:r w:rsidRPr="003E663F">
              <w:rPr>
                <w:color w:val="auto"/>
                <w:sz w:val="20"/>
                <w:szCs w:val="20"/>
                <w:lang w:val="en-GB"/>
              </w:rPr>
              <w:t xml:space="preserve">The proposed amendment can easily be implemented in ATP. A transitional period is not needed. </w:t>
            </w:r>
          </w:p>
        </w:tc>
      </w:tr>
      <w:tr w:rsidR="003E663F" w:rsidRPr="003E663F" w14:paraId="4D17A36B" w14:textId="77777777" w:rsidTr="003E663F">
        <w:trPr>
          <w:trHeight w:val="90"/>
        </w:trPr>
        <w:tc>
          <w:tcPr>
            <w:tcW w:w="2360" w:type="dxa"/>
            <w:shd w:val="clear" w:color="auto" w:fill="auto"/>
          </w:tcPr>
          <w:p w14:paraId="6C1C458F" w14:textId="62EB0017" w:rsidR="003E663F" w:rsidRPr="003E663F" w:rsidRDefault="003E663F" w:rsidP="003E663F">
            <w:pPr>
              <w:pStyle w:val="Default"/>
              <w:spacing w:before="40" w:after="120" w:line="220" w:lineRule="exact"/>
              <w:ind w:right="113"/>
              <w:rPr>
                <w:color w:val="auto"/>
                <w:sz w:val="20"/>
                <w:szCs w:val="20"/>
              </w:rPr>
            </w:pPr>
            <w:r w:rsidRPr="003E663F">
              <w:rPr>
                <w:color w:val="auto"/>
                <w:sz w:val="20"/>
                <w:szCs w:val="20"/>
                <w:lang w:val="en-GB"/>
              </w:rPr>
              <w:t>Enforceability</w:t>
            </w:r>
            <w:r w:rsidR="009B3D3C">
              <w:rPr>
                <w:color w:val="auto"/>
                <w:sz w:val="20"/>
                <w:szCs w:val="20"/>
                <w:lang w:val="en-GB"/>
              </w:rPr>
              <w:t>:</w:t>
            </w:r>
          </w:p>
        </w:tc>
        <w:tc>
          <w:tcPr>
            <w:tcW w:w="5011" w:type="dxa"/>
            <w:shd w:val="clear" w:color="auto" w:fill="auto"/>
          </w:tcPr>
          <w:p w14:paraId="13A5721E" w14:textId="77777777" w:rsidR="003E663F" w:rsidRPr="003E663F" w:rsidRDefault="003E663F" w:rsidP="003E663F">
            <w:pPr>
              <w:pStyle w:val="Default"/>
              <w:spacing w:before="40" w:after="120" w:line="220" w:lineRule="exact"/>
              <w:ind w:right="113"/>
              <w:rPr>
                <w:color w:val="auto"/>
                <w:sz w:val="20"/>
                <w:szCs w:val="20"/>
              </w:rPr>
            </w:pPr>
            <w:r w:rsidRPr="003E663F">
              <w:rPr>
                <w:color w:val="auto"/>
                <w:sz w:val="20"/>
                <w:szCs w:val="20"/>
                <w:lang w:val="en-GB"/>
              </w:rPr>
              <w:t xml:space="preserve">No problems are expected. </w:t>
            </w:r>
          </w:p>
        </w:tc>
      </w:tr>
    </w:tbl>
    <w:p w14:paraId="1971AD74" w14:textId="46B2E070" w:rsidR="007268F9" w:rsidRPr="00342AC8" w:rsidRDefault="002D66B9" w:rsidP="005929A5">
      <w:pPr>
        <w:spacing w:before="240"/>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E1DA" w14:textId="77777777" w:rsidR="005F68D3" w:rsidRPr="00FB1744" w:rsidRDefault="005F68D3" w:rsidP="00FB1744">
      <w:pPr>
        <w:pStyle w:val="Footer"/>
      </w:pPr>
    </w:p>
  </w:endnote>
  <w:endnote w:type="continuationSeparator" w:id="0">
    <w:p w14:paraId="44E60090" w14:textId="77777777" w:rsidR="005F68D3" w:rsidRPr="00FB1744" w:rsidRDefault="005F68D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0DDC" w14:textId="77777777" w:rsidR="002D66B9" w:rsidRDefault="002D66B9" w:rsidP="002D66B9">
    <w:pPr>
      <w:pStyle w:val="Footer"/>
      <w:tabs>
        <w:tab w:val="right" w:pos="9638"/>
      </w:tabs>
    </w:pPr>
    <w:r w:rsidRPr="002D66B9">
      <w:rPr>
        <w:b/>
        <w:bCs/>
        <w:sz w:val="18"/>
      </w:rPr>
      <w:fldChar w:fldCharType="begin"/>
    </w:r>
    <w:r w:rsidRPr="002D66B9">
      <w:rPr>
        <w:b/>
        <w:bCs/>
        <w:sz w:val="18"/>
      </w:rPr>
      <w:instrText xml:space="preserve"> PAGE  \* MERGEFORMAT </w:instrText>
    </w:r>
    <w:r w:rsidRPr="002D66B9">
      <w:rPr>
        <w:b/>
        <w:bCs/>
        <w:sz w:val="18"/>
      </w:rPr>
      <w:fldChar w:fldCharType="separate"/>
    </w:r>
    <w:r w:rsidRPr="002D66B9">
      <w:rPr>
        <w:b/>
        <w:bCs/>
        <w:noProof/>
        <w:sz w:val="18"/>
      </w:rPr>
      <w:t>2</w:t>
    </w:r>
    <w:r w:rsidRPr="002D66B9">
      <w:rPr>
        <w:b/>
        <w:bCs/>
        <w:sz w:val="18"/>
      </w:rPr>
      <w:fldChar w:fldCharType="end"/>
    </w:r>
    <w:r>
      <w:tab/>
      <w:t>GE.22-01682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6146" w14:textId="77777777" w:rsidR="002D66B9" w:rsidRDefault="002D66B9" w:rsidP="002D66B9">
    <w:pPr>
      <w:pStyle w:val="Footer"/>
      <w:tabs>
        <w:tab w:val="right" w:pos="9638"/>
      </w:tabs>
    </w:pPr>
    <w:r>
      <w:t>GE.22-01682</w:t>
    </w:r>
    <w:r>
      <w:tab/>
    </w:r>
    <w:r w:rsidRPr="002D66B9">
      <w:rPr>
        <w:b/>
        <w:bCs/>
        <w:sz w:val="18"/>
      </w:rPr>
      <w:fldChar w:fldCharType="begin"/>
    </w:r>
    <w:r w:rsidRPr="002D66B9">
      <w:rPr>
        <w:b/>
        <w:bCs/>
        <w:sz w:val="18"/>
      </w:rPr>
      <w:instrText xml:space="preserve"> PAGE  \* MERGEFORMAT </w:instrText>
    </w:r>
    <w:r w:rsidRPr="002D66B9">
      <w:rPr>
        <w:b/>
        <w:bCs/>
        <w:sz w:val="18"/>
      </w:rPr>
      <w:fldChar w:fldCharType="separate"/>
    </w:r>
    <w:r w:rsidRPr="002D66B9">
      <w:rPr>
        <w:b/>
        <w:bCs/>
        <w:noProof/>
        <w:sz w:val="18"/>
      </w:rPr>
      <w:t>3</w:t>
    </w:r>
    <w:r w:rsidRPr="002D66B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76AF" w14:textId="77777777" w:rsidR="00C448F7" w:rsidRDefault="002D66B9">
    <w:pPr>
      <w:pStyle w:val="Footer"/>
      <w:rPr>
        <w:sz w:val="20"/>
      </w:rPr>
    </w:pPr>
    <w:bookmarkStart w:id="0" w:name="_GoBack"/>
    <w:bookmarkEnd w:id="0"/>
    <w:r>
      <w:rPr>
        <w:noProof/>
        <w:lang w:val="en-US"/>
      </w:rPr>
      <w:drawing>
        <wp:anchor distT="0" distB="0" distL="114300" distR="114300" simplePos="0" relativeHeight="251659264" behindDoc="1" locked="1" layoutInCell="1" allowOverlap="1" wp14:anchorId="72E423D9" wp14:editId="3540336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0CCE59" w14:textId="22880A34" w:rsidR="002D66B9" w:rsidRPr="002D66B9" w:rsidRDefault="002D66B9" w:rsidP="002D66B9">
    <w:pPr>
      <w:pStyle w:val="Footer"/>
      <w:tabs>
        <w:tab w:val="right" w:pos="7370"/>
      </w:tabs>
      <w:rPr>
        <w:sz w:val="20"/>
      </w:rPr>
    </w:pPr>
    <w:r>
      <w:rPr>
        <w:sz w:val="20"/>
      </w:rPr>
      <w:t>GE.22-01682  (E)</w:t>
    </w:r>
    <w:r>
      <w:rPr>
        <w:noProof/>
        <w:sz w:val="20"/>
      </w:rPr>
      <w:drawing>
        <wp:anchor distT="0" distB="0" distL="114300" distR="114300" simplePos="0" relativeHeight="251660288" behindDoc="0" locked="0" layoutInCell="1" allowOverlap="1" wp14:anchorId="7B0165D0" wp14:editId="7FABC38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AC6">
      <w:rPr>
        <w:sz w:val="20"/>
      </w:rPr>
      <w:t xml:space="preserve">    </w:t>
    </w:r>
    <w:r w:rsidR="00380091">
      <w:rPr>
        <w:sz w:val="20"/>
      </w:rPr>
      <w:t>020322   020322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B7B2" w14:textId="77777777" w:rsidR="005F68D3" w:rsidRPr="00FB1744" w:rsidRDefault="005F68D3" w:rsidP="00FB1744">
      <w:pPr>
        <w:tabs>
          <w:tab w:val="right" w:pos="2155"/>
        </w:tabs>
        <w:spacing w:after="80" w:line="240" w:lineRule="auto"/>
        <w:ind w:left="680"/>
      </w:pPr>
      <w:r>
        <w:rPr>
          <w:u w:val="single"/>
        </w:rPr>
        <w:tab/>
      </w:r>
    </w:p>
  </w:footnote>
  <w:footnote w:type="continuationSeparator" w:id="0">
    <w:p w14:paraId="129F8AD6" w14:textId="77777777" w:rsidR="005F68D3" w:rsidRPr="00FB1744" w:rsidRDefault="005F68D3"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2E7A" w14:textId="77777777" w:rsidR="002D66B9" w:rsidRDefault="002D66B9" w:rsidP="002D66B9">
    <w:pPr>
      <w:pStyle w:val="Header"/>
    </w:pPr>
    <w:r>
      <w:t>ECE/TRANS/WP.11/2022/3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8AAB" w14:textId="77777777" w:rsidR="002D66B9" w:rsidRDefault="002D66B9" w:rsidP="002D66B9">
    <w:pPr>
      <w:pStyle w:val="Header"/>
      <w:jc w:val="right"/>
    </w:pPr>
    <w:r>
      <w:t>ECE/TRANS/WP.11/2022/3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5F68D3"/>
    <w:rsid w:val="00030DB4"/>
    <w:rsid w:val="00046E92"/>
    <w:rsid w:val="000D1B89"/>
    <w:rsid w:val="000F6E29"/>
    <w:rsid w:val="001170DC"/>
    <w:rsid w:val="00137A50"/>
    <w:rsid w:val="00247E2C"/>
    <w:rsid w:val="002D66B9"/>
    <w:rsid w:val="002D6C53"/>
    <w:rsid w:val="002F5595"/>
    <w:rsid w:val="00334F6A"/>
    <w:rsid w:val="00342AC8"/>
    <w:rsid w:val="00380091"/>
    <w:rsid w:val="003B4550"/>
    <w:rsid w:val="003E663F"/>
    <w:rsid w:val="0043448D"/>
    <w:rsid w:val="00461253"/>
    <w:rsid w:val="005042C2"/>
    <w:rsid w:val="00506C12"/>
    <w:rsid w:val="0056599A"/>
    <w:rsid w:val="00585AE1"/>
    <w:rsid w:val="00587690"/>
    <w:rsid w:val="005929A5"/>
    <w:rsid w:val="005F68D3"/>
    <w:rsid w:val="00602786"/>
    <w:rsid w:val="0064024F"/>
    <w:rsid w:val="00671529"/>
    <w:rsid w:val="006A5598"/>
    <w:rsid w:val="00717266"/>
    <w:rsid w:val="007268F9"/>
    <w:rsid w:val="007C52B0"/>
    <w:rsid w:val="00876D63"/>
    <w:rsid w:val="009411B4"/>
    <w:rsid w:val="009B3D3C"/>
    <w:rsid w:val="009D0139"/>
    <w:rsid w:val="009F5CDC"/>
    <w:rsid w:val="00A429CD"/>
    <w:rsid w:val="00A775CF"/>
    <w:rsid w:val="00AB3C7E"/>
    <w:rsid w:val="00B06045"/>
    <w:rsid w:val="00B53AC6"/>
    <w:rsid w:val="00C35A27"/>
    <w:rsid w:val="00C448F7"/>
    <w:rsid w:val="00E02C2B"/>
    <w:rsid w:val="00E665C4"/>
    <w:rsid w:val="00E929D6"/>
    <w:rsid w:val="00ED6C48"/>
    <w:rsid w:val="00EF76C5"/>
    <w:rsid w:val="00F056B0"/>
    <w:rsid w:val="00F65F5D"/>
    <w:rsid w:val="00F72025"/>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51F16D"/>
  <w15:docId w15:val="{89D59948-6DC9-445B-8EE4-9DFBC922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2D66B9"/>
    <w:rPr>
      <w:rFonts w:ascii="Times New Roman" w:eastAsia="Times New Roman" w:hAnsi="Times New Roman" w:cs="Times New Roman"/>
      <w:b/>
      <w:sz w:val="28"/>
      <w:szCs w:val="20"/>
      <w:lang w:eastAsia="en-US"/>
    </w:rPr>
  </w:style>
  <w:style w:type="paragraph" w:customStyle="1" w:styleId="Default">
    <w:name w:val="Default"/>
    <w:rsid w:val="002D66B9"/>
    <w:pPr>
      <w:autoSpaceDE w:val="0"/>
      <w:autoSpaceDN w:val="0"/>
      <w:adjustRightInd w:val="0"/>
      <w:spacing w:after="0" w:line="240" w:lineRule="auto"/>
    </w:pPr>
    <w:rPr>
      <w:rFonts w:ascii="Times New Roman" w:eastAsia="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3AC9479E-460D-41A5-B6DB-B7E49145CE62}"/>
</file>

<file path=customXml/itemProps3.xml><?xml version="1.0" encoding="utf-8"?>
<ds:datastoreItem xmlns:ds="http://schemas.openxmlformats.org/officeDocument/2006/customXml" ds:itemID="{FE872857-A1E2-43BD-B7D1-1A54B4BA7491}"/>
</file>

<file path=customXml/itemProps4.xml><?xml version="1.0" encoding="utf-8"?>
<ds:datastoreItem xmlns:ds="http://schemas.openxmlformats.org/officeDocument/2006/customXml" ds:itemID="{1EEBF8ED-F584-45ED-961B-0DA549030E4A}"/>
</file>

<file path=docProps/app.xml><?xml version="1.0" encoding="utf-8"?>
<Properties xmlns="http://schemas.openxmlformats.org/officeDocument/2006/extended-properties" xmlns:vt="http://schemas.openxmlformats.org/officeDocument/2006/docPropsVTypes">
  <Template>CESCR.dotm</Template>
  <TotalTime>0</TotalTime>
  <Pages>2</Pages>
  <Words>383</Words>
  <Characters>2186</Characters>
  <Application>Microsoft Office Word</Application>
  <DocSecurity>0</DocSecurity>
  <Lines>62</Lines>
  <Paragraphs>43</Paragraphs>
  <ScaleCrop>false</ScaleCrop>
  <HeadingPairs>
    <vt:vector size="2" baseType="variant">
      <vt:variant>
        <vt:lpstr>Title</vt:lpstr>
      </vt:variant>
      <vt:variant>
        <vt:i4>1</vt:i4>
      </vt:variant>
    </vt:vector>
  </HeadingPairs>
  <TitlesOfParts>
    <vt:vector size="1" baseType="lpstr">
      <vt:lpstr>ECE/TRANS/WP.11/2022/3</vt:lpstr>
    </vt:vector>
  </TitlesOfParts>
  <Company>DCM</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ECE/TRANS/WP.11/2022/3</dc:title>
  <dc:subject>2201682</dc:subject>
  <dc:creator>AVT</dc:creator>
  <cp:keywords/>
  <dc:description/>
  <cp:lastModifiedBy>Anni Vi Tirol</cp:lastModifiedBy>
  <cp:revision>2</cp:revision>
  <cp:lastPrinted>2022-03-02T13:45:00Z</cp:lastPrinted>
  <dcterms:created xsi:type="dcterms:W3CDTF">2022-03-02T13:47:00Z</dcterms:created>
  <dcterms:modified xsi:type="dcterms:W3CDTF">2022-03-02T13:47:00Z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