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527BC0AD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B40A521" w14:textId="77777777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A0BC6DE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0D9115B" w14:textId="71F88E17" w:rsidR="001433FD" w:rsidRPr="00884273" w:rsidRDefault="00884273" w:rsidP="00884273">
            <w:pPr>
              <w:jc w:val="right"/>
            </w:pPr>
            <w:r w:rsidRPr="00884273">
              <w:rPr>
                <w:sz w:val="40"/>
              </w:rPr>
              <w:t>ECE</w:t>
            </w:r>
            <w:r>
              <w:t>/TRANS/WP.11/2022/2</w:t>
            </w:r>
          </w:p>
        </w:tc>
      </w:tr>
      <w:tr w:rsidR="001433FD" w:rsidRPr="00DB58B5" w14:paraId="381291F9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09B86FC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A4DC359" wp14:editId="744C109C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965F18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8B45821" w14:textId="77777777" w:rsidR="00BB1B42" w:rsidRDefault="00BB1B42" w:rsidP="00BB1B42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38CAE4C6" w14:textId="7FA2F843" w:rsidR="0001207F" w:rsidRDefault="00747FB0" w:rsidP="006126DB">
            <w:pPr>
              <w:spacing w:line="240" w:lineRule="exact"/>
            </w:pPr>
            <w:r>
              <w:t>8</w:t>
            </w:r>
            <w:r w:rsidR="00223F5D">
              <w:t xml:space="preserve"> février 2022</w:t>
            </w:r>
          </w:p>
          <w:p w14:paraId="5AB75D97" w14:textId="77777777" w:rsidR="00223F5D" w:rsidRDefault="00223F5D" w:rsidP="00223F5D">
            <w:pPr>
              <w:spacing w:line="240" w:lineRule="exact"/>
            </w:pPr>
          </w:p>
          <w:p w14:paraId="478E45A4" w14:textId="77777777" w:rsidR="00223F5D" w:rsidRPr="00DB58B5" w:rsidRDefault="00223F5D" w:rsidP="00223F5D">
            <w:pPr>
              <w:spacing w:line="240" w:lineRule="exact"/>
            </w:pPr>
            <w:r>
              <w:t>Original : français</w:t>
            </w:r>
          </w:p>
        </w:tc>
      </w:tr>
    </w:tbl>
    <w:p w14:paraId="3B76DECA" w14:textId="77777777" w:rsidR="00564657" w:rsidRDefault="00564657" w:rsidP="00223F5D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0D8E0135" w14:textId="77777777" w:rsidR="005568F1" w:rsidRDefault="005568F1" w:rsidP="005568F1">
      <w:pPr>
        <w:spacing w:before="120"/>
        <w:rPr>
          <w:sz w:val="28"/>
          <w:szCs w:val="28"/>
        </w:rPr>
      </w:pPr>
      <w:r>
        <w:rPr>
          <w:sz w:val="28"/>
          <w:szCs w:val="28"/>
        </w:rPr>
        <w:t>Comité des transports intérieurs</w:t>
      </w:r>
    </w:p>
    <w:p w14:paraId="1BD0F60B" w14:textId="28D60A51" w:rsidR="005568F1" w:rsidRDefault="005568F1" w:rsidP="005568F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</w:t>
      </w:r>
      <w:r w:rsidR="00405B35">
        <w:rPr>
          <w:b/>
          <w:sz w:val="24"/>
          <w:szCs w:val="24"/>
        </w:rPr>
        <w:br/>
      </w:r>
      <w:r>
        <w:rPr>
          <w:b/>
          <w:sz w:val="24"/>
          <w:szCs w:val="24"/>
        </w:rPr>
        <w:t>des denrées périssables</w:t>
      </w:r>
    </w:p>
    <w:p w14:paraId="7DB9EB17" w14:textId="77777777" w:rsidR="003D1E16" w:rsidRPr="003D1E16" w:rsidRDefault="003D1E16" w:rsidP="003D1E16">
      <w:pPr>
        <w:spacing w:before="120"/>
        <w:rPr>
          <w:b/>
          <w:bCs/>
        </w:rPr>
      </w:pPr>
      <w:r w:rsidRPr="003D1E16">
        <w:rPr>
          <w:b/>
          <w:bCs/>
        </w:rPr>
        <w:t>Soixante-dix-huitième session</w:t>
      </w:r>
    </w:p>
    <w:p w14:paraId="607CBE73" w14:textId="77777777" w:rsidR="003D1E16" w:rsidRPr="003D1E16" w:rsidRDefault="003D1E16" w:rsidP="00135131">
      <w:pPr>
        <w:rPr>
          <w:b/>
          <w:bCs/>
        </w:rPr>
      </w:pPr>
      <w:r w:rsidRPr="003D1E16">
        <w:rPr>
          <w:b/>
          <w:bCs/>
        </w:rPr>
        <w:t>Genève, 3-6 mai 2022</w:t>
      </w:r>
    </w:p>
    <w:p w14:paraId="3A7BC8C8" w14:textId="4A10419B" w:rsidR="005568F1" w:rsidRPr="00135131" w:rsidRDefault="003D1E16" w:rsidP="00135131">
      <w:r w:rsidRPr="00135131">
        <w:t xml:space="preserve">Point </w:t>
      </w:r>
      <w:r w:rsidR="00746298" w:rsidRPr="00135131">
        <w:t>5 b)</w:t>
      </w:r>
      <w:r w:rsidRPr="00135131">
        <w:t xml:space="preserve"> de l'ordre du jour provisoire</w:t>
      </w:r>
    </w:p>
    <w:p w14:paraId="0085B7CF" w14:textId="77777777" w:rsidR="005568F1" w:rsidRDefault="005568F1" w:rsidP="005568F1">
      <w:pPr>
        <w:pStyle w:val="Standard"/>
        <w:rPr>
          <w:b/>
          <w:lang w:val="fr-FR"/>
        </w:rPr>
      </w:pPr>
      <w:r>
        <w:rPr>
          <w:b/>
          <w:lang w:val="fr-FR"/>
        </w:rPr>
        <w:t>Propositions d’amendements à l’ATP :</w:t>
      </w:r>
    </w:p>
    <w:p w14:paraId="24E91DB9" w14:textId="77777777" w:rsidR="005568F1" w:rsidRDefault="005568F1" w:rsidP="005568F1">
      <w:pPr>
        <w:rPr>
          <w:b/>
          <w:bCs/>
          <w:lang w:val="fr-FR"/>
        </w:rPr>
      </w:pPr>
      <w:r w:rsidRPr="007130D1">
        <w:rPr>
          <w:b/>
          <w:bCs/>
        </w:rPr>
        <w:t>nouvelles propositions</w:t>
      </w:r>
      <w:r>
        <w:t xml:space="preserve"> </w:t>
      </w:r>
    </w:p>
    <w:p w14:paraId="1E260B6A" w14:textId="772E9146" w:rsidR="005568F1" w:rsidRPr="00F4604C" w:rsidRDefault="00324BFF" w:rsidP="00324BFF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="005568F1" w:rsidRPr="009D3460">
        <w:rPr>
          <w:lang w:val="fr-FR"/>
        </w:rPr>
        <w:t>Proposition</w:t>
      </w:r>
      <w:r w:rsidR="005568F1">
        <w:rPr>
          <w:lang w:val="fr-FR"/>
        </w:rPr>
        <w:t xml:space="preserve"> d’amendements au paragraphe 7.3.7</w:t>
      </w:r>
      <w:r w:rsidR="005568F1" w:rsidRPr="009D3460">
        <w:rPr>
          <w:lang w:val="fr-FR"/>
        </w:rPr>
        <w:t xml:space="preserve"> </w:t>
      </w:r>
      <w:r w:rsidR="008F3BB9">
        <w:rPr>
          <w:lang w:val="fr-FR"/>
        </w:rPr>
        <w:br/>
      </w:r>
      <w:r w:rsidR="005568F1" w:rsidRPr="009D3460">
        <w:rPr>
          <w:lang w:val="fr-FR"/>
        </w:rPr>
        <w:t>de l’appendice 2 de l’annexe 1</w:t>
      </w:r>
    </w:p>
    <w:p w14:paraId="3490B23E" w14:textId="77777777" w:rsidR="005568F1" w:rsidRDefault="005568F1" w:rsidP="00324BFF">
      <w:pPr>
        <w:pStyle w:val="H1G"/>
        <w:rPr>
          <w:rStyle w:val="Policepardfaut1"/>
          <w:lang w:val="fr-FR"/>
        </w:rPr>
      </w:pPr>
      <w:r>
        <w:rPr>
          <w:rStyle w:val="Policepardfaut1"/>
          <w:lang w:val="fr-FR"/>
        </w:rPr>
        <w:tab/>
      </w:r>
      <w:r>
        <w:rPr>
          <w:rStyle w:val="Policepardfaut1"/>
          <w:lang w:val="fr-FR"/>
        </w:rPr>
        <w:tab/>
      </w:r>
      <w:r>
        <w:rPr>
          <w:rStyle w:val="Policepardfaut1"/>
          <w:lang w:val="fr-FR"/>
        </w:rPr>
        <w:tab/>
        <w:t xml:space="preserve">Communication du </w:t>
      </w:r>
      <w:r>
        <w:t>Gouvernement</w:t>
      </w:r>
      <w:r>
        <w:rPr>
          <w:rStyle w:val="Policepardfaut1"/>
          <w:lang w:val="fr-FR"/>
        </w:rPr>
        <w:t xml:space="preserve"> de la France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5568F1" w14:paraId="23C4190A" w14:textId="77777777" w:rsidTr="000D4B6A">
        <w:trPr>
          <w:jc w:val="center"/>
        </w:trPr>
        <w:tc>
          <w:tcPr>
            <w:tcW w:w="9628" w:type="dxa"/>
            <w:tcBorders>
              <w:bottom w:val="nil"/>
            </w:tcBorders>
            <w:shd w:val="clear" w:color="auto" w:fill="auto"/>
          </w:tcPr>
          <w:p w14:paraId="2E12D6B8" w14:textId="77777777" w:rsidR="005568F1" w:rsidRPr="00C6263E" w:rsidRDefault="005568F1" w:rsidP="000D4B6A">
            <w:pPr>
              <w:spacing w:before="240" w:after="120"/>
              <w:ind w:left="255"/>
              <w:rPr>
                <w:i/>
                <w:sz w:val="24"/>
              </w:rPr>
            </w:pPr>
            <w:r w:rsidRPr="00C6263E">
              <w:rPr>
                <w:i/>
                <w:sz w:val="24"/>
              </w:rPr>
              <w:t xml:space="preserve">Résumé </w:t>
            </w:r>
          </w:p>
        </w:tc>
      </w:tr>
      <w:tr w:rsidR="005568F1" w14:paraId="4D28B724" w14:textId="77777777" w:rsidTr="000D4B6A">
        <w:trPr>
          <w:jc w:val="center"/>
        </w:trPr>
        <w:tc>
          <w:tcPr>
            <w:tcW w:w="96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tbl>
            <w:tblPr>
              <w:tblW w:w="9630" w:type="dxa"/>
              <w:jc w:val="center"/>
              <w:tblBorders>
                <w:right w:val="single" w:sz="4" w:space="0" w:color="00000A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0"/>
            </w:tblGrid>
            <w:tr w:rsidR="005568F1" w14:paraId="1027DA07" w14:textId="77777777" w:rsidTr="000D4B6A">
              <w:trPr>
                <w:jc w:val="center"/>
              </w:trPr>
              <w:tc>
                <w:tcPr>
                  <w:tcW w:w="9630" w:type="dxa"/>
                  <w:shd w:val="clear" w:color="auto" w:fill="FFFFFF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hideMark/>
                </w:tcPr>
                <w:p w14:paraId="35015BB4" w14:textId="77777777" w:rsidR="005568F1" w:rsidRDefault="005568F1" w:rsidP="000D4B6A">
                  <w:pPr>
                    <w:pStyle w:val="SingleTxtG"/>
                    <w:spacing w:before="120"/>
                    <w:ind w:left="2269" w:hanging="1985"/>
                  </w:pPr>
                  <w:r>
                    <w:rPr>
                      <w:b/>
                    </w:rPr>
                    <w:t>Résumé analytique </w:t>
                  </w:r>
                  <w:r>
                    <w:t>:</w:t>
                  </w:r>
                  <w:r>
                    <w:rPr>
                      <w:b/>
                    </w:rPr>
                    <w:tab/>
                  </w:r>
                  <w:r w:rsidRPr="004C34EB">
                    <w:rPr>
                      <w:bCs/>
                    </w:rPr>
                    <w:t>Correction du tableau</w:t>
                  </w: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5568F1" w14:paraId="3D11712C" w14:textId="77777777" w:rsidTr="000D4B6A">
              <w:trPr>
                <w:jc w:val="center"/>
              </w:trPr>
              <w:tc>
                <w:tcPr>
                  <w:tcW w:w="9630" w:type="dxa"/>
                  <w:shd w:val="clear" w:color="auto" w:fill="FFFFFF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hideMark/>
                </w:tcPr>
                <w:p w14:paraId="63E40144" w14:textId="77777777" w:rsidR="005568F1" w:rsidRPr="009D3460" w:rsidRDefault="005568F1" w:rsidP="000D4B6A">
                  <w:pPr>
                    <w:pStyle w:val="SingleTxtG"/>
                    <w:spacing w:before="120"/>
                    <w:ind w:left="2269" w:hanging="1985"/>
                  </w:pPr>
                  <w:r>
                    <w:rPr>
                      <w:b/>
                    </w:rPr>
                    <w:t>Mesure à prendre </w:t>
                  </w:r>
                  <w:r>
                    <w:t>:</w:t>
                  </w:r>
                  <w:r>
                    <w:rPr>
                      <w:b/>
                    </w:rPr>
                    <w:tab/>
                  </w:r>
                  <w:r w:rsidRPr="004C34EB">
                    <w:rPr>
                      <w:bCs/>
                    </w:rPr>
                    <w:t>Modifier le paragraphe 7.3.7 de l’appendice 2 de l’annexe 1</w:t>
                  </w:r>
                </w:p>
              </w:tc>
            </w:tr>
            <w:tr w:rsidR="005568F1" w14:paraId="73FC2F06" w14:textId="77777777" w:rsidTr="000D4B6A">
              <w:trPr>
                <w:jc w:val="center"/>
              </w:trPr>
              <w:tc>
                <w:tcPr>
                  <w:tcW w:w="9630" w:type="dxa"/>
                  <w:shd w:val="clear" w:color="auto" w:fill="FFFFFF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hideMark/>
                </w:tcPr>
                <w:p w14:paraId="612F7083" w14:textId="77777777" w:rsidR="005568F1" w:rsidRDefault="005568F1" w:rsidP="000D4B6A">
                  <w:pPr>
                    <w:pStyle w:val="SingleTxtG"/>
                    <w:ind w:left="2552" w:hanging="2268"/>
                    <w:jc w:val="left"/>
                  </w:pPr>
                  <w:r>
                    <w:rPr>
                      <w:b/>
                    </w:rPr>
                    <w:t>Documents connexes </w:t>
                  </w:r>
                  <w:r>
                    <w:t>:</w:t>
                  </w:r>
                  <w:r>
                    <w:rPr>
                      <w:b/>
                    </w:rPr>
                    <w:tab/>
                  </w:r>
                  <w:r>
                    <w:t>Aucun.</w:t>
                  </w:r>
                </w:p>
              </w:tc>
            </w:tr>
          </w:tbl>
          <w:p w14:paraId="2CA4E66D" w14:textId="77777777" w:rsidR="005568F1" w:rsidRDefault="005568F1" w:rsidP="000D4B6A"/>
        </w:tc>
      </w:tr>
    </w:tbl>
    <w:p w14:paraId="2E06CE39" w14:textId="37D1A4FE" w:rsidR="005568F1" w:rsidRDefault="004C34EB" w:rsidP="005568F1">
      <w:pPr>
        <w:pStyle w:val="HChG"/>
        <w:ind w:left="709" w:firstLine="0"/>
      </w:pPr>
      <w:r>
        <w:tab/>
      </w:r>
      <w:r>
        <w:tab/>
      </w:r>
      <w:r w:rsidR="005568F1">
        <w:t>Introduction</w:t>
      </w:r>
    </w:p>
    <w:p w14:paraId="56223AFF" w14:textId="55E7F2CE" w:rsidR="005568F1" w:rsidRPr="004C34EB" w:rsidRDefault="005568F1" w:rsidP="004C34EB">
      <w:pPr>
        <w:pStyle w:val="SingleTxtG"/>
        <w:rPr>
          <w:rFonts w:eastAsia="Calibri"/>
        </w:rPr>
      </w:pPr>
      <w:r w:rsidRPr="004C34EB">
        <w:rPr>
          <w:rFonts w:eastAsia="Calibri"/>
        </w:rPr>
        <w:t>1.</w:t>
      </w:r>
      <w:r w:rsidRPr="004C34EB">
        <w:rPr>
          <w:rFonts w:eastAsia="Calibri"/>
        </w:rPr>
        <w:tab/>
        <w:t xml:space="preserve">Le tableau figurant dans le paragraphe 7.3.7 de l’appendice 2 de l’annexe 1 expose le terme « mousse » qui évoque la technique d’isolation tandis que l’ensemble du texte de l’ATP évoque le terme « isolant » </w:t>
      </w:r>
    </w:p>
    <w:p w14:paraId="7A3E1DC1" w14:textId="77777777" w:rsidR="005568F1" w:rsidRPr="004C34EB" w:rsidRDefault="005568F1" w:rsidP="004C34EB">
      <w:pPr>
        <w:pStyle w:val="SingleTxtG"/>
        <w:rPr>
          <w:rFonts w:eastAsia="Calibri"/>
        </w:rPr>
      </w:pPr>
      <w:r w:rsidRPr="004C34EB">
        <w:rPr>
          <w:rFonts w:eastAsia="Calibri"/>
        </w:rPr>
        <w:t>2.</w:t>
      </w:r>
      <w:r w:rsidRPr="004C34EB">
        <w:rPr>
          <w:rFonts w:eastAsia="Calibri"/>
        </w:rPr>
        <w:tab/>
        <w:t>L’objectif est d’harmoniser les termes au sein des accords ATP.</w:t>
      </w:r>
    </w:p>
    <w:p w14:paraId="3C085C24" w14:textId="77777777" w:rsidR="005568F1" w:rsidRPr="00D42F6D" w:rsidRDefault="005568F1" w:rsidP="004C34EB">
      <w:pPr>
        <w:pStyle w:val="HChG"/>
      </w:pPr>
      <w:r w:rsidRPr="00D42F6D">
        <w:tab/>
        <w:t>I.</w:t>
      </w:r>
      <w:r w:rsidRPr="00D42F6D">
        <w:tab/>
      </w:r>
      <w:r w:rsidRPr="004C34EB">
        <w:t>Proposition</w:t>
      </w:r>
    </w:p>
    <w:p w14:paraId="27C3A1A1" w14:textId="00B37533" w:rsidR="005568F1" w:rsidRPr="00D42F6D" w:rsidRDefault="005568F1" w:rsidP="004C34EB">
      <w:pPr>
        <w:pStyle w:val="SingleTxtG"/>
      </w:pPr>
      <w:r w:rsidRPr="00D42F6D">
        <w:rPr>
          <w:rFonts w:eastAsia="Calibri"/>
          <w:lang w:eastAsia="en-US"/>
        </w:rPr>
        <w:t>3.</w:t>
      </w:r>
      <w:r w:rsidRPr="00D42F6D">
        <w:rPr>
          <w:rFonts w:eastAsia="Calibri"/>
          <w:lang w:eastAsia="en-US"/>
        </w:rPr>
        <w:tab/>
        <w:t>Il est proposé de remplacer « mousse » par « isolant » dans le tableau figurant dans le paragraphe 7.3.7 de l’appendice 2 de l’annexe 1</w:t>
      </w:r>
    </w:p>
    <w:p w14:paraId="171C5B15" w14:textId="77777777" w:rsidR="005568F1" w:rsidRDefault="005568F1" w:rsidP="00141374">
      <w:pPr>
        <w:pStyle w:val="HChG"/>
      </w:pPr>
      <w:r w:rsidRPr="00D42F6D">
        <w:lastRenderedPageBreak/>
        <w:tab/>
        <w:t>II.</w:t>
      </w:r>
      <w:r w:rsidRPr="00D42F6D">
        <w:tab/>
        <w:t>Incidence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668"/>
        <w:gridCol w:w="2285"/>
      </w:tblGrid>
      <w:tr w:rsidR="005568F1" w14:paraId="75CF13CB" w14:textId="77777777" w:rsidTr="000D4B6A">
        <w:trPr>
          <w:gridAfter w:val="1"/>
          <w:wAfter w:w="2285" w:type="dxa"/>
          <w:trHeight w:val="90"/>
        </w:trPr>
        <w:tc>
          <w:tcPr>
            <w:tcW w:w="2802" w:type="dxa"/>
          </w:tcPr>
          <w:p w14:paraId="35DEF3F2" w14:textId="77777777" w:rsidR="005568F1" w:rsidRDefault="005568F1" w:rsidP="00141374">
            <w:pPr>
              <w:pStyle w:val="Default"/>
              <w:keepNext/>
              <w:keepLines/>
              <w:tabs>
                <w:tab w:val="right" w:pos="851"/>
              </w:tabs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Coût : </w:t>
            </w:r>
          </w:p>
        </w:tc>
        <w:tc>
          <w:tcPr>
            <w:tcW w:w="3668" w:type="dxa"/>
          </w:tcPr>
          <w:p w14:paraId="4541510C" w14:textId="77777777" w:rsidR="005568F1" w:rsidRDefault="005568F1" w:rsidP="00141374">
            <w:pPr>
              <w:pStyle w:val="Default"/>
              <w:keepNext/>
              <w:keepLines/>
              <w:tabs>
                <w:tab w:val="righ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Aucune incidence. </w:t>
            </w:r>
          </w:p>
        </w:tc>
      </w:tr>
      <w:tr w:rsidR="005568F1" w14:paraId="3BA9B4F6" w14:textId="77777777" w:rsidTr="000D4B6A">
        <w:trPr>
          <w:gridAfter w:val="1"/>
          <w:wAfter w:w="2285" w:type="dxa"/>
          <w:trHeight w:val="90"/>
        </w:trPr>
        <w:tc>
          <w:tcPr>
            <w:tcW w:w="2802" w:type="dxa"/>
          </w:tcPr>
          <w:p w14:paraId="24375C2B" w14:textId="77777777" w:rsidR="005568F1" w:rsidRDefault="005568F1" w:rsidP="00141374">
            <w:pPr>
              <w:pStyle w:val="Default"/>
              <w:keepNext/>
              <w:keepLines/>
              <w:tabs>
                <w:tab w:val="right" w:pos="851"/>
              </w:tabs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Environnement : </w:t>
            </w:r>
          </w:p>
        </w:tc>
        <w:tc>
          <w:tcPr>
            <w:tcW w:w="3668" w:type="dxa"/>
          </w:tcPr>
          <w:p w14:paraId="7AD79630" w14:textId="77777777" w:rsidR="005568F1" w:rsidRDefault="005568F1" w:rsidP="00141374">
            <w:pPr>
              <w:pStyle w:val="Default"/>
              <w:keepNext/>
              <w:keepLines/>
              <w:tabs>
                <w:tab w:val="righ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Aucune incidence. </w:t>
            </w:r>
          </w:p>
        </w:tc>
      </w:tr>
      <w:tr w:rsidR="005568F1" w14:paraId="4C98DC21" w14:textId="77777777" w:rsidTr="000D4B6A">
        <w:trPr>
          <w:trHeight w:val="210"/>
        </w:trPr>
        <w:tc>
          <w:tcPr>
            <w:tcW w:w="2802" w:type="dxa"/>
          </w:tcPr>
          <w:p w14:paraId="78900F37" w14:textId="77777777" w:rsidR="005568F1" w:rsidRDefault="005568F1" w:rsidP="000D4B6A">
            <w:pPr>
              <w:pStyle w:val="Default"/>
              <w:tabs>
                <w:tab w:val="right" w:pos="851"/>
              </w:tabs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Faisabilité : </w:t>
            </w:r>
          </w:p>
        </w:tc>
        <w:tc>
          <w:tcPr>
            <w:tcW w:w="5953" w:type="dxa"/>
            <w:gridSpan w:val="2"/>
          </w:tcPr>
          <w:p w14:paraId="49A4A69E" w14:textId="77777777" w:rsidR="005568F1" w:rsidRDefault="005568F1" w:rsidP="000D4B6A">
            <w:pPr>
              <w:pStyle w:val="Default"/>
              <w:tabs>
                <w:tab w:val="right" w:pos="851"/>
              </w:tabs>
              <w:ind w:lef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L’amendement proposé peut aisément être introduit dans l’ATP. Il n’est pas nécessaire de prévoir une période de transition. </w:t>
            </w:r>
          </w:p>
        </w:tc>
      </w:tr>
      <w:tr w:rsidR="005568F1" w14:paraId="0874E073" w14:textId="77777777" w:rsidTr="000D4B6A">
        <w:trPr>
          <w:gridAfter w:val="1"/>
          <w:wAfter w:w="2285" w:type="dxa"/>
          <w:trHeight w:val="90"/>
        </w:trPr>
        <w:tc>
          <w:tcPr>
            <w:tcW w:w="2802" w:type="dxa"/>
          </w:tcPr>
          <w:p w14:paraId="1F41CAF0" w14:textId="77777777" w:rsidR="005568F1" w:rsidRDefault="005568F1" w:rsidP="000D4B6A">
            <w:pPr>
              <w:pStyle w:val="Default"/>
              <w:tabs>
                <w:tab w:val="right" w:pos="851"/>
              </w:tabs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Applicabilité : </w:t>
            </w:r>
          </w:p>
        </w:tc>
        <w:tc>
          <w:tcPr>
            <w:tcW w:w="3668" w:type="dxa"/>
          </w:tcPr>
          <w:p w14:paraId="3A1310B6" w14:textId="77777777" w:rsidR="005568F1" w:rsidRDefault="005568F1" w:rsidP="000D4B6A">
            <w:pPr>
              <w:pStyle w:val="Default"/>
              <w:tabs>
                <w:tab w:val="right" w:pos="851"/>
              </w:tabs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Aucune difficulté n’est à prévoir. </w:t>
            </w:r>
          </w:p>
        </w:tc>
      </w:tr>
    </w:tbl>
    <w:p w14:paraId="5F9FB921" w14:textId="6668CA9F" w:rsidR="005568F1" w:rsidRPr="00141374" w:rsidRDefault="00141374" w:rsidP="0014137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568F1" w:rsidRPr="00141374" w:rsidSect="00223F5D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9A11E" w14:textId="77777777" w:rsidR="00241D0E" w:rsidRDefault="00241D0E" w:rsidP="00F95C08">
      <w:pPr>
        <w:spacing w:line="240" w:lineRule="auto"/>
      </w:pPr>
    </w:p>
  </w:endnote>
  <w:endnote w:type="continuationSeparator" w:id="0">
    <w:p w14:paraId="1E35F84A" w14:textId="77777777" w:rsidR="00241D0E" w:rsidRPr="00AC3823" w:rsidRDefault="00241D0E" w:rsidP="00AC3823">
      <w:pPr>
        <w:pStyle w:val="Pieddepage"/>
      </w:pPr>
    </w:p>
  </w:endnote>
  <w:endnote w:type="continuationNotice" w:id="1">
    <w:p w14:paraId="14FEA068" w14:textId="77777777" w:rsidR="00241D0E" w:rsidRDefault="00241D0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EE3" w14:textId="77777777" w:rsidR="00223F5D" w:rsidRPr="00223F5D" w:rsidRDefault="00223F5D" w:rsidP="00223F5D">
    <w:pPr>
      <w:pStyle w:val="Pieddepage"/>
      <w:tabs>
        <w:tab w:val="right" w:pos="9638"/>
      </w:tabs>
      <w:rPr>
        <w:sz w:val="18"/>
      </w:rPr>
    </w:pPr>
    <w:r w:rsidRPr="00223F5D">
      <w:rPr>
        <w:b/>
        <w:sz w:val="18"/>
      </w:rPr>
      <w:fldChar w:fldCharType="begin"/>
    </w:r>
    <w:r w:rsidRPr="00223F5D">
      <w:rPr>
        <w:b/>
        <w:sz w:val="18"/>
      </w:rPr>
      <w:instrText xml:space="preserve"> PAGE  \* MERGEFORMAT </w:instrText>
    </w:r>
    <w:r w:rsidRPr="00223F5D">
      <w:rPr>
        <w:b/>
        <w:sz w:val="18"/>
      </w:rPr>
      <w:fldChar w:fldCharType="separate"/>
    </w:r>
    <w:r w:rsidRPr="00223F5D">
      <w:rPr>
        <w:b/>
        <w:noProof/>
        <w:sz w:val="18"/>
      </w:rPr>
      <w:t>2</w:t>
    </w:r>
    <w:r w:rsidRPr="00223F5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67C8" w14:textId="77777777" w:rsidR="00223F5D" w:rsidRPr="00223F5D" w:rsidRDefault="00223F5D" w:rsidP="00223F5D">
    <w:pPr>
      <w:pStyle w:val="Pieddepage"/>
      <w:tabs>
        <w:tab w:val="right" w:pos="9638"/>
      </w:tabs>
      <w:rPr>
        <w:b/>
        <w:sz w:val="18"/>
      </w:rPr>
    </w:pPr>
    <w:r>
      <w:tab/>
    </w:r>
    <w:r w:rsidRPr="00223F5D">
      <w:rPr>
        <w:b/>
        <w:sz w:val="18"/>
      </w:rPr>
      <w:fldChar w:fldCharType="begin"/>
    </w:r>
    <w:r w:rsidRPr="00223F5D">
      <w:rPr>
        <w:b/>
        <w:sz w:val="18"/>
      </w:rPr>
      <w:instrText xml:space="preserve"> PAGE  \* MERGEFORMAT </w:instrText>
    </w:r>
    <w:r w:rsidRPr="00223F5D">
      <w:rPr>
        <w:b/>
        <w:sz w:val="18"/>
      </w:rPr>
      <w:fldChar w:fldCharType="separate"/>
    </w:r>
    <w:r w:rsidRPr="00223F5D">
      <w:rPr>
        <w:b/>
        <w:noProof/>
        <w:sz w:val="18"/>
      </w:rPr>
      <w:t>3</w:t>
    </w:r>
    <w:r w:rsidRPr="00223F5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F76E" w14:textId="6FC29FE1" w:rsidR="000D3EE9" w:rsidRPr="00884273" w:rsidRDefault="00884273" w:rsidP="00884273">
    <w:pPr>
      <w:pStyle w:val="Pieddepage"/>
      <w:tabs>
        <w:tab w:val="left" w:pos="6520"/>
        <w:tab w:val="right" w:pos="9638"/>
      </w:tabs>
      <w:spacing w:before="120"/>
      <w:rPr>
        <w:sz w:val="20"/>
      </w:rPr>
    </w:pPr>
    <w:r>
      <w:rPr>
        <w:sz w:val="20"/>
      </w:rPr>
      <w:t>GE.22-01660  (F)</w:t>
    </w:r>
    <w:bookmarkStart w:id="0" w:name="_GoBack"/>
    <w:bookmarkEnd w:id="0"/>
    <w:r>
      <w:rPr>
        <w:sz w:val="20"/>
      </w:rPr>
      <w:tab/>
    </w:r>
    <w:r w:rsidRPr="00884273">
      <w:rPr>
        <w:noProof/>
        <w:sz w:val="20"/>
        <w:lang w:eastAsia="fr-CH"/>
      </w:rPr>
      <w:drawing>
        <wp:inline distT="0" distB="0" distL="0" distR="0" wp14:anchorId="347FC9B4" wp14:editId="2569CB32">
          <wp:extent cx="1105200" cy="234000"/>
          <wp:effectExtent l="0" t="0" r="0" b="0"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00EF097A" wp14:editId="22EC42C9">
          <wp:extent cx="635635" cy="63563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B0F44" w14:textId="77777777" w:rsidR="00241D0E" w:rsidRPr="00AC3823" w:rsidRDefault="00241D0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A6109FE" w14:textId="77777777" w:rsidR="00241D0E" w:rsidRPr="00AC3823" w:rsidRDefault="00241D0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0208F3F" w14:textId="77777777" w:rsidR="00241D0E" w:rsidRPr="00AC3823" w:rsidRDefault="00241D0E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378A" w14:textId="77777777" w:rsidR="00223F5D" w:rsidRPr="00223F5D" w:rsidRDefault="00090513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223F5D">
      <w:t>ECE/TRANS/WP.11/2022/2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295A" w14:textId="77777777" w:rsidR="00223F5D" w:rsidRPr="00223F5D" w:rsidRDefault="00090513" w:rsidP="00223F5D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23F5D">
      <w:t>ECE/TRANS/WP.11/2022/2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5D"/>
    <w:rsid w:val="0001207F"/>
    <w:rsid w:val="00017F94"/>
    <w:rsid w:val="00023842"/>
    <w:rsid w:val="000334F9"/>
    <w:rsid w:val="0007796D"/>
    <w:rsid w:val="00082CC6"/>
    <w:rsid w:val="00090513"/>
    <w:rsid w:val="000942EE"/>
    <w:rsid w:val="000A52BF"/>
    <w:rsid w:val="000B7790"/>
    <w:rsid w:val="000D3EE9"/>
    <w:rsid w:val="000D62F3"/>
    <w:rsid w:val="00111F2F"/>
    <w:rsid w:val="00135131"/>
    <w:rsid w:val="00141374"/>
    <w:rsid w:val="001433FD"/>
    <w:rsid w:val="0014365E"/>
    <w:rsid w:val="001541D3"/>
    <w:rsid w:val="00176178"/>
    <w:rsid w:val="001A064B"/>
    <w:rsid w:val="001D400F"/>
    <w:rsid w:val="001F525A"/>
    <w:rsid w:val="00223272"/>
    <w:rsid w:val="00223F5D"/>
    <w:rsid w:val="00240333"/>
    <w:rsid w:val="00241D0E"/>
    <w:rsid w:val="0024779E"/>
    <w:rsid w:val="002832AC"/>
    <w:rsid w:val="002834A0"/>
    <w:rsid w:val="002D7C93"/>
    <w:rsid w:val="00324BFF"/>
    <w:rsid w:val="00343829"/>
    <w:rsid w:val="0037241C"/>
    <w:rsid w:val="003D1E16"/>
    <w:rsid w:val="00405B35"/>
    <w:rsid w:val="00441C3B"/>
    <w:rsid w:val="00446B0A"/>
    <w:rsid w:val="00446FE5"/>
    <w:rsid w:val="00452396"/>
    <w:rsid w:val="004C34EB"/>
    <w:rsid w:val="004E468C"/>
    <w:rsid w:val="004F2920"/>
    <w:rsid w:val="005316B0"/>
    <w:rsid w:val="005505B7"/>
    <w:rsid w:val="005568F1"/>
    <w:rsid w:val="00564657"/>
    <w:rsid w:val="00573BE5"/>
    <w:rsid w:val="00586ED3"/>
    <w:rsid w:val="00596AA9"/>
    <w:rsid w:val="006126DB"/>
    <w:rsid w:val="006E2F73"/>
    <w:rsid w:val="00703D0F"/>
    <w:rsid w:val="00706363"/>
    <w:rsid w:val="0071601D"/>
    <w:rsid w:val="00746298"/>
    <w:rsid w:val="00747FB0"/>
    <w:rsid w:val="007A62E6"/>
    <w:rsid w:val="0080684C"/>
    <w:rsid w:val="008204DA"/>
    <w:rsid w:val="0083123A"/>
    <w:rsid w:val="00871C75"/>
    <w:rsid w:val="008767E8"/>
    <w:rsid w:val="008776DC"/>
    <w:rsid w:val="00884273"/>
    <w:rsid w:val="008F3BB9"/>
    <w:rsid w:val="00915979"/>
    <w:rsid w:val="009705C8"/>
    <w:rsid w:val="009C1CF4"/>
    <w:rsid w:val="009F02C9"/>
    <w:rsid w:val="00A30353"/>
    <w:rsid w:val="00A62D91"/>
    <w:rsid w:val="00A90D54"/>
    <w:rsid w:val="00AA113A"/>
    <w:rsid w:val="00AC3823"/>
    <w:rsid w:val="00AE323C"/>
    <w:rsid w:val="00AF0660"/>
    <w:rsid w:val="00B00181"/>
    <w:rsid w:val="00B00B0D"/>
    <w:rsid w:val="00B07F65"/>
    <w:rsid w:val="00B30069"/>
    <w:rsid w:val="00B50E25"/>
    <w:rsid w:val="00B64918"/>
    <w:rsid w:val="00B765F7"/>
    <w:rsid w:val="00B92121"/>
    <w:rsid w:val="00BA0CA9"/>
    <w:rsid w:val="00BB1B42"/>
    <w:rsid w:val="00C02897"/>
    <w:rsid w:val="00C7616F"/>
    <w:rsid w:val="00CB16B5"/>
    <w:rsid w:val="00CE0608"/>
    <w:rsid w:val="00D3439C"/>
    <w:rsid w:val="00D44CF3"/>
    <w:rsid w:val="00D70306"/>
    <w:rsid w:val="00DA6C5E"/>
    <w:rsid w:val="00DB1831"/>
    <w:rsid w:val="00DD3BFD"/>
    <w:rsid w:val="00DF431C"/>
    <w:rsid w:val="00DF6678"/>
    <w:rsid w:val="00E939CE"/>
    <w:rsid w:val="00EF2E22"/>
    <w:rsid w:val="00F0592C"/>
    <w:rsid w:val="00F43289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205D317"/>
  <w15:docId w15:val="{FA520C30-35E5-4589-840E-4AA622F3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068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06363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06363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</w:style>
  <w:style w:type="character" w:customStyle="1" w:styleId="HChGChar">
    <w:name w:val="_ H _Ch_G Char"/>
    <w:link w:val="HChG"/>
    <w:rsid w:val="0001207F"/>
    <w:rPr>
      <w:b/>
      <w:sz w:val="28"/>
    </w:rPr>
  </w:style>
  <w:style w:type="character" w:customStyle="1" w:styleId="Policepardfaut1">
    <w:name w:val="Police par défaut1"/>
    <w:rsid w:val="005568F1"/>
  </w:style>
  <w:style w:type="paragraph" w:customStyle="1" w:styleId="Standard">
    <w:name w:val="Standard"/>
    <w:rsid w:val="005568F1"/>
    <w:pPr>
      <w:suppressAutoHyphens/>
      <w:autoSpaceDN w:val="0"/>
      <w:snapToGrid w:val="0"/>
      <w:spacing w:after="0" w:line="240" w:lineRule="atLeast"/>
      <w:textAlignment w:val="baseline"/>
    </w:pPr>
    <w:rPr>
      <w:rFonts w:eastAsia="Calibri"/>
      <w:kern w:val="3"/>
      <w:lang w:eastAsia="en-US"/>
    </w:rPr>
  </w:style>
  <w:style w:type="paragraph" w:customStyle="1" w:styleId="Default">
    <w:name w:val="Default"/>
    <w:rsid w:val="005568F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B74FBFE-5676-42D0-B39C-C53E70F2CE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985D9-CA25-4BBB-A5BD-67D507215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221460-63C0-4EBA-A4F2-30FA9331EDC1}">
  <ds:schemaRefs>
    <ds:schemaRef ds:uri="http://schemas.microsoft.com/office/2006/metadata/properties"/>
    <ds:schemaRef ds:uri="http://schemas.microsoft.com/office/infopath/2007/PartnerControls"/>
    <ds:schemaRef ds:uri="4b4a1c0d-4a69-4996-a84a-fc699b9f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1201</Characters>
  <Application>Microsoft Office Word</Application>
  <DocSecurity>0</DocSecurity>
  <Lines>48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ECE/TRANS/WP.11/2022/2</dc:title>
  <dc:subject>FINAL</dc:subject>
  <dc:creator>2022/R.2/Add.3</dc:creator>
  <cp:keywords/>
  <dc:description/>
  <cp:lastModifiedBy>Nathalie Vittoz</cp:lastModifiedBy>
  <cp:revision>2</cp:revision>
  <cp:lastPrinted>2014-05-14T10:59:00Z</cp:lastPrinted>
  <dcterms:created xsi:type="dcterms:W3CDTF">2022-02-09T07:11:00Z</dcterms:created>
  <dcterms:modified xsi:type="dcterms:W3CDTF">2022-02-09T07:11:00Z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